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5, 2024</w:t>
      </w:r>
    </w:p>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333-279558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1697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7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wp:posOffset>
            </wp:positionV>
            <wp:extent cx="71697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785"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2832735</wp:posOffset>
            </wp:positionH>
            <wp:positionV relativeFrom="paragraph">
              <wp:posOffset>148590</wp:posOffset>
            </wp:positionV>
            <wp:extent cx="1510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Amendment No. 1</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to</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2832735</wp:posOffset>
            </wp:positionH>
            <wp:positionV relativeFrom="paragraph">
              <wp:posOffset>133350</wp:posOffset>
            </wp:positionV>
            <wp:extent cx="1510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Tempus AI, Inc.</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2832735</wp:posOffset>
            </wp:positionH>
            <wp:positionV relativeFrom="paragraph">
              <wp:posOffset>158750</wp:posOffset>
            </wp:positionV>
            <wp:extent cx="151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358"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248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500" w:type="dxa"/>
            <w:vAlign w:val="bottom"/>
            <w:gridSpan w:val="2"/>
          </w:tcPr>
          <w:p>
            <w:pPr>
              <w:jc w:val="center"/>
              <w:ind w:left="1314"/>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480" w:type="dxa"/>
            <w:vAlign w:val="bottom"/>
          </w:tcPr>
          <w:p>
            <w:pPr>
              <w:jc w:val="center"/>
              <w:ind w:right="3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60" w:type="dxa"/>
            <w:vAlign w:val="bottom"/>
            <w:gridSpan w:val="2"/>
          </w:tcPr>
          <w:p>
            <w:pPr>
              <w:jc w:val="center"/>
              <w:ind w:right="9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(Primary Standard Industrial</w:t>
            </w:r>
          </w:p>
        </w:tc>
        <w:tc>
          <w:tcPr>
            <w:tcW w:w="2360" w:type="dxa"/>
            <w:vAlign w:val="bottom"/>
          </w:tcPr>
          <w:p>
            <w:pPr>
              <w:jc w:val="center"/>
              <w:ind w:left="510"/>
              <w:spacing w:after="0" w:line="14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4"/>
        </w:trPr>
        <w:tc>
          <w:tcPr>
            <w:tcW w:w="248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1120" w:type="dxa"/>
            <w:vAlign w:val="bottom"/>
          </w:tcPr>
          <w:p>
            <w:pPr>
              <w:spacing w:after="0"/>
              <w:rPr>
                <w:sz w:val="16"/>
                <w:szCs w:val="16"/>
                <w:color w:val="auto"/>
              </w:rPr>
            </w:pPr>
          </w:p>
        </w:tc>
        <w:tc>
          <w:tcPr>
            <w:tcW w:w="35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9"/>
              </w:rPr>
              <w:t>Classification Code Number)</w:t>
            </w:r>
          </w:p>
        </w:tc>
        <w:tc>
          <w:tcPr>
            <w:tcW w:w="2360" w:type="dxa"/>
            <w:vAlign w:val="bottom"/>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w w:val="99"/>
              </w:rPr>
              <w:t>Identification Number)</w:t>
            </w:r>
          </w:p>
        </w:tc>
      </w:tr>
      <w:tr>
        <w:trPr>
          <w:trHeight w:val="182"/>
        </w:trPr>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6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spacing w:after="0"/>
              <w:rPr>
                <w:sz w:val="15"/>
                <w:szCs w:val="15"/>
                <w:color w:val="auto"/>
              </w:rPr>
            </w:pPr>
          </w:p>
        </w:tc>
      </w:tr>
      <w:tr>
        <w:trPr>
          <w:trHeight w:val="144"/>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60" w:type="dxa"/>
            <w:vAlign w:val="bottom"/>
            <w:gridSpan w:val="2"/>
          </w:tcPr>
          <w:p>
            <w:pPr>
              <w:jc w:val="center"/>
              <w:ind w:right="11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3500" w:type="dxa"/>
            <w:vAlign w:val="bottom"/>
            <w:gridSpan w:val="2"/>
          </w:tcPr>
          <w:p>
            <w:pPr>
              <w:jc w:val="center"/>
              <w:ind w:left="1054"/>
              <w:spacing w:after="0" w:line="148"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480" w:type="dxa"/>
            <w:vAlign w:val="bottom"/>
          </w:tcPr>
          <w:p>
            <w:pPr>
              <w:spacing w:after="0"/>
              <w:rPr>
                <w:sz w:val="11"/>
                <w:szCs w:val="11"/>
                <w:color w:val="auto"/>
              </w:rPr>
            </w:pPr>
          </w:p>
        </w:tc>
        <w:tc>
          <w:tcPr>
            <w:tcW w:w="468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480" w:type="dxa"/>
            <w:vAlign w:val="bottom"/>
          </w:tcPr>
          <w:p>
            <w:pPr>
              <w:spacing w:after="0"/>
              <w:rPr>
                <w:sz w:val="13"/>
                <w:szCs w:val="13"/>
                <w:color w:val="auto"/>
              </w:rPr>
            </w:pPr>
          </w:p>
        </w:tc>
        <w:tc>
          <w:tcPr>
            <w:tcW w:w="468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3"/>
                <w:szCs w:val="13"/>
                <w:color w:val="auto"/>
              </w:rPr>
            </w:pPr>
          </w:p>
        </w:tc>
      </w:tr>
      <w:tr>
        <w:trPr>
          <w:trHeight w:val="212"/>
        </w:trPr>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7"/>
        </w:trPr>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6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Eric Lefkofsky</w:t>
            </w:r>
          </w:p>
        </w:tc>
        <w:tc>
          <w:tcPr>
            <w:tcW w:w="2360" w:type="dxa"/>
            <w:vAlign w:val="bottom"/>
          </w:tcPr>
          <w:p>
            <w:pPr>
              <w:spacing w:after="0"/>
              <w:rPr>
                <w:sz w:val="18"/>
                <w:szCs w:val="18"/>
                <w:color w:val="auto"/>
              </w:rPr>
            </w:pPr>
          </w:p>
        </w:tc>
      </w:tr>
      <w:tr>
        <w:trPr>
          <w:trHeight w:val="144"/>
        </w:trPr>
        <w:tc>
          <w:tcPr>
            <w:tcW w:w="2480" w:type="dxa"/>
            <w:vAlign w:val="bottom"/>
          </w:tcPr>
          <w:p>
            <w:pPr>
              <w:spacing w:after="0"/>
              <w:rPr>
                <w:sz w:val="12"/>
                <w:szCs w:val="12"/>
                <w:color w:val="auto"/>
              </w:rPr>
            </w:pPr>
          </w:p>
        </w:tc>
        <w:tc>
          <w:tcPr>
            <w:tcW w:w="4680" w:type="dxa"/>
            <w:vAlign w:val="bottom"/>
            <w:gridSpan w:val="3"/>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Chief Executive Officer, Founder and Chairman</w:t>
            </w:r>
          </w:p>
        </w:tc>
        <w:tc>
          <w:tcPr>
            <w:tcW w:w="2360" w:type="dxa"/>
            <w:vAlign w:val="bottom"/>
          </w:tcPr>
          <w:p>
            <w:pPr>
              <w:spacing w:after="0"/>
              <w:rPr>
                <w:sz w:val="12"/>
                <w:szCs w:val="12"/>
                <w:color w:val="auto"/>
              </w:rPr>
            </w:pPr>
          </w:p>
        </w:tc>
      </w:tr>
      <w:tr>
        <w:trPr>
          <w:trHeight w:val="144"/>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60" w:type="dxa"/>
            <w:vAlign w:val="bottom"/>
            <w:gridSpan w:val="2"/>
          </w:tcPr>
          <w:p>
            <w:pPr>
              <w:jc w:val="center"/>
              <w:ind w:right="1180"/>
              <w:spacing w:after="0" w:line="144" w:lineRule="exact"/>
              <w:rPr>
                <w:sz w:val="20"/>
                <w:szCs w:val="20"/>
                <w:color w:val="auto"/>
              </w:rPr>
            </w:pPr>
            <w:r>
              <w:rPr>
                <w:rFonts w:ascii="Times New Roman" w:cs="Times New Roman" w:eastAsia="Times New Roman" w:hAnsi="Times New Roman"/>
                <w:sz w:val="14"/>
                <w:szCs w:val="14"/>
                <w:b w:val="1"/>
                <w:bCs w:val="1"/>
                <w:color w:val="auto"/>
                <w:w w:val="96"/>
              </w:rPr>
              <w:t>Tempus AI, Inc.</w:t>
            </w:r>
          </w:p>
        </w:tc>
        <w:tc>
          <w:tcPr>
            <w:tcW w:w="2360" w:type="dxa"/>
            <w:vAlign w:val="bottom"/>
          </w:tcPr>
          <w:p>
            <w:pPr>
              <w:spacing w:after="0"/>
              <w:rPr>
                <w:sz w:val="12"/>
                <w:szCs w:val="12"/>
                <w:color w:val="auto"/>
              </w:rPr>
            </w:pPr>
          </w:p>
        </w:tc>
      </w:tr>
      <w:tr>
        <w:trPr>
          <w:trHeight w:val="144"/>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60" w:type="dxa"/>
            <w:vAlign w:val="bottom"/>
            <w:gridSpan w:val="2"/>
          </w:tcPr>
          <w:p>
            <w:pPr>
              <w:jc w:val="center"/>
              <w:ind w:right="11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spacing w:after="0"/>
              <w:rPr>
                <w:sz w:val="12"/>
                <w:szCs w:val="12"/>
                <w:color w:val="auto"/>
              </w:rPr>
            </w:pPr>
          </w:p>
        </w:tc>
      </w:tr>
      <w:tr>
        <w:trPr>
          <w:trHeight w:val="144"/>
        </w:trPr>
        <w:tc>
          <w:tcPr>
            <w:tcW w:w="2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60" w:type="dxa"/>
            <w:vAlign w:val="bottom"/>
            <w:gridSpan w:val="2"/>
          </w:tcPr>
          <w:p>
            <w:pPr>
              <w:jc w:val="center"/>
              <w:ind w:right="11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3500" w:type="dxa"/>
            <w:vAlign w:val="bottom"/>
            <w:gridSpan w:val="2"/>
          </w:tcPr>
          <w:p>
            <w:pPr>
              <w:jc w:val="center"/>
              <w:ind w:left="1054"/>
              <w:spacing w:after="0" w:line="148"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480" w:type="dxa"/>
            <w:vAlign w:val="bottom"/>
          </w:tcPr>
          <w:p>
            <w:pPr>
              <w:spacing w:after="0"/>
              <w:rPr>
                <w:sz w:val="11"/>
                <w:szCs w:val="11"/>
                <w:color w:val="auto"/>
              </w:rPr>
            </w:pPr>
          </w:p>
        </w:tc>
        <w:tc>
          <w:tcPr>
            <w:tcW w:w="468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56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3"/>
                <w:szCs w:val="13"/>
                <w:color w:val="auto"/>
              </w:rPr>
            </w:pPr>
          </w:p>
        </w:tc>
      </w:tr>
      <w:tr>
        <w:trPr>
          <w:trHeight w:val="225"/>
        </w:trPr>
        <w:tc>
          <w:tcPr>
            <w:tcW w:w="2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7"/>
        </w:trPr>
        <w:tc>
          <w:tcPr>
            <w:tcW w:w="2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6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2"/>
        </w:trPr>
        <w:tc>
          <w:tcPr>
            <w:tcW w:w="248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Eric Jensen</w:t>
            </w:r>
          </w:p>
        </w:tc>
        <w:tc>
          <w:tcPr>
            <w:tcW w:w="1120" w:type="dxa"/>
            <w:vAlign w:val="bottom"/>
          </w:tcPr>
          <w:p>
            <w:pPr>
              <w:spacing w:after="0"/>
              <w:rPr>
                <w:sz w:val="15"/>
                <w:szCs w:val="15"/>
                <w:color w:val="auto"/>
              </w:rPr>
            </w:pPr>
          </w:p>
        </w:tc>
        <w:tc>
          <w:tcPr>
            <w:tcW w:w="356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w w:val="97"/>
              </w:rPr>
              <w:t>Alan F. Denenberg</w:t>
            </w:r>
          </w:p>
        </w:tc>
      </w:tr>
      <w:tr>
        <w:trPr>
          <w:trHeight w:val="144"/>
        </w:trPr>
        <w:tc>
          <w:tcPr>
            <w:tcW w:w="2480" w:type="dxa"/>
            <w:vAlign w:val="bottom"/>
          </w:tcPr>
          <w:p>
            <w:pPr>
              <w:jc w:val="center"/>
              <w:ind w:right="49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60" w:type="dxa"/>
            <w:vAlign w:val="bottom"/>
            <w:gridSpan w:val="2"/>
          </w:tcPr>
          <w:p>
            <w:pPr>
              <w:jc w:val="center"/>
              <w:ind w:right="1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James Rogers</w:t>
            </w:r>
          </w:p>
        </w:tc>
        <w:tc>
          <w:tcPr>
            <w:tcW w:w="2360" w:type="dxa"/>
            <w:vAlign w:val="bottom"/>
          </w:tcPr>
          <w:p>
            <w:pPr>
              <w:jc w:val="center"/>
              <w:ind w:left="510"/>
              <w:spacing w:after="0" w:line="144" w:lineRule="exact"/>
              <w:rPr>
                <w:sz w:val="20"/>
                <w:szCs w:val="20"/>
                <w:color w:val="auto"/>
              </w:rPr>
            </w:pPr>
            <w:r>
              <w:rPr>
                <w:rFonts w:ascii="Times New Roman" w:cs="Times New Roman" w:eastAsia="Times New Roman" w:hAnsi="Times New Roman"/>
                <w:sz w:val="14"/>
                <w:szCs w:val="14"/>
                <w:b w:val="1"/>
                <w:bCs w:val="1"/>
                <w:color w:val="auto"/>
                <w:w w:val="97"/>
              </w:rPr>
              <w:t>Yasin Keshvargar</w:t>
            </w:r>
          </w:p>
        </w:tc>
      </w:tr>
      <w:tr>
        <w:trPr>
          <w:trHeight w:val="144"/>
        </w:trPr>
        <w:tc>
          <w:tcPr>
            <w:tcW w:w="2480" w:type="dxa"/>
            <w:vAlign w:val="bottom"/>
          </w:tcPr>
          <w:p>
            <w:pPr>
              <w:jc w:val="center"/>
              <w:ind w:right="510"/>
              <w:spacing w:after="0" w:line="144" w:lineRule="exact"/>
              <w:rPr>
                <w:sz w:val="20"/>
                <w:szCs w:val="20"/>
                <w:color w:val="auto"/>
              </w:rPr>
            </w:pPr>
            <w:r>
              <w:rPr>
                <w:rFonts w:ascii="Times New Roman" w:cs="Times New Roman" w:eastAsia="Times New Roman" w:hAnsi="Times New Roman"/>
                <w:sz w:val="14"/>
                <w:szCs w:val="14"/>
                <w:b w:val="1"/>
                <w:bCs w:val="1"/>
                <w:color w:val="auto"/>
                <w:w w:val="97"/>
              </w:rPr>
              <w:t>Courtney M.W. Tygesson</w:t>
            </w:r>
          </w:p>
        </w:tc>
        <w:tc>
          <w:tcPr>
            <w:tcW w:w="1120" w:type="dxa"/>
            <w:vAlign w:val="bottom"/>
          </w:tcPr>
          <w:p>
            <w:pPr>
              <w:spacing w:after="0"/>
              <w:rPr>
                <w:sz w:val="12"/>
                <w:szCs w:val="12"/>
                <w:color w:val="auto"/>
              </w:rPr>
            </w:pPr>
          </w:p>
        </w:tc>
        <w:tc>
          <w:tcPr>
            <w:tcW w:w="3560" w:type="dxa"/>
            <w:vAlign w:val="bottom"/>
            <w:gridSpan w:val="2"/>
          </w:tcPr>
          <w:p>
            <w:pPr>
              <w:jc w:val="center"/>
              <w:ind w:right="11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Andrew Polovin</w:t>
            </w:r>
          </w:p>
        </w:tc>
        <w:tc>
          <w:tcPr>
            <w:tcW w:w="2360" w:type="dxa"/>
            <w:vAlign w:val="bottom"/>
          </w:tcPr>
          <w:p>
            <w:pPr>
              <w:jc w:val="center"/>
              <w:ind w:left="510"/>
              <w:spacing w:after="0" w:line="144" w:lineRule="exact"/>
              <w:rPr>
                <w:sz w:val="20"/>
                <w:szCs w:val="20"/>
                <w:color w:val="auto"/>
              </w:rPr>
            </w:pPr>
            <w:r>
              <w:rPr>
                <w:rFonts w:ascii="Times New Roman" w:cs="Times New Roman" w:eastAsia="Times New Roman" w:hAnsi="Times New Roman"/>
                <w:sz w:val="14"/>
                <w:szCs w:val="14"/>
                <w:b w:val="1"/>
                <w:bCs w:val="1"/>
                <w:color w:val="auto"/>
                <w:w w:val="98"/>
              </w:rPr>
              <w:t>Davis Polk &amp; Wardwell LLP</w:t>
            </w:r>
          </w:p>
        </w:tc>
      </w:tr>
      <w:tr>
        <w:trPr>
          <w:trHeight w:val="144"/>
        </w:trPr>
        <w:tc>
          <w:tcPr>
            <w:tcW w:w="2480" w:type="dxa"/>
            <w:vAlign w:val="bottom"/>
          </w:tcPr>
          <w:p>
            <w:pPr>
              <w:jc w:val="center"/>
              <w:ind w:right="49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60" w:type="dxa"/>
            <w:vAlign w:val="bottom"/>
            <w:gridSpan w:val="2"/>
          </w:tcPr>
          <w:p>
            <w:pPr>
              <w:jc w:val="center"/>
              <w:ind w:right="1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Tempus AI, Inc.</w:t>
            </w:r>
          </w:p>
        </w:tc>
        <w:tc>
          <w:tcPr>
            <w:tcW w:w="2360" w:type="dxa"/>
            <w:vAlign w:val="bottom"/>
          </w:tcPr>
          <w:p>
            <w:pPr>
              <w:jc w:val="center"/>
              <w:ind w:left="5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480" w:type="dxa"/>
            <w:vAlign w:val="bottom"/>
          </w:tcPr>
          <w:p>
            <w:pPr>
              <w:jc w:val="center"/>
              <w:ind w:right="5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60" w:type="dxa"/>
            <w:vAlign w:val="bottom"/>
            <w:gridSpan w:val="2"/>
          </w:tcPr>
          <w:p>
            <w:pPr>
              <w:jc w:val="center"/>
              <w:ind w:right="1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480" w:type="dxa"/>
            <w:vAlign w:val="bottom"/>
          </w:tcPr>
          <w:p>
            <w:pPr>
              <w:jc w:val="center"/>
              <w:ind w:right="490"/>
              <w:spacing w:after="0" w:line="144"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60" w:type="dxa"/>
            <w:vAlign w:val="bottom"/>
            <w:gridSpan w:val="2"/>
          </w:tcPr>
          <w:p>
            <w:pPr>
              <w:jc w:val="center"/>
              <w:ind w:right="1160"/>
              <w:spacing w:after="0" w:line="144"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jc w:val="right"/>
              <w:ind w:right="390"/>
              <w:spacing w:after="0" w:line="144"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480" w:type="dxa"/>
            <w:vAlign w:val="bottom"/>
          </w:tcPr>
          <w:p>
            <w:pPr>
              <w:jc w:val="center"/>
              <w:ind w:right="490"/>
              <w:spacing w:after="0" w:line="144" w:lineRule="exact"/>
              <w:rPr>
                <w:sz w:val="20"/>
                <w:szCs w:val="20"/>
                <w:color w:val="auto"/>
              </w:rPr>
            </w:pPr>
            <w:r>
              <w:rPr>
                <w:rFonts w:ascii="Times New Roman" w:cs="Times New Roman" w:eastAsia="Times New Roman" w:hAnsi="Times New Roman"/>
                <w:sz w:val="14"/>
                <w:szCs w:val="14"/>
                <w:b w:val="1"/>
                <w:bCs w:val="1"/>
                <w:color w:val="auto"/>
                <w:w w:val="98"/>
              </w:rPr>
              <w:t>110 N. Wacker Drive, Suite 4200</w:t>
            </w:r>
          </w:p>
        </w:tc>
        <w:tc>
          <w:tcPr>
            <w:tcW w:w="3500" w:type="dxa"/>
            <w:vAlign w:val="bottom"/>
            <w:gridSpan w:val="2"/>
          </w:tcPr>
          <w:p>
            <w:pPr>
              <w:jc w:val="center"/>
              <w:ind w:left="1074"/>
              <w:spacing w:after="0" w:line="144"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480" w:type="dxa"/>
            <w:vAlign w:val="bottom"/>
          </w:tcPr>
          <w:p>
            <w:pPr>
              <w:jc w:val="center"/>
              <w:ind w:right="51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Chicago, Illinois 60606</w:t>
            </w:r>
          </w:p>
        </w:tc>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4"/>
        </w:trPr>
        <w:tc>
          <w:tcPr>
            <w:tcW w:w="248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w w:val="98"/>
              </w:rPr>
              <w:t>(312) 881-6500</w:t>
            </w:r>
          </w:p>
        </w:tc>
        <w:tc>
          <w:tcPr>
            <w:tcW w:w="1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2832735</wp:posOffset>
            </wp:positionH>
            <wp:positionV relativeFrom="paragraph">
              <wp:posOffset>139065</wp:posOffset>
            </wp:positionV>
            <wp:extent cx="1510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2" w:lineRule="exact"/>
        <w:rPr>
          <w:sz w:val="24"/>
          <w:szCs w:val="24"/>
          <w:color w:val="auto"/>
        </w:rPr>
      </w:pPr>
    </w:p>
    <w:p>
      <w:pPr>
        <w:jc w:val="center"/>
        <w:ind w:right="-1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5" w:lineRule="exact"/>
        <w:rPr>
          <w:sz w:val="24"/>
          <w:szCs w:val="24"/>
          <w:color w:val="auto"/>
        </w:rPr>
      </w:pPr>
    </w:p>
    <w:p>
      <w:pPr>
        <w:jc w:val="both"/>
        <w:ind w:firstLine="451"/>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firstLine="451"/>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firstLine="451"/>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right="20" w:firstLine="451"/>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0"/>
        </w:trPr>
        <w:tc>
          <w:tcPr>
            <w:tcW w:w="15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jc w:val="both"/>
        <w:spacing w:after="0" w:line="17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2832735</wp:posOffset>
            </wp:positionH>
            <wp:positionV relativeFrom="paragraph">
              <wp:posOffset>125730</wp:posOffset>
            </wp:positionV>
            <wp:extent cx="1510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31" w:lineRule="exact"/>
        <w:rPr>
          <w:sz w:val="24"/>
          <w:szCs w:val="24"/>
          <w:color w:val="auto"/>
        </w:rPr>
      </w:pPr>
    </w:p>
    <w:p>
      <w:pPr>
        <w:jc w:val="both"/>
        <w:ind w:right="20" w:firstLine="451"/>
        <w:spacing w:after="0" w:line="234"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169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7169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8255"/>
                    </a:xfrm>
                    <a:prstGeom prst="rect">
                      <a:avLst/>
                    </a:prstGeom>
                    <a:noFill/>
                  </pic:spPr>
                </pic:pic>
              </a:graphicData>
            </a:graphic>
          </wp:anchor>
        </w:drawing>
      </w:r>
    </w:p>
    <w:p>
      <w:pPr>
        <w:sectPr>
          <w:pgSz w:w="11900" w:h="16838" w:orient="portrait"/>
          <w:cols w:equalWidth="0" w:num="1">
            <w:col w:w="11300"/>
          </w:cols>
          <w:pgMar w:left="320" w:top="224" w:right="2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DE1A1E"/>
        </w:rPr>
        <w:t>PRELIMINARY PROSPECTUS (Subject to Completion)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DE1A1E"/>
        </w:rPr>
        <w:t>Issued June 5, 2024</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i w:val="1"/>
          <w:iCs w:val="1"/>
          <w:color w:val="auto"/>
        </w:rPr>
        <w:t>11,100,000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66040</wp:posOffset>
            </wp:positionV>
            <wp:extent cx="2606040" cy="1228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122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140970</wp:posOffset>
            </wp:positionV>
            <wp:extent cx="1510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AI, Inc. We are offering 11,100,000 shares of our Class A common stock.</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$35.00 and $37.00 per share.</w:t>
      </w:r>
    </w:p>
    <w:p>
      <w:pPr>
        <w:spacing w:after="0" w:line="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have granted the underwriters the option to purchase up to an additional 1,665,000 shares of Class A common stock on the same terms as set forth above within 30 days from the date of this prospectus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89535</wp:posOffset>
            </wp:positionV>
            <wp:extent cx="1510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(i) on the date that our Chief Executive Officer, Founder and Chairman ceases to serve as an executive officer or member of our Board of Directors or (ii) on the trading day that is no less than 90 days and no more than 150 days following the date on which he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65.3%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107315</wp:posOffset>
            </wp:positionV>
            <wp:extent cx="1510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Class A common stock has been approved for listing on the Nasdaq Global Select Market under the symbol “TEM.”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135255</wp:posOffset>
            </wp:positionV>
            <wp:extent cx="1510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4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in our Class A common stock involves risks. See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i w:val="1"/>
          <w:iCs w:val="1"/>
          <w:color w:val="auto"/>
        </w:rPr>
        <w:t>” beginning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130810</wp:posOffset>
            </wp:positionV>
            <wp:extent cx="1510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 Share</w:t>
            </w:r>
          </w:p>
        </w:tc>
        <w:tc>
          <w:tcPr>
            <w:tcW w:w="760" w:type="dxa"/>
            <w:vAlign w:val="bottom"/>
            <w:gridSpan w:val="2"/>
          </w:tcPr>
          <w:p>
            <w:pPr>
              <w:jc w:val="center"/>
              <w:ind w:left="350"/>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r>
      <w:tr>
        <w:trPr>
          <w:trHeight w:val="173"/>
        </w:trPr>
        <w:tc>
          <w:tcPr>
            <w:tcW w:w="6080" w:type="dxa"/>
            <w:vAlign w:val="bottom"/>
          </w:tcPr>
          <w:p>
            <w:pPr>
              <w:spacing w:after="0" w:line="173" w:lineRule="exact"/>
              <w:rPr>
                <w:sz w:val="20"/>
                <w:szCs w:val="20"/>
                <w:color w:val="auto"/>
              </w:rPr>
            </w:pPr>
            <w:r>
              <w:rPr>
                <w:rFonts w:ascii="Times New Roman" w:cs="Times New Roman" w:eastAsia="Times New Roman" w:hAnsi="Times New Roman"/>
                <w:sz w:val="16"/>
                <w:szCs w:val="16"/>
                <w:i w:val="1"/>
                <w:iCs w:val="1"/>
                <w:color w:val="auto"/>
              </w:rPr>
              <w:t>Initial public offering price</w:t>
            </w:r>
          </w:p>
        </w:tc>
        <w:tc>
          <w:tcPr>
            <w:tcW w:w="3300" w:type="dxa"/>
            <w:vAlign w:val="bottom"/>
          </w:tcPr>
          <w:p>
            <w:pPr>
              <w:spacing w:after="0"/>
              <w:rPr>
                <w:sz w:val="15"/>
                <w:szCs w:val="15"/>
                <w:color w:val="auto"/>
              </w:rPr>
            </w:pPr>
          </w:p>
        </w:tc>
        <w:tc>
          <w:tcPr>
            <w:tcW w:w="180" w:type="dxa"/>
            <w:vAlign w:val="bottom"/>
            <w:tcBorders>
              <w:top w:val="single" w:sz="8" w:color="auto"/>
            </w:tcBorders>
          </w:tcPr>
          <w:p>
            <w:pPr>
              <w:spacing w:after="0" w:line="173" w:lineRule="exact"/>
              <w:rPr>
                <w:sz w:val="20"/>
                <w:szCs w:val="20"/>
                <w:color w:val="auto"/>
              </w:rPr>
            </w:pPr>
            <w:r>
              <w:rPr>
                <w:rFonts w:ascii="Times New Roman" w:cs="Times New Roman" w:eastAsia="Times New Roman" w:hAnsi="Times New Roman"/>
                <w:sz w:val="16"/>
                <w:szCs w:val="16"/>
                <w:i w:val="1"/>
                <w:iCs w:val="1"/>
                <w:color w:val="auto"/>
              </w:rPr>
              <w:t xml:space="preserve">$ </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00" w:type="dxa"/>
            <w:vAlign w:val="bottom"/>
            <w:tcBorders>
              <w:top w:val="single" w:sz="8" w:color="auto"/>
            </w:tcBorders>
          </w:tcPr>
          <w:p>
            <w:pPr>
              <w:ind w:left="60"/>
              <w:spacing w:after="0" w:line="173" w:lineRule="exact"/>
              <w:rPr>
                <w:sz w:val="20"/>
                <w:szCs w:val="20"/>
                <w:color w:val="auto"/>
              </w:rPr>
            </w:pPr>
            <w:r>
              <w:rPr>
                <w:rFonts w:ascii="Times New Roman" w:cs="Times New Roman" w:eastAsia="Times New Roman" w:hAnsi="Times New Roman"/>
                <w:sz w:val="16"/>
                <w:szCs w:val="16"/>
                <w:i w:val="1"/>
                <w:iCs w:val="1"/>
                <w:color w:val="auto"/>
                <w:w w:val="74"/>
              </w:rPr>
              <w:t> </w:t>
            </w:r>
          </w:p>
        </w:tc>
        <w:tc>
          <w:tcPr>
            <w:tcW w:w="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4"/>
                <w:szCs w:val="4"/>
                <w:i w:val="1"/>
                <w:iCs w:val="1"/>
                <w:color w:val="auto"/>
                <w:w w:val="97"/>
              </w:rPr>
              <w:t> </w:t>
            </w:r>
          </w:p>
        </w:tc>
        <w:tc>
          <w:tcPr>
            <w:tcW w:w="520" w:type="dxa"/>
            <w:vAlign w:val="bottom"/>
          </w:tcPr>
          <w:p>
            <w:pPr>
              <w:jc w:val="right"/>
              <w:ind w:right="362"/>
              <w:spacing w:after="0" w:line="173" w:lineRule="exact"/>
              <w:rPr>
                <w:sz w:val="20"/>
                <w:szCs w:val="20"/>
                <w:color w:val="auto"/>
              </w:rPr>
            </w:pPr>
            <w:r>
              <w:rPr>
                <w:rFonts w:ascii="Times New Roman" w:cs="Times New Roman" w:eastAsia="Times New Roman" w:hAnsi="Times New Roman"/>
                <w:sz w:val="16"/>
                <w:szCs w:val="16"/>
                <w:i w:val="1"/>
                <w:iCs w:val="1"/>
                <w:color w:val="auto"/>
                <w:w w:val="74"/>
              </w:rPr>
              <w:t> </w:t>
            </w:r>
          </w:p>
        </w:tc>
        <w:tc>
          <w:tcPr>
            <w:tcW w:w="440" w:type="dxa"/>
            <w:vAlign w:val="bottom"/>
          </w:tcPr>
          <w:p>
            <w:pPr>
              <w:spacing w:after="0"/>
              <w:rPr>
                <w:sz w:val="15"/>
                <w:szCs w:val="15"/>
                <w:color w:val="auto"/>
              </w:rPr>
            </w:pPr>
          </w:p>
        </w:tc>
        <w:tc>
          <w:tcPr>
            <w:tcW w:w="32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i w:val="1"/>
                <w:iCs w:val="1"/>
                <w:color w:val="auto"/>
              </w:rPr>
              <w:t xml:space="preserve">$ </w:t>
            </w:r>
          </w:p>
        </w:tc>
      </w:tr>
      <w:tr>
        <w:trPr>
          <w:trHeight w:val="196"/>
        </w:trPr>
        <w:tc>
          <w:tcPr>
            <w:tcW w:w="6080" w:type="dxa"/>
            <w:vAlign w:val="bottom"/>
          </w:tcPr>
          <w:p>
            <w:pPr>
              <w:spacing w:after="0" w:line="196" w:lineRule="exact"/>
              <w:rPr>
                <w:sz w:val="20"/>
                <w:szCs w:val="20"/>
                <w:color w:val="auto"/>
              </w:rPr>
            </w:pPr>
            <w:r>
              <w:rPr>
                <w:rFonts w:ascii="Times New Roman" w:cs="Times New Roman" w:eastAsia="Times New Roman" w:hAnsi="Times New Roman"/>
                <w:sz w:val="15"/>
                <w:szCs w:val="15"/>
                <w:i w:val="1"/>
                <w:iCs w:val="1"/>
                <w:color w:val="auto"/>
              </w:rPr>
              <w:t xml:space="preserve">Underwriting discounts and commissions </w:t>
            </w:r>
            <w:r>
              <w:rPr>
                <w:rFonts w:ascii="Times New Roman" w:cs="Times New Roman" w:eastAsia="Times New Roman" w:hAnsi="Times New Roman"/>
                <w:sz w:val="22"/>
                <w:szCs w:val="22"/>
                <w:i w:val="1"/>
                <w:iCs w:val="1"/>
                <w:color w:val="auto"/>
                <w:vertAlign w:val="superscript"/>
              </w:rPr>
              <w:t>(1)</w:t>
            </w:r>
          </w:p>
        </w:tc>
        <w:tc>
          <w:tcPr>
            <w:tcW w:w="3480" w:type="dxa"/>
            <w:vAlign w:val="bottom"/>
            <w:gridSpan w:val="2"/>
          </w:tcPr>
          <w:p>
            <w:pPr>
              <w:ind w:left="3300"/>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w w:val="74"/>
              </w:rPr>
              <w:t> </w:t>
            </w:r>
          </w:p>
        </w:tc>
        <w:tc>
          <w:tcPr>
            <w:tcW w:w="580" w:type="dxa"/>
            <w:vAlign w:val="bottom"/>
            <w:gridSpan w:val="2"/>
          </w:tcPr>
          <w:p>
            <w:pPr>
              <w:jc w:val="right"/>
              <w:ind w:right="362"/>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44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 </w:t>
            </w:r>
          </w:p>
        </w:tc>
      </w:tr>
      <w:tr>
        <w:trPr>
          <w:trHeight w:val="206"/>
        </w:trPr>
        <w:tc>
          <w:tcPr>
            <w:tcW w:w="6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us</w:t>
            </w:r>
          </w:p>
        </w:tc>
        <w:tc>
          <w:tcPr>
            <w:tcW w:w="3480" w:type="dxa"/>
            <w:vAlign w:val="bottom"/>
            <w:gridSpan w:val="2"/>
          </w:tcPr>
          <w:p>
            <w:pPr>
              <w:ind w:left="3300"/>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60" w:type="dxa"/>
            <w:vAlign w:val="bottom"/>
          </w:tcPr>
          <w:p>
            <w:pPr>
              <w:spacing w:after="0"/>
              <w:rPr>
                <w:sz w:val="17"/>
                <w:szCs w:val="17"/>
                <w:color w:val="auto"/>
              </w:rPr>
            </w:pPr>
          </w:p>
        </w:tc>
        <w:tc>
          <w:tcPr>
            <w:tcW w:w="520" w:type="dxa"/>
            <w:vAlign w:val="bottom"/>
          </w:tcPr>
          <w:p>
            <w:pPr>
              <w:jc w:val="right"/>
              <w:ind w:right="362"/>
              <w:spacing w:after="0"/>
              <w:rPr>
                <w:sz w:val="20"/>
                <w:szCs w:val="20"/>
                <w:color w:val="auto"/>
              </w:rPr>
            </w:pPr>
            <w:r>
              <w:rPr>
                <w:rFonts w:ascii="Times New Roman" w:cs="Times New Roman" w:eastAsia="Times New Roman" w:hAnsi="Times New Roman"/>
                <w:sz w:val="16"/>
                <w:szCs w:val="16"/>
                <w:i w:val="1"/>
                <w:iCs w:val="1"/>
                <w:color w:val="auto"/>
                <w:w w:val="74"/>
              </w:rPr>
              <w:t> </w:t>
            </w:r>
          </w:p>
        </w:tc>
        <w:tc>
          <w:tcPr>
            <w:tcW w:w="44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8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See “Underwriting” for additional information regarding compensation payable to the underwriters.</w:t>
      </w:r>
    </w:p>
    <w:p>
      <w:pPr>
        <w:spacing w:after="0" w:line="4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125730</wp:posOffset>
            </wp:positionV>
            <wp:extent cx="1510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ectPr>
          <w:pgSz w:w="11900" w:h="16838" w:orient="portrait"/>
          <w:cols w:equalWidth="0" w:num="1">
            <w:col w:w="11300"/>
          </w:cols>
          <w:pgMar w:left="320" w:top="446" w:right="27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44" w:lineRule="exact"/>
        <w:rPr>
          <w:sz w:val="20"/>
          <w:szCs w:val="20"/>
          <w:color w:val="auto"/>
        </w:rPr>
      </w:pPr>
    </w:p>
    <w:p>
      <w:pPr>
        <w:sectPr>
          <w:pgSz w:w="11900" w:h="16838" w:orient="portrait"/>
          <w:cols w:equalWidth="0" w:num="3">
            <w:col w:w="4400" w:space="720"/>
            <w:col w:w="1840" w:space="720"/>
            <w:col w:w="3620"/>
          </w:cols>
          <w:pgMar w:left="320" w:top="446"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TD COWEN</w:t>
      </w:r>
    </w:p>
    <w:p>
      <w:pPr>
        <w:spacing w:after="0" w:line="1" w:lineRule="exact"/>
        <w:rPr>
          <w:sz w:val="20"/>
          <w:szCs w:val="20"/>
          <w:color w:val="auto"/>
        </w:rPr>
      </w:pPr>
    </w:p>
    <w:p>
      <w:pPr>
        <w:sectPr>
          <w:pgSz w:w="11900" w:h="16838" w:orient="portrait"/>
          <w:cols w:equalWidth="0" w:num="2">
            <w:col w:w="6960" w:space="720"/>
            <w:col w:w="3620"/>
          </w:cols>
          <w:pgMar w:left="320" w:top="446" w:right="279" w:bottom="1440" w:gutter="0" w:footer="0" w:header="0"/>
          <w:type w:val="continuous"/>
        </w:sectPr>
      </w:pPr>
    </w:p>
    <w:p>
      <w:pPr>
        <w:spacing w:after="0" w:line="229" w:lineRule="auto"/>
        <w:rPr>
          <w:sz w:val="20"/>
          <w:szCs w:val="20"/>
          <w:color w:val="auto"/>
        </w:rPr>
      </w:pPr>
      <w:r>
        <w:rPr>
          <w:rFonts w:ascii="Times New Roman" w:cs="Times New Roman" w:eastAsia="Times New Roman" w:hAnsi="Times New Roman"/>
          <w:sz w:val="14"/>
          <w:szCs w:val="14"/>
          <w:i w:val="1"/>
          <w:iCs w:val="1"/>
          <w:color w:val="auto"/>
        </w:rPr>
        <w:t>STIFEL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LOOP CAPITAL MARKETS</w:t>
      </w:r>
    </w:p>
    <w:p>
      <w:pPr>
        <w:spacing w:after="0" w:line="20" w:lineRule="exact"/>
        <w:rPr>
          <w:sz w:val="20"/>
          <w:szCs w:val="20"/>
          <w:color w:val="auto"/>
        </w:rPr>
      </w:pPr>
      <w:r>
        <w:rPr>
          <w:sz w:val="20"/>
          <w:szCs w:val="20"/>
          <w:color w:val="auto"/>
        </w:rPr>
        <w:br w:type="column"/>
      </w:r>
    </w:p>
    <w:p>
      <w:pPr>
        <w:spacing w:after="0" w:line="229" w:lineRule="auto"/>
        <w:rPr>
          <w:sz w:val="20"/>
          <w:szCs w:val="20"/>
          <w:color w:val="auto"/>
        </w:rPr>
      </w:pPr>
      <w:r>
        <w:rPr>
          <w:rFonts w:ascii="Times New Roman" w:cs="Times New Roman" w:eastAsia="Times New Roman" w:hAnsi="Times New Roman"/>
          <w:sz w:val="14"/>
          <w:szCs w:val="14"/>
          <w:i w:val="1"/>
          <w:iCs w:val="1"/>
          <w:color w:val="auto"/>
        </w:rPr>
        <w:t>WILLIAM BLAIR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NEEDHAM &amp; COMPANY</w:t>
      </w:r>
    </w:p>
    <w:p>
      <w:pPr>
        <w:spacing w:after="0" w:line="37" w:lineRule="exact"/>
        <w:rPr>
          <w:sz w:val="20"/>
          <w:szCs w:val="20"/>
          <w:color w:val="auto"/>
        </w:rPr>
      </w:pPr>
    </w:p>
    <w:p>
      <w:pPr>
        <w:sectPr>
          <w:pgSz w:w="11900" w:h="16838" w:orient="portrait"/>
          <w:cols w:equalWidth="0" w:num="2">
            <w:col w:w="6960" w:space="720"/>
            <w:col w:w="3620"/>
          </w:cols>
          <w:pgMar w:left="320" w:top="446" w:right="2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i w:val="1"/>
          <w:iCs w:val="1"/>
          <w:color w:val="auto"/>
        </w:rPr>
        <w:t>Prospectus dated            , 2024.</w:t>
      </w:r>
    </w:p>
    <w:p>
      <w:pPr>
        <w:sectPr>
          <w:pgSz w:w="11900" w:h="16838" w:orient="portrait"/>
          <w:cols w:equalWidth="0" w:num="1">
            <w:col w:w="11300"/>
          </w:cols>
          <w:pgMar w:left="320" w:top="446" w:right="2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278765</wp:posOffset>
            </wp:positionV>
            <wp:extent cx="1510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20" w:type="dxa"/>
            <w:vAlign w:val="bottom"/>
            <w:gridSpan w:val="12"/>
            <w:vMerge w:val="restart"/>
          </w:tcPr>
          <w:p>
            <w:pPr>
              <w:spacing w:after="0"/>
              <w:rPr>
                <w:sz w:val="20"/>
                <w:szCs w:val="20"/>
                <w:color w:val="auto"/>
              </w:rPr>
            </w:pPr>
            <w:r>
              <w:rPr>
                <w:rFonts w:ascii="Times New Roman" w:cs="Times New Roman" w:eastAsia="Times New Roman" w:hAnsi="Times New Roman"/>
                <w:sz w:val="17"/>
                <w:szCs w:val="17"/>
                <w:color w:val="0000EE"/>
              </w:rPr>
              <w:t>Prospectus Summary</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40" w:type="dxa"/>
            <w:vAlign w:val="bottom"/>
            <w:gridSpan w:val="15"/>
            <w:vMerge w:val="restart"/>
          </w:tcPr>
          <w:p>
            <w:pPr>
              <w:ind w:left="200"/>
              <w:spacing w:after="0"/>
              <w:rPr>
                <w:sz w:val="20"/>
                <w:szCs w:val="20"/>
                <w:color w:val="auto"/>
              </w:rPr>
            </w:pPr>
            <w:r>
              <w:rPr>
                <w:rFonts w:ascii="Times New Roman" w:cs="Times New Roman" w:eastAsia="Times New Roman" w:hAnsi="Times New Roman"/>
                <w:sz w:val="17"/>
                <w:szCs w:val="17"/>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3"/>
        </w:trPr>
        <w:tc>
          <w:tcPr>
            <w:tcW w:w="5020" w:type="dxa"/>
            <w:vAlign w:val="bottom"/>
            <w:gridSpan w:val="12"/>
            <w:vMerge w:val="continue"/>
          </w:tcPr>
          <w:p>
            <w:pPr>
              <w:spacing w:after="0"/>
              <w:rPr>
                <w:sz w:val="14"/>
                <w:szCs w:val="14"/>
                <w:color w:val="auto"/>
              </w:rPr>
            </w:pPr>
          </w:p>
        </w:tc>
        <w:tc>
          <w:tcPr>
            <w:tcW w:w="3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4"/>
                <w:szCs w:val="14"/>
                <w:color w:val="auto"/>
              </w:rPr>
            </w:pPr>
          </w:p>
        </w:tc>
        <w:tc>
          <w:tcPr>
            <w:tcW w:w="5340" w:type="dxa"/>
            <w:vAlign w:val="bottom"/>
            <w:gridSpan w:val="15"/>
            <w:vMerge w:val="continue"/>
          </w:tcPr>
          <w:p>
            <w:pPr>
              <w:spacing w:after="0"/>
              <w:rPr>
                <w:sz w:val="14"/>
                <w:szCs w:val="14"/>
                <w:color w:val="auto"/>
              </w:rPr>
            </w:pPr>
          </w:p>
        </w:tc>
        <w:tc>
          <w:tcPr>
            <w:tcW w:w="3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8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28</w:t>
            </w:r>
          </w:p>
        </w:tc>
        <w:tc>
          <w:tcPr>
            <w:tcW w:w="200" w:type="dxa"/>
            <w:vAlign w:val="bottom"/>
          </w:tcPr>
          <w:p>
            <w:pPr>
              <w:spacing w:after="0"/>
              <w:rPr>
                <w:sz w:val="16"/>
                <w:szCs w:val="16"/>
                <w:color w:val="auto"/>
              </w:rPr>
            </w:pPr>
          </w:p>
        </w:tc>
        <w:tc>
          <w:tcPr>
            <w:tcW w:w="5140" w:type="dxa"/>
            <w:vAlign w:val="bottom"/>
            <w:gridSpan w:val="14"/>
          </w:tcPr>
          <w:p>
            <w:pPr>
              <w:spacing w:after="0" w:line="189"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12"/>
          </w:tcPr>
          <w:p>
            <w:pPr>
              <w:spacing w:after="0" w:line="189"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104</w:t>
            </w:r>
          </w:p>
        </w:tc>
        <w:tc>
          <w:tcPr>
            <w:tcW w:w="5340" w:type="dxa"/>
            <w:vAlign w:val="bottom"/>
            <w:gridSpan w:val="15"/>
          </w:tcPr>
          <w:p>
            <w:pPr>
              <w:ind w:left="200"/>
              <w:spacing w:after="0" w:line="189" w:lineRule="exact"/>
              <w:rPr>
                <w:sz w:val="20"/>
                <w:szCs w:val="20"/>
                <w:color w:val="auto"/>
              </w:rPr>
            </w:pPr>
            <w:r>
              <w:rPr>
                <w:rFonts w:ascii="Times New Roman" w:cs="Times New Roman" w:eastAsia="Times New Roman" w:hAnsi="Times New Roman"/>
                <w:sz w:val="17"/>
                <w:szCs w:val="17"/>
                <w:color w:val="0000EE"/>
              </w:rPr>
              <w:t>Principal Stockholders</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60" w:type="dxa"/>
            <w:vAlign w:val="bottom"/>
            <w:gridSpan w:val="10"/>
          </w:tcPr>
          <w:p>
            <w:pPr>
              <w:spacing w:after="0" w:line="189" w:lineRule="exact"/>
              <w:rPr>
                <w:sz w:val="20"/>
                <w:szCs w:val="20"/>
                <w:color w:val="auto"/>
              </w:rPr>
            </w:pPr>
            <w:r>
              <w:rPr>
                <w:rFonts w:ascii="Times New Roman" w:cs="Times New Roman" w:eastAsia="Times New Roman" w:hAnsi="Times New Roman"/>
                <w:sz w:val="17"/>
                <w:szCs w:val="17"/>
                <w:color w:val="0000EE"/>
              </w:rPr>
              <w:t>Market, Industry and Other Data</w:t>
            </w: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106</w:t>
            </w:r>
          </w:p>
        </w:tc>
        <w:tc>
          <w:tcPr>
            <w:tcW w:w="200" w:type="dxa"/>
            <w:vAlign w:val="bottom"/>
          </w:tcPr>
          <w:p>
            <w:pPr>
              <w:spacing w:after="0"/>
              <w:rPr>
                <w:sz w:val="16"/>
                <w:szCs w:val="16"/>
                <w:color w:val="auto"/>
              </w:rPr>
            </w:pPr>
          </w:p>
        </w:tc>
        <w:tc>
          <w:tcPr>
            <w:tcW w:w="5140" w:type="dxa"/>
            <w:vAlign w:val="bottom"/>
            <w:gridSpan w:val="14"/>
          </w:tcPr>
          <w:p>
            <w:pPr>
              <w:spacing w:after="0" w:line="189"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80" w:type="dxa"/>
            <w:vAlign w:val="bottom"/>
            <w:gridSpan w:val="9"/>
          </w:tcPr>
          <w:p>
            <w:pPr>
              <w:spacing w:after="0" w:line="189" w:lineRule="exact"/>
              <w:rPr>
                <w:sz w:val="20"/>
                <w:szCs w:val="20"/>
                <w:color w:val="auto"/>
              </w:rPr>
            </w:pPr>
            <w:r>
              <w:rPr>
                <w:rFonts w:ascii="Times New Roman" w:cs="Times New Roman" w:eastAsia="Times New Roman" w:hAnsi="Times New Roman"/>
                <w:sz w:val="17"/>
                <w:szCs w:val="17"/>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108</w:t>
            </w:r>
          </w:p>
        </w:tc>
        <w:tc>
          <w:tcPr>
            <w:tcW w:w="200" w:type="dxa"/>
            <w:vAlign w:val="bottom"/>
          </w:tcPr>
          <w:p>
            <w:pPr>
              <w:spacing w:after="0"/>
              <w:rPr>
                <w:sz w:val="16"/>
                <w:szCs w:val="16"/>
                <w:color w:val="auto"/>
              </w:rPr>
            </w:pPr>
          </w:p>
        </w:tc>
        <w:tc>
          <w:tcPr>
            <w:tcW w:w="5140" w:type="dxa"/>
            <w:vAlign w:val="bottom"/>
            <w:gridSpan w:val="14"/>
          </w:tcPr>
          <w:p>
            <w:pPr>
              <w:spacing w:after="0" w:line="189" w:lineRule="exact"/>
              <w:rPr>
                <w:sz w:val="20"/>
                <w:szCs w:val="20"/>
                <w:color w:val="auto"/>
              </w:rPr>
            </w:pPr>
            <w:r>
              <w:rPr>
                <w:rFonts w:ascii="Times New Roman" w:cs="Times New Roman" w:eastAsia="Times New Roman" w:hAnsi="Times New Roman"/>
                <w:sz w:val="17"/>
                <w:szCs w:val="17"/>
                <w:color w:val="0000EE"/>
              </w:rPr>
              <w:t>Shares Eligible for Future Sale</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12"/>
          </w:tcPr>
          <w:p>
            <w:pPr>
              <w:spacing w:after="0" w:line="189" w:lineRule="exact"/>
              <w:rPr>
                <w:sz w:val="20"/>
                <w:szCs w:val="20"/>
                <w:color w:val="auto"/>
              </w:rPr>
            </w:pPr>
            <w:r>
              <w:rPr>
                <w:rFonts w:ascii="Times New Roman" w:cs="Times New Roman" w:eastAsia="Times New Roman" w:hAnsi="Times New Roman"/>
                <w:sz w:val="17"/>
                <w:szCs w:val="17"/>
                <w:color w:val="0000EE"/>
              </w:rPr>
              <w:t>Dividend Policy</w:t>
            </w: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109</w:t>
            </w:r>
          </w:p>
        </w:tc>
        <w:tc>
          <w:tcPr>
            <w:tcW w:w="5340" w:type="dxa"/>
            <w:vAlign w:val="bottom"/>
            <w:gridSpan w:val="15"/>
          </w:tcPr>
          <w:p>
            <w:pPr>
              <w:ind w:left="200"/>
              <w:spacing w:after="0" w:line="189" w:lineRule="exact"/>
              <w:rPr>
                <w:sz w:val="20"/>
                <w:szCs w:val="20"/>
                <w:color w:val="auto"/>
              </w:rPr>
            </w:pPr>
            <w:r>
              <w:rPr>
                <w:rFonts w:ascii="Times New Roman" w:cs="Times New Roman" w:eastAsia="Times New Roman" w:hAnsi="Times New Roman"/>
                <w:sz w:val="17"/>
                <w:szCs w:val="17"/>
                <w:color w:val="0000EE"/>
              </w:rPr>
              <w:t>Material U.S. Federal Income Tax Consequences to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Borders>
              <w:top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Capitalization</w:t>
            </w:r>
          </w:p>
        </w:tc>
        <w:tc>
          <w:tcPr>
            <w:tcW w:w="3880" w:type="dxa"/>
            <w:vAlign w:val="bottom"/>
            <w:gridSpan w:val="6"/>
          </w:tcPr>
          <w:p>
            <w:pPr>
              <w:spacing w:after="0"/>
              <w:rPr>
                <w:sz w:val="16"/>
                <w:szCs w:val="16"/>
                <w:color w:val="auto"/>
              </w:rPr>
            </w:pP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110</w:t>
            </w:r>
          </w:p>
        </w:tc>
        <w:tc>
          <w:tcPr>
            <w:tcW w:w="200" w:type="dxa"/>
            <w:vAlign w:val="bottom"/>
          </w:tcPr>
          <w:p>
            <w:pPr>
              <w:spacing w:after="0"/>
              <w:rPr>
                <w:sz w:val="16"/>
                <w:szCs w:val="16"/>
                <w:color w:val="auto"/>
              </w:rPr>
            </w:pPr>
          </w:p>
        </w:tc>
        <w:tc>
          <w:tcPr>
            <w:tcW w:w="4900" w:type="dxa"/>
            <w:vAlign w:val="bottom"/>
            <w:tcBorders>
              <w:top w:val="single" w:sz="8" w:color="0000EE"/>
            </w:tcBorders>
            <w:gridSpan w:val="13"/>
          </w:tcPr>
          <w:p>
            <w:pPr>
              <w:ind w:left="180"/>
              <w:spacing w:after="0" w:line="189" w:lineRule="exact"/>
              <w:rPr>
                <w:sz w:val="20"/>
                <w:szCs w:val="20"/>
                <w:color w:val="auto"/>
              </w:rPr>
            </w:pPr>
            <w:r>
              <w:rPr>
                <w:rFonts w:ascii="Times New Roman" w:cs="Times New Roman" w:eastAsia="Times New Roman" w:hAnsi="Times New Roman"/>
                <w:sz w:val="17"/>
                <w:szCs w:val="17"/>
                <w:color w:val="0000EE"/>
              </w:rPr>
              <w:t>of Our Class A Common Stock</w:t>
            </w:r>
          </w:p>
        </w:tc>
        <w:tc>
          <w:tcPr>
            <w:tcW w:w="24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color w:val="0000EE"/>
              </w:rPr>
              <w:t>Dilution</w:t>
            </w:r>
          </w:p>
        </w:tc>
        <w:tc>
          <w:tcPr>
            <w:tcW w:w="4040" w:type="dxa"/>
            <w:vAlign w:val="bottom"/>
            <w:gridSpan w:val="7"/>
          </w:tcPr>
          <w:p>
            <w:pPr>
              <w:spacing w:after="0"/>
              <w:rPr>
                <w:sz w:val="16"/>
                <w:szCs w:val="16"/>
                <w:color w:val="auto"/>
              </w:rPr>
            </w:pP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113</w:t>
            </w:r>
          </w:p>
        </w:tc>
        <w:tc>
          <w:tcPr>
            <w:tcW w:w="5340" w:type="dxa"/>
            <w:vAlign w:val="bottom"/>
            <w:gridSpan w:val="15"/>
          </w:tcPr>
          <w:p>
            <w:pPr>
              <w:ind w:left="200"/>
              <w:spacing w:after="0" w:line="189" w:lineRule="exact"/>
              <w:rPr>
                <w:sz w:val="20"/>
                <w:szCs w:val="20"/>
                <w:color w:val="auto"/>
              </w:rPr>
            </w:pPr>
            <w:r>
              <w:rPr>
                <w:rFonts w:ascii="Times New Roman" w:cs="Times New Roman" w:eastAsia="Times New Roman" w:hAnsi="Times New Roman"/>
                <w:sz w:val="17"/>
                <w:szCs w:val="17"/>
                <w:color w:val="0000EE"/>
              </w:rPr>
              <w:t>Underwriting</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12"/>
          </w:tcPr>
          <w:p>
            <w:pPr>
              <w:spacing w:after="0" w:line="189"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40" w:type="dxa"/>
            <w:vAlign w:val="bottom"/>
            <w:gridSpan w:val="15"/>
          </w:tcPr>
          <w:p>
            <w:pPr>
              <w:ind w:left="200"/>
              <w:spacing w:after="0" w:line="189" w:lineRule="exact"/>
              <w:rPr>
                <w:sz w:val="20"/>
                <w:szCs w:val="20"/>
                <w:color w:val="auto"/>
              </w:rPr>
            </w:pPr>
            <w:r>
              <w:rPr>
                <w:rFonts w:ascii="Times New Roman" w:cs="Times New Roman" w:eastAsia="Times New Roman" w:hAnsi="Times New Roman"/>
                <w:sz w:val="17"/>
                <w:szCs w:val="17"/>
                <w:color w:val="0000EE"/>
              </w:rPr>
              <w:t>Legal Matters</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1520" w:type="dxa"/>
            <w:vAlign w:val="bottom"/>
            <w:tcBorders>
              <w:top w:val="single" w:sz="8" w:color="0000EE"/>
              <w:bottom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EE"/>
              </w:rPr>
              <w:t>Results of Operations</w:t>
            </w:r>
          </w:p>
        </w:tc>
        <w:tc>
          <w:tcPr>
            <w:tcW w:w="3000" w:type="dxa"/>
            <w:vAlign w:val="bottom"/>
            <w:tcBorders>
              <w:top w:val="single" w:sz="8" w:color="0000EE"/>
            </w:tcBorders>
            <w:gridSpan w:val="3"/>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117</w:t>
            </w:r>
          </w:p>
        </w:tc>
        <w:tc>
          <w:tcPr>
            <w:tcW w:w="200" w:type="dxa"/>
            <w:vAlign w:val="bottom"/>
          </w:tcPr>
          <w:p>
            <w:pPr>
              <w:spacing w:after="0"/>
              <w:rPr>
                <w:sz w:val="16"/>
                <w:szCs w:val="16"/>
                <w:color w:val="auto"/>
              </w:rPr>
            </w:pPr>
          </w:p>
        </w:tc>
        <w:tc>
          <w:tcPr>
            <w:tcW w:w="540" w:type="dxa"/>
            <w:vAlign w:val="bottom"/>
            <w:tcBorders>
              <w:top w:val="single" w:sz="8" w:color="0000EE"/>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7"/>
                <w:szCs w:val="17"/>
                <w:color w:val="0000EE"/>
              </w:rPr>
              <w:t>Experts</w:t>
            </w:r>
          </w:p>
        </w:tc>
        <w:tc>
          <w:tcPr>
            <w:tcW w:w="440" w:type="dxa"/>
            <w:vAlign w:val="bottom"/>
            <w:tcBorders>
              <w:top w:val="single" w:sz="8" w:color="0000EE"/>
            </w:tcBorders>
            <w:gridSpan w:val="2"/>
          </w:tcPr>
          <w:p>
            <w:pPr>
              <w:spacing w:after="0"/>
              <w:rPr>
                <w:sz w:val="16"/>
                <w:szCs w:val="16"/>
                <w:color w:val="auto"/>
              </w:rPr>
            </w:pPr>
          </w:p>
        </w:tc>
        <w:tc>
          <w:tcPr>
            <w:tcW w:w="4160" w:type="dxa"/>
            <w:vAlign w:val="bottom"/>
            <w:gridSpan w:val="10"/>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189"/>
        </w:trPr>
        <w:tc>
          <w:tcPr>
            <w:tcW w:w="5020" w:type="dxa"/>
            <w:vAlign w:val="bottom"/>
            <w:gridSpan w:val="12"/>
          </w:tcPr>
          <w:p>
            <w:pPr>
              <w:spacing w:after="0" w:line="189" w:lineRule="exact"/>
              <w:rPr>
                <w:sz w:val="20"/>
                <w:szCs w:val="20"/>
                <w:color w:val="auto"/>
              </w:rPr>
            </w:pPr>
            <w:r>
              <w:rPr>
                <w:rFonts w:ascii="Times New Roman" w:cs="Times New Roman" w:eastAsia="Times New Roman" w:hAnsi="Times New Roman"/>
                <w:sz w:val="17"/>
                <w:szCs w:val="17"/>
                <w:color w:val="0000EE"/>
              </w:rPr>
              <w:t>Business</w:t>
            </w: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144</w:t>
            </w:r>
          </w:p>
        </w:tc>
        <w:tc>
          <w:tcPr>
            <w:tcW w:w="5340" w:type="dxa"/>
            <w:vAlign w:val="bottom"/>
            <w:gridSpan w:val="15"/>
          </w:tcPr>
          <w:p>
            <w:pPr>
              <w:ind w:left="200"/>
              <w:spacing w:after="0" w:line="189" w:lineRule="exact"/>
              <w:rPr>
                <w:sz w:val="20"/>
                <w:szCs w:val="20"/>
                <w:color w:val="auto"/>
              </w:rPr>
            </w:pPr>
            <w:r>
              <w:rPr>
                <w:rFonts w:ascii="Times New Roman" w:cs="Times New Roman" w:eastAsia="Times New Roman" w:hAnsi="Times New Roman"/>
                <w:sz w:val="17"/>
                <w:szCs w:val="17"/>
                <w:color w:val="0000EE"/>
              </w:rPr>
              <w:t>Where You Can Find Additional Information</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gridSpan w:val="4"/>
          </w:tcPr>
          <w:p>
            <w:pPr>
              <w:spacing w:after="0" w:line="189" w:lineRule="exact"/>
              <w:rPr>
                <w:sz w:val="20"/>
                <w:szCs w:val="20"/>
                <w:color w:val="auto"/>
              </w:rPr>
            </w:pPr>
            <w:r>
              <w:rPr>
                <w:rFonts w:ascii="Times New Roman" w:cs="Times New Roman" w:eastAsia="Times New Roman" w:hAnsi="Times New Roman"/>
                <w:sz w:val="17"/>
                <w:szCs w:val="17"/>
                <w:color w:val="0000EE"/>
                <w:w w:val="94"/>
              </w:rPr>
              <w:t>Management</w:t>
            </w:r>
          </w:p>
        </w:tc>
        <w:tc>
          <w:tcPr>
            <w:tcW w:w="4140" w:type="dxa"/>
            <w:vAlign w:val="bottom"/>
            <w:gridSpan w:val="8"/>
          </w:tcPr>
          <w:p>
            <w:pPr>
              <w:spacing w:after="0"/>
              <w:rPr>
                <w:sz w:val="16"/>
                <w:szCs w:val="16"/>
                <w:color w:val="auto"/>
              </w:rPr>
            </w:pPr>
          </w:p>
        </w:tc>
        <w:tc>
          <w:tcPr>
            <w:tcW w:w="5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auto"/>
              </w:rPr>
              <w:t>213</w:t>
            </w:r>
          </w:p>
        </w:tc>
        <w:tc>
          <w:tcPr>
            <w:tcW w:w="200" w:type="dxa"/>
            <w:vAlign w:val="bottom"/>
          </w:tcPr>
          <w:p>
            <w:pPr>
              <w:spacing w:after="0"/>
              <w:rPr>
                <w:sz w:val="16"/>
                <w:szCs w:val="16"/>
                <w:color w:val="auto"/>
              </w:rPr>
            </w:pPr>
          </w:p>
        </w:tc>
        <w:tc>
          <w:tcPr>
            <w:tcW w:w="5140" w:type="dxa"/>
            <w:vAlign w:val="bottom"/>
            <w:gridSpan w:val="14"/>
          </w:tcPr>
          <w:p>
            <w:pPr>
              <w:spacing w:after="0" w:line="189" w:lineRule="exact"/>
              <w:rPr>
                <w:sz w:val="20"/>
                <w:szCs w:val="20"/>
                <w:color w:val="auto"/>
              </w:rPr>
            </w:pPr>
            <w:r>
              <w:rPr>
                <w:rFonts w:ascii="Times New Roman" w:cs="Times New Roman" w:eastAsia="Times New Roman" w:hAnsi="Times New Roman"/>
                <w:sz w:val="17"/>
                <w:szCs w:val="17"/>
                <w:color w:val="0000EE"/>
              </w:rPr>
              <w:t>Index to Consolidated Financial Statements</w:t>
            </w:r>
          </w:p>
        </w:tc>
        <w:tc>
          <w:tcPr>
            <w:tcW w:w="3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323850</wp:posOffset>
            </wp:positionV>
            <wp:extent cx="1510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other information that others may give you. We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300"/>
          </w:cols>
          <w:pgMar w:left="320" w:top="446" w:right="2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157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230" cy="515747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223" w:lineRule="exact"/>
        <w:rPr>
          <w:sz w:val="20"/>
          <w:szCs w:val="20"/>
          <w:color w:val="auto"/>
        </w:rPr>
      </w:pPr>
    </w:p>
    <w:p>
      <w:pPr>
        <w:jc w:val="both"/>
        <w:ind w:left="200" w:firstLine="437"/>
        <w:spacing w:after="0" w:line="267"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AI, Inc. and its subsidiaries.</w:t>
      </w: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jc w:val="both"/>
        <w:ind w:left="200" w:firstLine="437"/>
        <w:spacing w:after="0" w:line="263" w:lineRule="auto"/>
        <w:rPr>
          <w:sz w:val="20"/>
          <w:szCs w:val="20"/>
          <w:color w:val="auto"/>
        </w:rPr>
      </w:pPr>
      <w:r>
        <w:rPr>
          <w:rFonts w:ascii="Times New Roman" w:cs="Times New Roman" w:eastAsia="Times New Roman" w:hAnsi="Times New Roman"/>
          <w:sz w:val="17"/>
          <w:szCs w:val="17"/>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73" w:lineRule="exact"/>
        <w:rPr>
          <w:sz w:val="20"/>
          <w:szCs w:val="20"/>
          <w:color w:val="auto"/>
        </w:rPr>
      </w:pPr>
    </w:p>
    <w:p>
      <w:pPr>
        <w:jc w:val="both"/>
        <w:ind w:left="200" w:firstLine="437"/>
        <w:spacing w:after="0" w:line="269" w:lineRule="auto"/>
        <w:rPr>
          <w:sz w:val="20"/>
          <w:szCs w:val="20"/>
          <w:color w:val="auto"/>
        </w:rPr>
      </w:pPr>
      <w:r>
        <w:rPr>
          <w:rFonts w:ascii="Times New Roman" w:cs="Times New Roman" w:eastAsia="Times New Roman" w:hAnsi="Times New Roman"/>
          <w:sz w:val="17"/>
          <w:szCs w:val="17"/>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69" w:lineRule="exact"/>
        <w:rPr>
          <w:sz w:val="20"/>
          <w:szCs w:val="20"/>
          <w:color w:val="auto"/>
        </w:rPr>
      </w:pPr>
    </w:p>
    <w:p>
      <w:pPr>
        <w:jc w:val="both"/>
        <w:ind w:left="200" w:firstLine="437"/>
        <w:spacing w:after="0" w:line="264" w:lineRule="auto"/>
        <w:rPr>
          <w:sz w:val="20"/>
          <w:szCs w:val="20"/>
          <w:color w:val="auto"/>
        </w:rPr>
      </w:pPr>
      <w:r>
        <w:rPr>
          <w:rFonts w:ascii="Times New Roman" w:cs="Times New Roman" w:eastAsia="Times New Roman" w:hAnsi="Times New Roman"/>
          <w:sz w:val="17"/>
          <w:szCs w:val="17"/>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73" w:lineRule="exact"/>
        <w:rPr>
          <w:sz w:val="20"/>
          <w:szCs w:val="20"/>
          <w:color w:val="auto"/>
        </w:rPr>
      </w:pPr>
    </w:p>
    <w:p>
      <w:pPr>
        <w:jc w:val="both"/>
        <w:ind w:left="200" w:firstLine="437"/>
        <w:spacing w:after="0" w:line="263" w:lineRule="auto"/>
        <w:rPr>
          <w:sz w:val="20"/>
          <w:szCs w:val="20"/>
          <w:color w:val="auto"/>
        </w:rPr>
      </w:pPr>
      <w:r>
        <w:rPr>
          <w:rFonts w:ascii="Times New Roman" w:cs="Times New Roman" w:eastAsia="Times New Roman" w:hAnsi="Times New Roman"/>
          <w:sz w:val="17"/>
          <w:szCs w:val="17"/>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neuropsychiatry,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2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100"/>
          </w:cols>
          <w:pgMar w:left="320" w:top="446"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4892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230" cy="48920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firstLine="437"/>
        <w:spacing w:after="0" w:line="264" w:lineRule="auto"/>
        <w:rPr>
          <w:sz w:val="20"/>
          <w:szCs w:val="20"/>
          <w:color w:val="auto"/>
        </w:rPr>
      </w:pPr>
      <w:r>
        <w:rPr>
          <w:rFonts w:ascii="Times New Roman" w:cs="Times New Roman" w:eastAsia="Times New Roman" w:hAnsi="Times New Roman"/>
          <w:sz w:val="17"/>
          <w:szCs w:val="17"/>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73" w:lineRule="exact"/>
        <w:rPr>
          <w:sz w:val="20"/>
          <w:szCs w:val="20"/>
          <w:color w:val="auto"/>
        </w:rPr>
      </w:pPr>
    </w:p>
    <w:p>
      <w:pPr>
        <w:jc w:val="both"/>
        <w:ind w:left="200" w:firstLine="437"/>
        <w:spacing w:after="0" w:line="261" w:lineRule="auto"/>
        <w:rPr>
          <w:sz w:val="20"/>
          <w:szCs w:val="20"/>
          <w:color w:val="auto"/>
        </w:rPr>
      </w:pPr>
      <w:r>
        <w:rPr>
          <w:rFonts w:ascii="Times New Roman" w:cs="Times New Roman" w:eastAsia="Times New Roman" w:hAnsi="Times New Roman"/>
          <w:sz w:val="17"/>
          <w:szCs w:val="17"/>
          <w:color w:val="auto"/>
        </w:rPr>
        <w:t>Our Platform includes proprietary software and dedicated data pipelines that create a network of healthcare institutions through approximately 450 unique data connections, many of which supply us with complex multimodal data in near real time, across more than 2,000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74" w:lineRule="exact"/>
        <w:rPr>
          <w:sz w:val="20"/>
          <w:szCs w:val="20"/>
          <w:color w:val="auto"/>
        </w:rPr>
      </w:pPr>
    </w:p>
    <w:p>
      <w:pPr>
        <w:jc w:val="both"/>
        <w:ind w:left="200" w:firstLine="437"/>
        <w:spacing w:after="0" w:line="261" w:lineRule="auto"/>
        <w:rPr>
          <w:sz w:val="20"/>
          <w:szCs w:val="20"/>
          <w:color w:val="auto"/>
        </w:rPr>
      </w:pPr>
      <w:r>
        <w:rPr>
          <w:rFonts w:ascii="Times New Roman" w:cs="Times New Roman" w:eastAsia="Times New Roman" w:hAnsi="Times New Roman"/>
          <w:sz w:val="17"/>
          <w:szCs w:val="17"/>
          <w:color w:val="auto"/>
        </w:rPr>
        <w:t>We have launched a suite of different products derived from our Platform, which have gained significant traction over the past five years. To date, our offerings have been used by approximately 95% of the largest public pharmaceutical companies based on 2023 revenue, and our clinical NGS volume in oncology rose from approximately 31,000 samples in 2018 to approximately 288,000 samples in 2023. Through March 31, 2024, our offerings have been used by more than 7,000 physicians across hundreds of provider networks, including more than 65% of all academic medical centers in the United States. Our database of multimodal, de-identified records has grown to be more than 50 times the size of The Cancer Genome Atlas, the largest public genomic dataset that we know of in oncology. We also now have more than 200 petabytes of data in our cloud environment. Between our sequencing and data collection efforts, we are connected in some way to more than 50% of all oncologists practicing in the United States. Our access to broad and diverse data serves as the basis for our ability to train generative AI models, and we believe our relationships with healthcare institutions provide us with proprietary data to deliver on the promise of AI in healthcare.</w:t>
      </w:r>
    </w:p>
    <w:p>
      <w:pPr>
        <w:spacing w:after="0" w:line="178" w:lineRule="exact"/>
        <w:rPr>
          <w:sz w:val="20"/>
          <w:szCs w:val="20"/>
          <w:color w:val="auto"/>
        </w:rPr>
      </w:pPr>
    </w:p>
    <w:p>
      <w:pPr>
        <w:jc w:val="both"/>
        <w:ind w:left="200" w:firstLine="437"/>
        <w:spacing w:after="0" w:line="263" w:lineRule="auto"/>
        <w:rPr>
          <w:sz w:val="20"/>
          <w:szCs w:val="20"/>
          <w:color w:val="auto"/>
        </w:rPr>
      </w:pPr>
      <w:r>
        <w:rPr>
          <w:rFonts w:ascii="Times New Roman" w:cs="Times New Roman" w:eastAsia="Times New Roman" w:hAnsi="Times New Roman"/>
          <w:sz w:val="17"/>
          <w:szCs w:val="17"/>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 Even though our cancer business was at an early stage, we next expanded into neuropsychiatry, as we believed our model was extensible across disease areas. Having gained early traction in depression, we then expanded into the radiology and cardiology categories. Each time we enter a new disease area we look to expand upon the model we deployed in oncology by developing Intelligent Diagnostics connected to clinical data, and by leveraging large amounts of de-identified data to advance patient care and accelerate drug discovery and development. Once we obtain sufficient data, which we can leverage as a proprietary training data set for generative AI applications, we expect to deploy our AI and machine learning capabilities to build algorithmic diagnostics at scale across diseases.</w:t>
      </w:r>
    </w:p>
    <w:p>
      <w:pPr>
        <w:spacing w:after="0" w:line="2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00"/>
          </w:cols>
          <w:pgMar w:left="320" w:top="44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6352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230" cy="635254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To manage our growth, we have assembled a world-class team of approximately 2,300 employees, including hundreds with diverse expertise across genetics, molecular and computational biology, bioinformatics, regulatory affairs, medical, product and engineering, and data science. Roughly one-third of our team is technical, with approximately 250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200" w:firstLine="437"/>
        <w:spacing w:after="0" w:line="260" w:lineRule="auto"/>
        <w:rPr>
          <w:sz w:val="20"/>
          <w:szCs w:val="20"/>
          <w:color w:val="auto"/>
        </w:rPr>
      </w:pPr>
      <w:r>
        <w:rPr>
          <w:rFonts w:ascii="Times New Roman" w:cs="Times New Roman" w:eastAsia="Times New Roman" w:hAnsi="Times New Roman"/>
          <w:sz w:val="17"/>
          <w:szCs w:val="17"/>
          <w:color w:val="auto"/>
        </w:rPr>
        <w:t>We generated total revenue of $188.0 million, $257.9 million, $320.7 million and $531.8 million in the years ended December 31, 2020, 2021, 2022 and 2023, respectively, and $115.6 million and $145.8 million in the three months ended March 31, 2023 and 2024, respectively. Revenue generated from COVID-19 testing was $89.5 million, or 47.6% of our total revenue, $94.7 million, or 36.7% of our total revenue, $22.2 million, or 6.9% of our total revenue, and $2.7 million, or 0.5% of our total revenue for the years ended December 31, 2020, 2021, 2022 and 2023, respectively. Revenue generated from COVID-19 testing was $2.6 million, or 2.3% of our total revenue, and $0 for the three months ended March 31, 2023 and 2024, respectively. We stopped offering COVID-19 PCR diagnostic tests in the first quarter of 2023. We incurred net losses of $289.8 million and $214.1 million in the years ended December 31, 2022 and 2023, respectively, and $54.4 million and $64.7 million in the three months ended March 31, 2023 and 2024, respectively. We generated adjusted EBITDA of $(238.8) million and $(154.2) million in the years ended December 31, 2022 and 2023, respectively, and $(45.9) million and $(43.9) million in the three months ended March 31, 2023 and 2024,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see the section titled “Management’s Discussion and Analysis of Financial Condition and Results of Operations—Non-GAAP Financial Measure” in this prospectus.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The Tempus Platform</w:t>
      </w:r>
    </w:p>
    <w:p>
      <w:pPr>
        <w:spacing w:after="0" w:line="120"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100"/>
          </w:cols>
          <w:pgMar w:left="320" w:top="446"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7498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230" cy="74980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17"/>
          <w:szCs w:val="17"/>
          <w:color w:val="auto"/>
        </w:rPr>
        <w:t>closed-loop, full-stack, bi-directional integrations between a clinician’s desktop and our laboratory diagnostic capabilities, analytics platform, and vast repository of multimodal data. The key elements of our 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Data Ingestion and Acquisition</w:t>
      </w:r>
    </w:p>
    <w:p>
      <w:pPr>
        <w:spacing w:after="0" w:line="122" w:lineRule="exact"/>
        <w:rPr>
          <w:sz w:val="20"/>
          <w:szCs w:val="20"/>
          <w:color w:val="auto"/>
        </w:rPr>
      </w:pPr>
    </w:p>
    <w:p>
      <w:pPr>
        <w:jc w:val="both"/>
        <w:ind w:left="200" w:firstLine="437"/>
        <w:spacing w:after="0" w:line="261" w:lineRule="auto"/>
        <w:rPr>
          <w:sz w:val="20"/>
          <w:szCs w:val="20"/>
          <w:color w:val="auto"/>
        </w:rPr>
      </w:pPr>
      <w:r>
        <w:rPr>
          <w:rFonts w:ascii="Times New Roman" w:cs="Times New Roman" w:eastAsia="Times New Roman" w:hAnsi="Times New Roman"/>
          <w:sz w:val="17"/>
          <w:szCs w:val="17"/>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data warehouse, or third-party data provider to pull relevant structured and unstructured data that the provider has agreed to make available to us, or which is necessary to provide our diagnostic tests, including longitudinal follow-up data in certain circumstances. We have established relationships with hundreds of provider networks in the United States, including more than 65% of all academic medical centers. In addition to healthcare providers, we work with numerous industry associations, including the American Society of Clinical Oncology, or ASCO, to structure and distribute the cancer data that they collect as part of CancerLinq, which is their oncology data effort, as well as ONCare Alliance, LLC (surviving entity after merger of the National Cancer Care Alliance and the Quality Cancer Care Alliance), or ONCare Alliance, and others. We also generate data in our three high-throughput diagnostic testing labs in Chicago, Atlanta, and Raleigh.</w:t>
      </w: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Proprietary Data Processing</w:t>
      </w:r>
    </w:p>
    <w:p>
      <w:pPr>
        <w:spacing w:after="0" w:line="122" w:lineRule="exact"/>
        <w:rPr>
          <w:sz w:val="20"/>
          <w:szCs w:val="20"/>
          <w:color w:val="auto"/>
        </w:rPr>
      </w:pPr>
    </w:p>
    <w:p>
      <w:pPr>
        <w:jc w:val="both"/>
        <w:ind w:left="200" w:firstLine="437"/>
        <w:spacing w:after="0" w:line="273" w:lineRule="auto"/>
        <w:rPr>
          <w:sz w:val="20"/>
          <w:szCs w:val="20"/>
          <w:color w:val="auto"/>
        </w:rPr>
      </w:pPr>
      <w:r>
        <w:rPr>
          <w:rFonts w:ascii="Times New Roman" w:cs="Times New Roman" w:eastAsia="Times New Roman" w:hAnsi="Times New Roman"/>
          <w:sz w:val="17"/>
          <w:szCs w:val="17"/>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streamline and help secure this process. Once appropriately de-identified, we store the data in our multimodal database.</w:t>
      </w: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00"/>
          </w:cols>
          <w:pgMar w:left="320" w:top="44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7920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230" cy="7920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Proprietary Multimodal Database</w:t>
      </w:r>
    </w:p>
    <w:p>
      <w:pPr>
        <w:spacing w:after="0" w:line="122" w:lineRule="exact"/>
        <w:rPr>
          <w:sz w:val="20"/>
          <w:szCs w:val="20"/>
          <w:color w:val="auto"/>
        </w:rPr>
      </w:pPr>
    </w:p>
    <w:p>
      <w:pPr>
        <w:jc w:val="both"/>
        <w:ind w:left="200" w:firstLine="437"/>
        <w:spacing w:after="0" w:line="259" w:lineRule="auto"/>
        <w:rPr>
          <w:sz w:val="20"/>
          <w:szCs w:val="20"/>
          <w:color w:val="auto"/>
        </w:rPr>
      </w:pPr>
      <w:r>
        <w:rPr>
          <w:rFonts w:ascii="Times New Roman" w:cs="Times New Roman" w:eastAsia="Times New Roman" w:hAnsi="Times New Roman"/>
          <w:sz w:val="17"/>
          <w:szCs w:val="17"/>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900 million documents, across more than 5.6 million de-identified patient records, including approximately 1.3 billion pages of rich clinical text that we use to train our large language models. The database also includes over 1,000,000 records with imaging data, more than 900,000 with matched clinical records linked with genomic information, and more than 220,000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AI-based applications, which we intend to deploy through our existing network and distribution platform. We also retain the rights to broadly commercialize de-identified data. As the amount of data in our cloud environment continues to grow from its current size of more than 200 petabytes, we believe new AI applications and opportunities will emerge that are only possible with scale, driving further innovations in patient treatment. The graph below shows our historical database growth and its composition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Proprietary Software Tools and Solutions</w:t>
      </w:r>
    </w:p>
    <w:p>
      <w:pPr>
        <w:spacing w:after="0" w:line="122" w:lineRule="exact"/>
        <w:rPr>
          <w:sz w:val="20"/>
          <w:szCs w:val="20"/>
          <w:color w:val="auto"/>
        </w:rPr>
      </w:pPr>
    </w:p>
    <w:p>
      <w:pPr>
        <w:jc w:val="both"/>
        <w:ind w:left="200" w:firstLine="437"/>
        <w:spacing w:after="0" w:line="264" w:lineRule="auto"/>
        <w:rPr>
          <w:sz w:val="20"/>
          <w:szCs w:val="20"/>
          <w:color w:val="auto"/>
        </w:rPr>
      </w:pPr>
      <w:r>
        <w:rPr>
          <w:rFonts w:ascii="Times New Roman" w:cs="Times New Roman" w:eastAsia="Times New Roman" w:hAnsi="Times New Roman"/>
          <w:sz w:val="17"/>
          <w:szCs w:val="17"/>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Our Three Product Lines</w:t>
      </w:r>
    </w:p>
    <w:p>
      <w:pPr>
        <w:spacing w:after="0" w:line="120" w:lineRule="exact"/>
        <w:rPr>
          <w:sz w:val="20"/>
          <w:szCs w:val="20"/>
          <w:color w:val="auto"/>
        </w:rPr>
      </w:pPr>
    </w:p>
    <w:p>
      <w:pPr>
        <w:jc w:val="both"/>
        <w:ind w:left="200" w:firstLine="437"/>
        <w:spacing w:after="0" w:line="295" w:lineRule="auto"/>
        <w:rPr>
          <w:sz w:val="20"/>
          <w:szCs w:val="20"/>
          <w:color w:val="auto"/>
        </w:rPr>
      </w:pPr>
      <w:r>
        <w:rPr>
          <w:rFonts w:ascii="Times New Roman" w:cs="Times New Roman" w:eastAsia="Times New Roman" w:hAnsi="Times New Roman"/>
          <w:sz w:val="17"/>
          <w:szCs w:val="17"/>
          <w:color w:val="auto"/>
        </w:rPr>
        <w:t>We have developed multiple products derived from our Platform that are designed to create an economic model that allows us to invest in structuring and harmonizing data, which is a necessary precursor for deploying AI at scale.</w:t>
      </w:r>
    </w:p>
    <w:p>
      <w:pPr>
        <w:sectPr>
          <w:pgSz w:w="11900" w:h="16838" w:orient="portrait"/>
          <w:cols w:equalWidth="0" w:num="1">
            <w:col w:w="11100"/>
          </w:cols>
          <w:pgMar w:left="320" w:top="446" w:right="479" w:bottom="1440" w:gutter="0" w:footer="0" w:header="0"/>
        </w:sectPr>
      </w:pP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100"/>
          </w:cols>
          <w:pgMar w:left="320" w:top="446" w:right="4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6303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230" cy="6303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61" w:lineRule="auto"/>
        <w:rPr>
          <w:sz w:val="20"/>
          <w:szCs w:val="20"/>
          <w:color w:val="auto"/>
        </w:rPr>
      </w:pPr>
      <w:r>
        <w:rPr>
          <w:rFonts w:ascii="Times New Roman" w:cs="Times New Roman" w:eastAsia="Times New Roman" w:hAnsi="Times New Roman"/>
          <w:sz w:val="17"/>
          <w:szCs w:val="17"/>
          <w:color w:val="auto"/>
        </w:rPr>
        <w:t>Our products are organized under three product lines, each of which is designed to enable and enhance the others, thereby creating network effects in each of the markets in which we operate. We started in Genomics by generating large amounts of molecular data, which in turn gave rise to our Data and Services business through which we licensed de-identified data, which at scale has allowed us to provide a series of data-related services to our life sciences customers, such as clinical trial matching, or Trials. Over time, we expect these products (Genomics + Data and Services) to facilitate deployment of our AI Applications, or Algos, product line through which we will leverage AI models to help route patients to the optimal therapy and advance research more broadly.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178" w:lineRule="exact"/>
        <w:rPr>
          <w:sz w:val="20"/>
          <w:szCs w:val="20"/>
          <w:color w:val="auto"/>
        </w:rPr>
      </w:pPr>
    </w:p>
    <w:p>
      <w:pPr>
        <w:jc w:val="both"/>
        <w:ind w:left="200" w:firstLine="437"/>
        <w:spacing w:after="0" w:line="262" w:lineRule="auto"/>
        <w:rPr>
          <w:sz w:val="20"/>
          <w:szCs w:val="20"/>
          <w:color w:val="auto"/>
        </w:rPr>
      </w:pPr>
      <w:r>
        <w:rPr>
          <w:rFonts w:ascii="Times New Roman" w:cs="Times New Roman" w:eastAsia="Times New Roman" w:hAnsi="Times New Roman"/>
          <w:sz w:val="17"/>
          <w:szCs w:val="17"/>
          <w:color w:val="auto"/>
        </w:rPr>
        <w:t>We describe below our three product lines—Genomics, Data and Services, and AI Applications. Genomics revenue was $151.9 million, $195.0 million, $198.0 million and $363.0 million for the years ended December 31, 2020, 2021, 2022 and 2023, respectively, and $82.1 million and $102.6 million for the three months ended March 31, 2023 and 2024, respectively. Data revenue was $36.1 million, $62.8 million, $122.7 million and $168.8 million for the years ended December 31, 2020, 2021, 2022 and 2023, respectively, and $33.6 million and $43.3 million for the three months ended March 31, 2023 and 2024, respectively. For the years ended December 31, 2020, 2021, 2022 and 2023, Genomics represented 81%, 76%, 62% and 68%, respectively, and Data represented 19%, 24%, 38% and 32%, respectively, of our total revenue. Revenue generated from AI Applications is reported within Data and services in our Consolidated Statement of Operations and was $1.4 million and $5.5 million for the years ended December 31, 2022 and 2023, respectively. Revenue generated from AI Applications was less than $1.0 million for each of the three months ended March 31, 2023 and 2024.</w:t>
      </w: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Genomics</w:t>
      </w:r>
    </w:p>
    <w:p>
      <w:pPr>
        <w:spacing w:after="0" w:line="122" w:lineRule="exact"/>
        <w:rPr>
          <w:sz w:val="20"/>
          <w:szCs w:val="20"/>
          <w:color w:val="auto"/>
        </w:rPr>
      </w:pPr>
    </w:p>
    <w:p>
      <w:pPr>
        <w:jc w:val="both"/>
        <w:ind w:left="200" w:firstLine="437"/>
        <w:spacing w:after="0" w:line="263" w:lineRule="auto"/>
        <w:rPr>
          <w:sz w:val="20"/>
          <w:szCs w:val="20"/>
          <w:color w:val="auto"/>
        </w:rPr>
      </w:pPr>
      <w:r>
        <w:rPr>
          <w:rFonts w:ascii="Times New Roman" w:cs="Times New Roman" w:eastAsia="Times New Roman" w:hAnsi="Times New Roman"/>
          <w:sz w:val="17"/>
          <w:szCs w:val="17"/>
          <w:color w:val="auto"/>
        </w:rPr>
        <w:t>Our Genomics product line leverages our laboratories to provide NGS diagnostics, molecular genotyping, and other anatomic and molecular pathology testing to healthcare providers, life sciences companies, researchers, and other third parties. We operate robotic sequencing labs in Chicago, Atlanta, and Raleigh,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296" w:lineRule="exact"/>
        <w:rPr>
          <w:sz w:val="20"/>
          <w:szCs w:val="20"/>
          <w:color w:val="auto"/>
        </w:rPr>
      </w:pPr>
    </w:p>
    <w:p>
      <w:pPr>
        <w:ind w:left="1160" w:hanging="538"/>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xT – 648 gene solid tumor cancer assay;</w:t>
      </w:r>
    </w:p>
    <w:p>
      <w:pPr>
        <w:spacing w:after="0" w:line="131" w:lineRule="exact"/>
        <w:rPr>
          <w:rFonts w:ascii="Times New Roman" w:cs="Times New Roman" w:eastAsia="Times New Roman" w:hAnsi="Times New Roman"/>
          <w:sz w:val="17"/>
          <w:szCs w:val="17"/>
          <w:color w:val="auto"/>
        </w:rPr>
      </w:pPr>
    </w:p>
    <w:p>
      <w:pPr>
        <w:ind w:left="1160" w:hanging="538"/>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xR – full transcriptome (RNA) solid tumor cancer assay;</w:t>
      </w:r>
    </w:p>
    <w:p>
      <w:pPr>
        <w:spacing w:after="0" w:line="131" w:lineRule="exact"/>
        <w:rPr>
          <w:rFonts w:ascii="Times New Roman" w:cs="Times New Roman" w:eastAsia="Times New Roman" w:hAnsi="Times New Roman"/>
          <w:sz w:val="17"/>
          <w:szCs w:val="17"/>
          <w:color w:val="auto"/>
        </w:rPr>
      </w:pPr>
    </w:p>
    <w:p>
      <w:pPr>
        <w:ind w:left="1160" w:hanging="538"/>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xT-cdx – 648 gene, tumor/normal FDA approved assay;</w:t>
      </w:r>
    </w:p>
    <w:p>
      <w:pPr>
        <w:spacing w:after="0" w:line="131" w:lineRule="exact"/>
        <w:rPr>
          <w:rFonts w:ascii="Times New Roman" w:cs="Times New Roman" w:eastAsia="Times New Roman" w:hAnsi="Times New Roman"/>
          <w:sz w:val="17"/>
          <w:szCs w:val="17"/>
          <w:color w:val="auto"/>
        </w:rPr>
      </w:pPr>
    </w:p>
    <w:p>
      <w:pPr>
        <w:ind w:left="1160" w:hanging="538"/>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xE – whole exome cancer assay;</w:t>
      </w:r>
    </w:p>
    <w:p>
      <w:pPr>
        <w:spacing w:after="0" w:line="131" w:lineRule="exact"/>
        <w:rPr>
          <w:rFonts w:ascii="Times New Roman" w:cs="Times New Roman" w:eastAsia="Times New Roman" w:hAnsi="Times New Roman"/>
          <w:sz w:val="17"/>
          <w:szCs w:val="17"/>
          <w:color w:val="auto"/>
        </w:rPr>
      </w:pPr>
    </w:p>
    <w:p>
      <w:pPr>
        <w:ind w:left="1160" w:hanging="538"/>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xF – 105 gene liquid biopsy cancer assay;</w:t>
      </w:r>
    </w:p>
    <w:p>
      <w:pPr>
        <w:spacing w:after="0" w:line="131" w:lineRule="exact"/>
        <w:rPr>
          <w:rFonts w:ascii="Times New Roman" w:cs="Times New Roman" w:eastAsia="Times New Roman" w:hAnsi="Times New Roman"/>
          <w:sz w:val="17"/>
          <w:szCs w:val="17"/>
          <w:color w:val="auto"/>
        </w:rPr>
      </w:pPr>
    </w:p>
    <w:p>
      <w:pPr>
        <w:ind w:left="1160" w:hanging="538"/>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xG – 52 gene inherited cancer risk germline assay;</w:t>
      </w:r>
    </w:p>
    <w:p>
      <w:pPr>
        <w:spacing w:after="0" w:line="131" w:lineRule="exact"/>
        <w:rPr>
          <w:rFonts w:ascii="Times New Roman" w:cs="Times New Roman" w:eastAsia="Times New Roman" w:hAnsi="Times New Roman"/>
          <w:sz w:val="17"/>
          <w:szCs w:val="17"/>
          <w:color w:val="auto"/>
        </w:rPr>
      </w:pPr>
    </w:p>
    <w:p>
      <w:pPr>
        <w:ind w:left="1160" w:hanging="538"/>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nP – pharmacogenomics profiling in neuropsychiatry;</w:t>
      </w:r>
    </w:p>
    <w:p>
      <w:pPr>
        <w:spacing w:after="0" w:line="131" w:lineRule="exact"/>
        <w:rPr>
          <w:rFonts w:ascii="Times New Roman" w:cs="Times New Roman" w:eastAsia="Times New Roman" w:hAnsi="Times New Roman"/>
          <w:sz w:val="17"/>
          <w:szCs w:val="17"/>
          <w:color w:val="auto"/>
        </w:rPr>
      </w:pPr>
    </w:p>
    <w:p>
      <w:pPr>
        <w:ind w:left="1160" w:hanging="538"/>
        <w:spacing w:after="0" w:line="295"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xF+ – expanded 523 gene panel covering additional fusions and copy number variants, or CNVs, as well as blood tumor mutational burden, or bTMB, and microsatellite instability high, or MSI-H;</w:t>
      </w:r>
    </w:p>
    <w:p>
      <w:pPr>
        <w:spacing w:after="0" w:line="55" w:lineRule="exact"/>
        <w:rPr>
          <w:rFonts w:ascii="Times New Roman" w:cs="Times New Roman" w:eastAsia="Times New Roman" w:hAnsi="Times New Roman"/>
          <w:sz w:val="17"/>
          <w:szCs w:val="17"/>
          <w:color w:val="auto"/>
        </w:rPr>
      </w:pPr>
    </w:p>
    <w:p>
      <w:pPr>
        <w:ind w:left="1160" w:hanging="538"/>
        <w:spacing w:after="0"/>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xG+ – 88 gene panel covering genes associated with both common and rare hereditary cancers; and</w:t>
      </w:r>
    </w:p>
    <w:p>
      <w:pPr>
        <w:spacing w:after="0" w:line="131" w:lineRule="exact"/>
        <w:rPr>
          <w:rFonts w:ascii="Times New Roman" w:cs="Times New Roman" w:eastAsia="Times New Roman" w:hAnsi="Times New Roman"/>
          <w:sz w:val="17"/>
          <w:szCs w:val="17"/>
          <w:color w:val="auto"/>
        </w:rPr>
      </w:pPr>
    </w:p>
    <w:p>
      <w:pPr>
        <w:ind w:left="1160" w:hanging="538"/>
        <w:spacing w:after="0" w:line="295" w:lineRule="auto"/>
        <w:tabs>
          <w:tab w:leader="none" w:pos="11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xM - high coverage methylation sequencing assay for minimal residual disease detection launched in June 2024 initially covering colorectal cancer with the potential to expand into both other indications and treatment response monitoring.</w:t>
      </w: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100"/>
          </w:cols>
          <w:pgMar w:left="320" w:top="446"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7763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230" cy="77635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In addition, on June 1, 2024, pursuant to our Commercialization and Reference Laboratory Agreement with Personalis, Inc., we made available for clinical ordering NeXT Personal Dx, an ultra sensitive, whole genome minimal residual disease and monitoring assay for non-small cell lung cancer, breast cancer, and immuno-oncology treatment response monitoring.</w:t>
      </w:r>
    </w:p>
    <w:p>
      <w:pPr>
        <w:spacing w:after="0" w:line="162"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As we have continued to expand our laboratory testing offerings and scale, in addition to increasing reimbursement for our tests, we have achieved continued improved margins. Genomics margin, adjusted for the impact of COVID-19 testing, was (21%), 4%, 25%, 48%, 45% and 48% for the years ended December 31, 2020, 2021, 2022 and 2023 and the three months ended March 31, 2023 and 2024, respectively.</w:t>
      </w:r>
    </w:p>
    <w:p>
      <w:pPr>
        <w:spacing w:after="0" w:line="162" w:lineRule="exact"/>
        <w:rPr>
          <w:sz w:val="20"/>
          <w:szCs w:val="20"/>
          <w:color w:val="auto"/>
        </w:rPr>
      </w:pPr>
    </w:p>
    <w:p>
      <w:pPr>
        <w:jc w:val="both"/>
        <w:ind w:left="200" w:firstLine="437"/>
        <w:spacing w:after="0" w:line="269" w:lineRule="auto"/>
        <w:rPr>
          <w:sz w:val="20"/>
          <w:szCs w:val="20"/>
          <w:color w:val="auto"/>
        </w:rPr>
      </w:pPr>
      <w:r>
        <w:rPr>
          <w:rFonts w:ascii="Times New Roman" w:cs="Times New Roman" w:eastAsia="Times New Roman" w:hAnsi="Times New Roman"/>
          <w:sz w:val="17"/>
          <w:szCs w:val="17"/>
          <w:color w:val="auto"/>
        </w:rPr>
        <w:t>Our cancer tests have gained wide market adoption and allowed us to amass what we consider to be one of the largest de-identified clinical and molecular oncology datasets in the world, which we make available to physicians and life sciences companies. Because our Platform is designed to be extensible across disease areas, we hope, over time, to have similar success in neuropsychiatry, cardiology, and the other disease categories in which we choose to expand.</w:t>
      </w:r>
    </w:p>
    <w:p>
      <w:pPr>
        <w:spacing w:after="0" w:line="2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Data and Services</w:t>
      </w:r>
    </w:p>
    <w:p>
      <w:pPr>
        <w:spacing w:after="0" w:line="122" w:lineRule="exact"/>
        <w:rPr>
          <w:sz w:val="20"/>
          <w:szCs w:val="20"/>
          <w:color w:val="auto"/>
        </w:rPr>
      </w:pPr>
    </w:p>
    <w:p>
      <w:pPr>
        <w:jc w:val="both"/>
        <w:ind w:left="200" w:firstLine="437"/>
        <w:spacing w:after="0" w:line="264" w:lineRule="auto"/>
        <w:rPr>
          <w:sz w:val="20"/>
          <w:szCs w:val="20"/>
          <w:color w:val="auto"/>
        </w:rPr>
      </w:pPr>
      <w:r>
        <w:rPr>
          <w:rFonts w:ascii="Times New Roman" w:cs="Times New Roman" w:eastAsia="Times New Roman" w:hAnsi="Times New Roman"/>
          <w:sz w:val="17"/>
          <w:szCs w:val="17"/>
          <w:color w:val="auto"/>
        </w:rPr>
        <w:t>Our Data and Services product line facilitates drug discovery and development for life sciences companies through two primary products, Insights and Trials. Through our Insights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lifecycle—from discovery, research and development, and, ultimately,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200" w:firstLine="437"/>
        <w:spacing w:after="0" w:line="269" w:lineRule="auto"/>
        <w:rPr>
          <w:sz w:val="20"/>
          <w:szCs w:val="20"/>
          <w:color w:val="auto"/>
        </w:rPr>
      </w:pPr>
      <w:r>
        <w:rPr>
          <w:rFonts w:ascii="Times New Roman" w:cs="Times New Roman" w:eastAsia="Times New Roman" w:hAnsi="Times New Roman"/>
          <w:sz w:val="17"/>
          <w:szCs w:val="17"/>
          <w:color w:val="auto"/>
        </w:rPr>
        <w:t>Customers either pay us on a per file basis or through multi-year data licensing agreements to access our de-identified database of clinical records. We work with 19 of the 20 largest public pharmaceutical companies based on 2023 revenue, and as of December 31, 2023, we have signed contracts with a remaining total contract value of more than $920.0 million, which includes approximately $300.0 million in additional potential future contractual opt-ins. See “Business” for additional discussion regarding our remaining total contract value.</w:t>
      </w:r>
    </w:p>
    <w:p>
      <w:pPr>
        <w:sectPr>
          <w:pgSz w:w="11900" w:h="16838" w:orient="portrait"/>
          <w:cols w:equalWidth="0" w:num="1">
            <w:col w:w="11100"/>
          </w:cols>
          <w:pgMar w:left="320" w:top="446" w:right="479" w:bottom="1440" w:gutter="0" w:footer="0" w:header="0"/>
        </w:sectPr>
      </w:pPr>
    </w:p>
    <w:p>
      <w:pPr>
        <w:spacing w:after="0" w:line="2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100"/>
          </w:cols>
          <w:pgMar w:left="320" w:top="446" w:right="4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4095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230" cy="40957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the value of a single de-identified record can increase over time.</w:t>
      </w:r>
    </w:p>
    <w:p>
      <w:pPr>
        <w:spacing w:after="0" w:line="162" w:lineRule="exact"/>
        <w:rPr>
          <w:sz w:val="20"/>
          <w:szCs w:val="20"/>
          <w:color w:val="auto"/>
        </w:rPr>
      </w:pPr>
    </w:p>
    <w:p>
      <w:pPr>
        <w:jc w:val="both"/>
        <w:ind w:left="200" w:firstLine="437"/>
        <w:spacing w:after="0" w:line="259" w:lineRule="auto"/>
        <w:rPr>
          <w:sz w:val="20"/>
          <w:szCs w:val="20"/>
          <w:color w:val="auto"/>
        </w:rPr>
      </w:pPr>
      <w:r>
        <w:rPr>
          <w:rFonts w:ascii="Times New Roman" w:cs="Times New Roman" w:eastAsia="Times New Roman" w:hAnsi="Times New Roman"/>
          <w:sz w:val="17"/>
          <w:szCs w:val="17"/>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and Services revenue is a component of Data and services revenue in our Consolidated Statement of Operations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services in the Consolidated Statement of Operations. Cost of revenues, data and services were $40.2 million and $56.5 million for the years ended December 31, 2022 and 2023, respectively. These costs represented 32.8% and 33.5% of data and services revenue for the years ended December 31, 2022 and 2023, respectively.</w:t>
      </w:r>
    </w:p>
    <w:p>
      <w:pPr>
        <w:spacing w:after="0" w:line="394" w:lineRule="exact"/>
        <w:rPr>
          <w:sz w:val="20"/>
          <w:szCs w:val="20"/>
          <w:color w:val="auto"/>
        </w:rPr>
      </w:pPr>
    </w:p>
    <w:p>
      <w:pPr>
        <w:jc w:val="both"/>
        <w:ind w:left="200" w:firstLine="437"/>
        <w:spacing w:after="0" w:line="261" w:lineRule="auto"/>
        <w:rPr>
          <w:sz w:val="20"/>
          <w:szCs w:val="20"/>
          <w:color w:val="auto"/>
        </w:rPr>
      </w:pPr>
      <w:r>
        <w:rPr>
          <w:rFonts w:ascii="Times New Roman" w:cs="Times New Roman" w:eastAsia="Times New Roman" w:hAnsi="Times New Roman"/>
          <w:sz w:val="17"/>
          <w:szCs w:val="17"/>
          <w:color w:val="auto"/>
        </w:rPr>
        <w:t>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200" w:lineRule="exact"/>
        <w:rPr>
          <w:sz w:val="20"/>
          <w:szCs w:val="20"/>
          <w:color w:val="auto"/>
        </w:rPr>
      </w:pP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100"/>
          </w:cols>
          <w:pgMar w:left="320" w:top="446"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9182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230" cy="9182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“Cohort Lifetime Value” for the 2018 to 2023 data cohorts is illustrated in the graphs below.</w:t>
      </w:r>
    </w:p>
    <w:p>
      <w:pPr>
        <w:sectPr>
          <w:pgSz w:w="11900" w:h="16838" w:orient="portrait"/>
          <w:cols w:equalWidth="0" w:num="1">
            <w:col w:w="10139"/>
          </w:cols>
          <w:pgMar w:left="320" w:top="446" w:right="1440" w:bottom="5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139"/>
          </w:cols>
          <w:pgMar w:left="320" w:top="446" w:right="1440" w:bottom="536"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890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230" cy="8908415"/>
                    </a:xfrm>
                    <a:prstGeom prst="rect">
                      <a:avLst/>
                    </a:prstGeom>
                    <a:noFill/>
                  </pic:spPr>
                </pic:pic>
              </a:graphicData>
            </a:graphic>
          </wp:anchor>
        </w:drawing>
      </w:r>
    </w:p>
    <w:p>
      <w:pPr>
        <w:sectPr>
          <w:pgSz w:w="11900" w:h="16838" w:orient="portrait"/>
          <w:cols w:equalWidth="0" w:num="1">
            <w:col w:w="11100"/>
          </w:cols>
          <w:pgMar w:left="320" w:top="446" w:right="479" w:bottom="9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Our second focus area within our Data and Services product line, Trials, is a suite of services designed to leverage the broad network of physicians we work with in oncology to provide clinical trial support for pharmaceutical companies that are looking to reach hard-to-find and underserved patient populations. Our clinical trial matching product, which we refer to as TIME, is built on top of our near real-time data feeds and</w:t>
      </w:r>
    </w:p>
    <w:p>
      <w:pPr>
        <w:sectPr>
          <w:pgSz w:w="11900" w:h="16838" w:orient="portrait"/>
          <w:cols w:equalWidth="0" w:num="1">
            <w:col w:w="11100"/>
          </w:cols>
          <w:pgMar w:left="320" w:top="446" w:right="479" w:bottom="967" w:gutter="0" w:footer="0" w:header="0"/>
          <w:type w:val="continuous"/>
        </w:sect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100"/>
          </w:cols>
          <w:pgMar w:left="320" w:top="446" w:right="479" w:bottom="967"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5562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230" cy="5556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63" w:lineRule="auto"/>
        <w:rPr>
          <w:sz w:val="20"/>
          <w:szCs w:val="20"/>
          <w:color w:val="auto"/>
        </w:rPr>
      </w:pPr>
      <w:r>
        <w:rPr>
          <w:rFonts w:ascii="Times New Roman" w:cs="Times New Roman" w:eastAsia="Times New Roman" w:hAnsi="Times New Roman"/>
          <w:sz w:val="17"/>
          <w:szCs w:val="17"/>
          <w:color w:val="auto"/>
        </w:rPr>
        <w:t>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230 clinical trials signed into the network. More than 30,000 patients were identified for potential enrollment into clinical trials in our network, as of March 31, 2024.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73" w:lineRule="exact"/>
        <w:rPr>
          <w:sz w:val="20"/>
          <w:szCs w:val="20"/>
          <w:color w:val="auto"/>
        </w:rPr>
      </w:pPr>
    </w:p>
    <w:p>
      <w:pPr>
        <w:jc w:val="both"/>
        <w:ind w:left="200" w:firstLine="437"/>
        <w:spacing w:after="0" w:line="264" w:lineRule="auto"/>
        <w:rPr>
          <w:sz w:val="20"/>
          <w:szCs w:val="20"/>
          <w:color w:val="auto"/>
        </w:rPr>
      </w:pPr>
      <w:r>
        <w:rPr>
          <w:rFonts w:ascii="Times New Roman" w:cs="Times New Roman" w:eastAsia="Times New Roman" w:hAnsi="Times New Roman"/>
          <w:sz w:val="17"/>
          <w:szCs w:val="17"/>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AI Applications</w:t>
      </w:r>
    </w:p>
    <w:p>
      <w:pPr>
        <w:spacing w:after="0" w:line="122" w:lineRule="exact"/>
        <w:rPr>
          <w:sz w:val="20"/>
          <w:szCs w:val="20"/>
          <w:color w:val="auto"/>
        </w:rPr>
      </w:pPr>
    </w:p>
    <w:p>
      <w:pPr>
        <w:jc w:val="both"/>
        <w:ind w:left="200" w:firstLine="437"/>
        <w:spacing w:after="0" w:line="264" w:lineRule="auto"/>
        <w:rPr>
          <w:sz w:val="20"/>
          <w:szCs w:val="20"/>
          <w:color w:val="auto"/>
        </w:rPr>
      </w:pPr>
      <w:r>
        <w:rPr>
          <w:rFonts w:ascii="Times New Roman" w:cs="Times New Roman" w:eastAsia="Times New Roman" w:hAnsi="Times New Roman"/>
          <w:sz w:val="17"/>
          <w:szCs w:val="17"/>
          <w:color w:val="auto"/>
        </w:rPr>
        <w:t>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73" w:lineRule="exact"/>
        <w:rPr>
          <w:sz w:val="20"/>
          <w:szCs w:val="20"/>
          <w:color w:val="auto"/>
        </w:rPr>
      </w:pPr>
    </w:p>
    <w:p>
      <w:pPr>
        <w:jc w:val="both"/>
        <w:ind w:left="200" w:firstLine="437"/>
        <w:spacing w:after="0" w:line="261" w:lineRule="auto"/>
        <w:rPr>
          <w:sz w:val="20"/>
          <w:szCs w:val="20"/>
          <w:color w:val="auto"/>
        </w:rPr>
      </w:pPr>
      <w:r>
        <w:rPr>
          <w:rFonts w:ascii="Times New Roman" w:cs="Times New Roman" w:eastAsia="Times New Roman" w:hAnsi="Times New Roman"/>
          <w:sz w:val="17"/>
          <w:szCs w:val="17"/>
          <w:color w:val="auto"/>
        </w:rPr>
        <w:t>Within oncology, we offer a suite of algorithmic tests as complements to our NGS assays, including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or CPIC.</w:t>
      </w:r>
    </w:p>
    <w:p>
      <w:pPr>
        <w:spacing w:after="0" w:line="178" w:lineRule="exact"/>
        <w:rPr>
          <w:sz w:val="20"/>
          <w:szCs w:val="20"/>
          <w:color w:val="auto"/>
        </w:rPr>
      </w:pPr>
    </w:p>
    <w:p>
      <w:pPr>
        <w:jc w:val="both"/>
        <w:ind w:left="200" w:firstLine="437"/>
        <w:spacing w:after="0" w:line="265" w:lineRule="auto"/>
        <w:rPr>
          <w:sz w:val="20"/>
          <w:szCs w:val="20"/>
          <w:color w:val="auto"/>
        </w:rPr>
      </w:pPr>
      <w:r>
        <w:rPr>
          <w:rFonts w:ascii="Times New Roman" w:cs="Times New Roman" w:eastAsia="Times New Roman" w:hAnsi="Times New Roman"/>
          <w:sz w:val="17"/>
          <w:szCs w:val="17"/>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likely disease progression. More than 80 hospitals nationwide are currently powered by Tempus Next and more than 44,000 patients are screened per month. We are also developing algorithmic models that aid clinicians in identifying patients at increased risk of developing atrial fibrillation, or AFib, along with a variety of other cardiac conditions. These Algos are trained using de-identified data derived from approximately 3.5 million electrocardiograms, or ECGs, across more than</w:t>
      </w: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100"/>
          </w:cols>
          <w:pgMar w:left="320" w:top="446"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688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230" cy="56889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66" w:lineRule="auto"/>
        <w:rPr>
          <w:sz w:val="20"/>
          <w:szCs w:val="20"/>
          <w:color w:val="auto"/>
        </w:rPr>
      </w:pPr>
      <w:r>
        <w:rPr>
          <w:rFonts w:ascii="Times New Roman" w:cs="Times New Roman" w:eastAsia="Times New Roman" w:hAnsi="Times New Roman"/>
          <w:sz w:val="17"/>
          <w:szCs w:val="17"/>
          <w:color w:val="auto"/>
        </w:rPr>
        <w:t>700,000 patients, with decades of longitudinal connected clinical data, including outcome and response data. As part of this initiative, the U.S. Food and Drug Administration, or FDA,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 each year.</w:t>
      </w:r>
    </w:p>
    <w:p>
      <w:pPr>
        <w:spacing w:after="0" w:line="171"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62" w:lineRule="exact"/>
        <w:rPr>
          <w:sz w:val="20"/>
          <w:szCs w:val="20"/>
          <w:color w:val="auto"/>
        </w:rPr>
      </w:pPr>
    </w:p>
    <w:p>
      <w:pPr>
        <w:jc w:val="both"/>
        <w:ind w:left="200" w:firstLine="437"/>
        <w:spacing w:after="0" w:line="266" w:lineRule="auto"/>
        <w:rPr>
          <w:sz w:val="20"/>
          <w:szCs w:val="20"/>
          <w:color w:val="auto"/>
        </w:rPr>
      </w:pPr>
      <w:r>
        <w:rPr>
          <w:rFonts w:ascii="Times New Roman" w:cs="Times New Roman" w:eastAsia="Times New Roman" w:hAnsi="Times New Roman"/>
          <w:sz w:val="17"/>
          <w:szCs w:val="17"/>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171" w:lineRule="exact"/>
        <w:rPr>
          <w:sz w:val="20"/>
          <w:szCs w:val="20"/>
          <w:color w:val="auto"/>
        </w:rPr>
      </w:pPr>
    </w:p>
    <w:p>
      <w:pPr>
        <w:jc w:val="both"/>
        <w:ind w:left="200" w:firstLine="437"/>
        <w:spacing w:after="0" w:line="263" w:lineRule="auto"/>
        <w:rPr>
          <w:sz w:val="20"/>
          <w:szCs w:val="20"/>
          <w:color w:val="auto"/>
        </w:rPr>
      </w:pPr>
      <w:r>
        <w:rPr>
          <w:rFonts w:ascii="Times New Roman" w:cs="Times New Roman" w:eastAsia="Times New Roman" w:hAnsi="Times New Roman"/>
          <w:sz w:val="17"/>
          <w:szCs w:val="17"/>
          <w:color w:val="auto"/>
        </w:rPr>
        <w:t>Our AI Applications product line represents an emerging category of diagnostics and has the potential to be highly disruptive across diagnostic tests in a broad set of disease areas. We believe that as our database grows, we will be able to expand our offerings, representing a significant long-term opportunity that may be substantially larger than our other existing product lines. We believe our ability to launch generative AI Applications at scale could be a unique differentiator of our Platform. For each AI Application, we use data the same way legacy diagnostics companies use chemistry in the battle against disease, attempting to improve patient care by learning from the patients who have come before, and tailoring test results based on a patient’s unique profile. Some Algos will likely yield little to no reimbursement until their clinical utility is well established, and some may obtain reimbursement at prevailing rates for comparable tests.</w:t>
      </w: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120" w:lineRule="exact"/>
        <w:rPr>
          <w:sz w:val="20"/>
          <w:szCs w:val="20"/>
          <w:color w:val="auto"/>
        </w:rPr>
      </w:pPr>
    </w:p>
    <w:p>
      <w:pPr>
        <w:jc w:val="both"/>
        <w:ind w:left="200" w:firstLine="437"/>
        <w:spacing w:after="0" w:line="264" w:lineRule="auto"/>
        <w:rPr>
          <w:sz w:val="20"/>
          <w:szCs w:val="20"/>
          <w:color w:val="auto"/>
        </w:rPr>
      </w:pPr>
      <w:r>
        <w:rPr>
          <w:rFonts w:ascii="Times New Roman" w:cs="Times New Roman" w:eastAsia="Times New Roman" w:hAnsi="Times New Roman"/>
          <w:sz w:val="17"/>
          <w:szCs w:val="17"/>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neuropsychiatry, cardiology, and radiology, in which there is over $3 trillion of economic burden according to publicly available sources.</w:t>
      </w:r>
    </w:p>
    <w:p>
      <w:pPr>
        <w:spacing w:after="0" w:line="173" w:lineRule="exact"/>
        <w:rPr>
          <w:sz w:val="20"/>
          <w:szCs w:val="20"/>
          <w:color w:val="auto"/>
        </w:rPr>
      </w:pPr>
    </w:p>
    <w:p>
      <w:pPr>
        <w:jc w:val="both"/>
        <w:ind w:left="200" w:firstLine="437"/>
        <w:spacing w:after="0" w:line="262" w:lineRule="auto"/>
        <w:rPr>
          <w:sz w:val="20"/>
          <w:szCs w:val="20"/>
          <w:color w:val="auto"/>
        </w:rPr>
      </w:pPr>
      <w:r>
        <w:rPr>
          <w:rFonts w:ascii="Times New Roman" w:cs="Times New Roman" w:eastAsia="Times New Roman" w:hAnsi="Times New Roman"/>
          <w:sz w:val="17"/>
          <w:szCs w:val="17"/>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neuropsychiatry, which includes an estimated addressable market opportunity for solid tumor recurrence and treatment monitoring of over $20 billion. Our Data and Services product line operates within a market in which life sciences companies spent an estimated $262 billion in 2023 on research and development according to Evaluate Pharma, and addresses needs within the $50 billion clinical trial services market, the $51 billion market for biomarker discovery, and the $18 billion market for third party research for “real world evidence”, as estimated according to Mordor Intelligence and our internal estimates. Over time, we believe that the potential market opportunity for our AI Applications product line could be substantially larger than our other product lines combined.</w:t>
      </w: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100"/>
          </w:cols>
          <w:pgMar w:left="320" w:top="446"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7016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230" cy="70167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Long-Term Vision</w:t>
      </w:r>
    </w:p>
    <w:p>
      <w:pPr>
        <w:spacing w:after="0" w:line="120" w:lineRule="exact"/>
        <w:rPr>
          <w:sz w:val="20"/>
          <w:szCs w:val="20"/>
          <w:color w:val="auto"/>
        </w:rPr>
      </w:pPr>
    </w:p>
    <w:p>
      <w:pPr>
        <w:jc w:val="both"/>
        <w:ind w:left="200" w:firstLine="437"/>
        <w:spacing w:after="0" w:line="261" w:lineRule="auto"/>
        <w:rPr>
          <w:sz w:val="20"/>
          <w:szCs w:val="20"/>
          <w:color w:val="auto"/>
        </w:rPr>
      </w:pPr>
      <w:r>
        <w:rPr>
          <w:rFonts w:ascii="Times New Roman" w:cs="Times New Roman" w:eastAsia="Times New Roman" w:hAnsi="Times New Roman"/>
          <w:sz w:val="17"/>
          <w:szCs w:val="17"/>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and Services product line is powered by dedicated, near real-time data pipelines that we believe are increasingly difficult to replicate; and our proprietary technology has allowed us to scale where others have been unable. As we are now connected to more than 50% of all oncologists practicing in the United States in some way, and a growing number of neuropsychiatric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390" w:lineRule="exact"/>
        <w:rPr>
          <w:sz w:val="20"/>
          <w:szCs w:val="20"/>
          <w:color w:val="auto"/>
        </w:rPr>
      </w:pPr>
    </w:p>
    <w:p>
      <w:pPr>
        <w:jc w:val="both"/>
        <w:ind w:left="200" w:firstLine="437"/>
        <w:spacing w:after="0" w:line="263" w:lineRule="auto"/>
        <w:rPr>
          <w:sz w:val="20"/>
          <w:szCs w:val="20"/>
          <w:color w:val="auto"/>
        </w:rPr>
      </w:pPr>
      <w:r>
        <w:rPr>
          <w:rFonts w:ascii="Times New Roman" w:cs="Times New Roman" w:eastAsia="Times New Roman" w:hAnsi="Times New Roman"/>
          <w:sz w:val="17"/>
          <w:szCs w:val="17"/>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generative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62" w:lineRule="exact"/>
        <w:rPr>
          <w:sz w:val="20"/>
          <w:szCs w:val="20"/>
          <w:color w:val="auto"/>
        </w:rPr>
      </w:pPr>
    </w:p>
    <w:p>
      <w:pPr>
        <w:jc w:val="both"/>
        <w:ind w:left="200" w:firstLine="437"/>
        <w:spacing w:after="0" w:line="269" w:lineRule="auto"/>
        <w:rPr>
          <w:sz w:val="20"/>
          <w:szCs w:val="20"/>
          <w:color w:val="auto"/>
        </w:rPr>
      </w:pPr>
      <w:r>
        <w:rPr>
          <w:rFonts w:ascii="Times New Roman" w:cs="Times New Roman" w:eastAsia="Times New Roman" w:hAnsi="Times New Roman"/>
          <w:sz w:val="17"/>
          <w:szCs w:val="17"/>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2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100"/>
          </w:cols>
          <w:pgMar w:left="320" w:top="446"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6477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230" cy="6477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this singular pursuit we are indelibly focused.</w:t>
      </w: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Our Competitive Advantages</w:t>
      </w:r>
    </w:p>
    <w:p>
      <w:pPr>
        <w:spacing w:after="0" w:line="133" w:lineRule="exact"/>
        <w:rPr>
          <w:sz w:val="20"/>
          <w:szCs w:val="20"/>
          <w:color w:val="auto"/>
        </w:rPr>
      </w:pPr>
    </w:p>
    <w:p>
      <w:pPr>
        <w:ind w:left="1160" w:hanging="272"/>
        <w:spacing w:after="0"/>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both a technology company and a healthcare company, allowing us to harness the advantages of both to advance precision medicine.</w:t>
      </w:r>
    </w:p>
    <w:p>
      <w:pPr>
        <w:spacing w:after="0" w:line="131"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built a Platform that is connected to hundreds of provider networks, allowing us to amass a large repository of multimodal data that we believe is essential for bringing AI to healthcare.</w:t>
      </w:r>
    </w:p>
    <w:p>
      <w:pPr>
        <w:spacing w:after="0" w:line="55"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Intelligent Diagnostics provide significant value to our customers, which has fostered broad adoption of many of our products.</w:t>
      </w:r>
    </w:p>
    <w:p>
      <w:pPr>
        <w:spacing w:after="0" w:line="131"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model has inherent network effects that help drive adoption and improve our data advantage with each new order placed.</w:t>
      </w:r>
    </w:p>
    <w:p>
      <w:pPr>
        <w:spacing w:after="0" w:line="131"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Platform was built to collect, structure, harmonize and analyze large amounts of multimodal data and make use of large language models deploying generative AI applications in healthcare.</w:t>
      </w:r>
    </w:p>
    <w:p>
      <w:pPr>
        <w:spacing w:after="0" w:line="55"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Platform is disease agnostic and facilitates rapid expansion into different disease categories.</w:t>
      </w:r>
    </w:p>
    <w:p>
      <w:pPr>
        <w:spacing w:after="0" w:line="131"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our database and the breadth of our multimodal data capabilities position us well to be able to launch algorithmic diagnostics (Algos) and other AI Applications at scale.</w:t>
      </w:r>
    </w:p>
    <w:p>
      <w:pPr>
        <w:spacing w:after="0" w:line="55"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of our products and services are already widely used throughout the healthcare ecosystem.</w:t>
      </w:r>
    </w:p>
    <w:p>
      <w:pPr>
        <w:spacing w:after="0" w:line="131"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technology integration, go to market and commercial infrastructure provide a significant strategic advantage that can be leveraged to accelerate new product launches and realize efficiencies.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133" w:lineRule="exact"/>
        <w:rPr>
          <w:sz w:val="20"/>
          <w:szCs w:val="20"/>
          <w:color w:val="auto"/>
        </w:rPr>
      </w:pPr>
    </w:p>
    <w:p>
      <w:pPr>
        <w:ind w:left="1160" w:hanging="27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 our database and the number of providers connected to our Platform.</w:t>
      </w:r>
    </w:p>
    <w:p>
      <w:pPr>
        <w:spacing w:after="0" w:line="131"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Drive increased adoption of our Genomics product across healthcare providers.</w:t>
      </w:r>
    </w:p>
    <w:p>
      <w:pPr>
        <w:spacing w:after="0" w:line="131"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Drive increased adoption of our data licensing and clinical trial matching products with pharmaceutical and biotechnology companies.</w:t>
      </w:r>
    </w:p>
    <w:p>
      <w:pPr>
        <w:spacing w:after="0" w:line="131"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Validate and deploy AI Applications at scale.</w:t>
      </w:r>
    </w:p>
    <w:p>
      <w:pPr>
        <w:spacing w:after="0" w:line="131"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capabilities and commercial traction outside of oncology, including in neuropsychiatry, radiology, cardiology, and other disease categories.</w:t>
      </w:r>
    </w:p>
    <w:p>
      <w:pPr>
        <w:spacing w:after="0" w:line="55"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internationally.</w:t>
      </w: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Series G-5 Financing</w:t>
      </w:r>
    </w:p>
    <w:p>
      <w:pPr>
        <w:spacing w:after="0" w:line="122" w:lineRule="exact"/>
        <w:rPr>
          <w:sz w:val="20"/>
          <w:szCs w:val="20"/>
          <w:color w:val="auto"/>
        </w:rPr>
      </w:pPr>
    </w:p>
    <w:p>
      <w:pPr>
        <w:jc w:val="both"/>
        <w:ind w:left="200" w:firstLine="437"/>
        <w:spacing w:after="0" w:line="262" w:lineRule="auto"/>
        <w:rPr>
          <w:sz w:val="20"/>
          <w:szCs w:val="20"/>
          <w:color w:val="auto"/>
        </w:rPr>
      </w:pPr>
      <w:r>
        <w:rPr>
          <w:rFonts w:ascii="Times New Roman" w:cs="Times New Roman" w:eastAsia="Times New Roman" w:hAnsi="Times New Roman"/>
          <w:sz w:val="17"/>
          <w:szCs w:val="17"/>
          <w:color w:val="auto"/>
        </w:rPr>
        <w:t>On April 30, 2024, we entered into a stock purchase agreement with an investor affiliated with SoftBank Group Corporation, or SoftBank, pursuant to which we issued and sold 3,489,981 shares of our Series G-5 convertible preferred stock at a price per share of $57.3069, for an aggregate purchase price of approximately $200.0 million. The terms of our Series G-5 convertible preferred stock provide that in the event of an initial public offering of our Class A common stock, each share of Series G-5 convertible preferred stock would be converted into a number of shares of our Class A common stock equal to (i) $57.3069 per share, plus any accrued and unpaid dividends on such share, divided by (ii) the lesser of (a) $51.5762 and (b) 90% of the public offering price in this offering. Based on an assumed initial public offering price of $36.00 per share, which is the midpoint of the estimated price range set forth on the cover page of this prospectus, all of the shares of Series G-5 convertible preferred stock will convert into an aggregate of 6,172,839 shares of our Class A common stock in connection with</w:t>
      </w:r>
    </w:p>
    <w:p>
      <w:pPr>
        <w:spacing w:after="0" w:line="2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100"/>
          </w:cols>
          <w:pgMar w:left="320" w:top="446"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5562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230" cy="5556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this offering. A $1.00 increase in the assumed initial public offering price of $36.00 per share, which is the midpoint of the estimated price range set forth on the cover page of this prospectus, would decrease the number of shares of Class A common stock into which all shares of Series G-5 convertible preferred stock would convert in connection with this offering by approximately 166,833 shares. A $1.00 decrease in the assumed initial public offering price of $36.00 per share, which is the midpoint of the estimated price range set forth on the cover page of this prospectus, would increase the number of shares of Class A common stock into which all shares of Series G-5 convertible preferred stock would convert in connection with this offering by approximately 176,367 shares.</w:t>
      </w:r>
    </w:p>
    <w:p>
      <w:pPr>
        <w:spacing w:after="0" w:line="200" w:lineRule="exact"/>
        <w:rPr>
          <w:sz w:val="20"/>
          <w:szCs w:val="20"/>
          <w:color w:val="auto"/>
        </w:rPr>
      </w:pPr>
    </w:p>
    <w:p>
      <w:pPr>
        <w:spacing w:after="0" w:line="2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Japan Joint Venture and Related Agreements</w:t>
      </w:r>
    </w:p>
    <w:p>
      <w:pPr>
        <w:spacing w:after="0" w:line="122" w:lineRule="exact"/>
        <w:rPr>
          <w:sz w:val="20"/>
          <w:szCs w:val="20"/>
          <w:color w:val="auto"/>
        </w:rPr>
      </w:pPr>
    </w:p>
    <w:p>
      <w:pPr>
        <w:jc w:val="both"/>
        <w:ind w:left="200" w:firstLine="437"/>
        <w:spacing w:after="0" w:line="262" w:lineRule="auto"/>
        <w:rPr>
          <w:sz w:val="20"/>
          <w:szCs w:val="20"/>
          <w:color w:val="auto"/>
        </w:rPr>
      </w:pPr>
      <w:r>
        <w:rPr>
          <w:rFonts w:ascii="Times New Roman" w:cs="Times New Roman" w:eastAsia="Times New Roman" w:hAnsi="Times New Roman"/>
          <w:sz w:val="17"/>
          <w:szCs w:val="17"/>
          <w:color w:val="auto"/>
        </w:rPr>
        <w:t>On May 18, 2024, we entered into a Joint Venture Agreement, or the Joint Venture Agreement, by and among SoftBank, SoftBank Group Japan Corporation, Tempus and Pegasos Corp., or the Joint Venture, pursuant to which the Joint Venture will engage in certain business activities in Japan similar to those conducted by Tempus in the United States, including performing clinical sequencing, organizing patient data, and building a real world data business in Japan. We and SoftBank initially will capitalize the Joint Venture with ¥30,000,000,000 (approximately $190,779,000, based on foreign exchange rates as of May 31, 2024, split evenly between the two parties) and will each receive 50% of the Joint Venture’s outstanding capital stock and board seats. The initial capitalization of the Joint Venture is subject to a number of closing conditions, including that the parties must agree to a business plan and operating budget for the Joint Venture, receive an independent valuation of certain Tempus licensed technology and obtain any required regulatory clearances in the United States and Japan.</w:t>
      </w:r>
    </w:p>
    <w:p>
      <w:pPr>
        <w:spacing w:after="0" w:line="175" w:lineRule="exact"/>
        <w:rPr>
          <w:sz w:val="20"/>
          <w:szCs w:val="20"/>
          <w:color w:val="auto"/>
        </w:rPr>
      </w:pPr>
    </w:p>
    <w:p>
      <w:pPr>
        <w:jc w:val="both"/>
        <w:ind w:left="200" w:firstLine="437"/>
        <w:spacing w:after="0" w:line="259" w:lineRule="auto"/>
        <w:rPr>
          <w:sz w:val="20"/>
          <w:szCs w:val="20"/>
          <w:color w:val="auto"/>
        </w:rPr>
      </w:pPr>
      <w:r>
        <w:rPr>
          <w:rFonts w:ascii="Times New Roman" w:cs="Times New Roman" w:eastAsia="Times New Roman" w:hAnsi="Times New Roman"/>
          <w:sz w:val="17"/>
          <w:szCs w:val="17"/>
          <w:color w:val="auto"/>
        </w:rPr>
        <w:t>In connection with entering into the Joint Venture Agreement, Tempus entered into the following agreements with the Joint Venture: a Data License Agreement, or the Data License Agreement, which became effective immediately upon signing the Joint Venture Agreement; an Intellectual Property License Agreement, or the IP License Agreement, and a Services Agreement, each of which will become effective upon closing. Under the Data License Agreement, Tempus will grant the Joint Venture a limited, non-exclusive, transferable license with a limited right to sublicense certain de-identified data for certain specified uses solely in Japan (which we refer to as the Unrestricted Data License). The Unrestricted Data License will be initially granted with respect to a certain specified number of de-identified data records (which we refer to as the Initial Records Batch) and the Joint Venture may elect to license additional de-identified data records under the Unrestricted Data License. Under the Data License Agreement, the Joint Venture will pay us ¥7,500,000,000 (approximately $47,694,750 based on foreign exchange rates as of May 31, 2024) in exchange for the license to the Initial Records Batch. For a certain specified number of additional de-identified data records beyond the Initial Records Batch, the license fees will be the same as the Initial Records Batch or the then-current lowest price that Tempus provides to its other customers for similar data and license terms, whichever is lower. For any additional de-identified data records licensed under the Unrestricted Data License, the license fees will be the then-current lowest price that Tempus provides to its other customers for similar data and license terms. Pursuant to the IP License Agreement, we will provide the Joint Venture with a non-exclusive license with respect to certain of our technologies for certain specified uses solely in Japan in exchange for ¥7,500,000,000 (approximately $47,694,750 based on foreign exchange rates as of May 31, 2024). Under the Services Agreement, we will provide the Joint Venture with certain services.</w:t>
      </w:r>
    </w:p>
    <w:p>
      <w:pPr>
        <w:spacing w:after="0" w:line="183" w:lineRule="exact"/>
        <w:rPr>
          <w:sz w:val="20"/>
          <w:szCs w:val="20"/>
          <w:color w:val="auto"/>
        </w:rPr>
      </w:pPr>
    </w:p>
    <w:p>
      <w:pPr>
        <w:jc w:val="both"/>
        <w:ind w:left="200" w:firstLine="437"/>
        <w:spacing w:after="0" w:line="263" w:lineRule="auto"/>
        <w:rPr>
          <w:sz w:val="20"/>
          <w:szCs w:val="20"/>
          <w:color w:val="auto"/>
        </w:rPr>
      </w:pPr>
      <w:r>
        <w:rPr>
          <w:rFonts w:ascii="Times New Roman" w:cs="Times New Roman" w:eastAsia="Times New Roman" w:hAnsi="Times New Roman"/>
          <w:sz w:val="17"/>
          <w:szCs w:val="17"/>
          <w:color w:val="auto"/>
        </w:rPr>
        <w:t>Pursuant to the terms of the Joint Venture Agreement, until the later of five years and such time as we cease to be a shareholder of the Joint Venture, we are restricted from (i) engaging in a similar business as the Joint Venture in Japan or (ii) licensing our technologies to any competitor of the Joint Venture for use in Japan. In addition, during the same period, we have agreed not to launch or operate a joint venture with a third party other than Softbank in Korea, Thailand, Singapore, Malaysia, Indonesia, the Philippines, the United Arab Emirates, Saudi Arabia or any other territory where we and SoftBank have agreed to launch a joint venture or similar commercial relationship, without first consulting with Softbank and subject to their right of first refusal. This restriction will terminate if SoftBank engages in a similar business as the Joint Venture in Japan. There can be no assurance that closing conditions under the Joint Venture Agreement will be satisfied or when, that the Joint</w:t>
      </w:r>
    </w:p>
    <w:p>
      <w:pPr>
        <w:spacing w:after="0" w:line="2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100"/>
          </w:cols>
          <w:pgMar w:left="320" w:top="446"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62033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230" cy="62033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95" w:lineRule="auto"/>
        <w:rPr>
          <w:sz w:val="20"/>
          <w:szCs w:val="20"/>
          <w:color w:val="auto"/>
        </w:rPr>
      </w:pPr>
      <w:r>
        <w:rPr>
          <w:rFonts w:ascii="Times New Roman" w:cs="Times New Roman" w:eastAsia="Times New Roman" w:hAnsi="Times New Roman"/>
          <w:sz w:val="17"/>
          <w:szCs w:val="17"/>
          <w:color w:val="auto"/>
        </w:rPr>
        <w:t>Venture will be capitalized on the terms described herein or at all or that the IP License Agreement and/or the Services Agreement will become effective on the terms described herein or at all.</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20"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70" w:lineRule="exact"/>
        <w:rPr>
          <w:sz w:val="20"/>
          <w:szCs w:val="20"/>
          <w:color w:val="auto"/>
        </w:rPr>
      </w:pPr>
    </w:p>
    <w:p>
      <w:pPr>
        <w:ind w:left="1160" w:hanging="272"/>
        <w:spacing w:after="0" w:line="29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inception, we may continue to incur losses in the future, and we may not be able to generate sufficient revenue to achieve and maintain profitability.</w:t>
      </w:r>
    </w:p>
    <w:p>
      <w:pPr>
        <w:spacing w:after="0" w:line="55"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products may not achieve or maintain sufficient commercial market acceptance.</w:t>
      </w:r>
    </w:p>
    <w:p>
      <w:pPr>
        <w:spacing w:after="0" w:line="131"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may fluctuate significantly, which makes our future operating results difficult to predict and could cause our operating results to fall below expectations or any guidance we may provide.</w:t>
      </w:r>
    </w:p>
    <w:p>
      <w:pPr>
        <w:spacing w:after="0" w:line="55"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business depends on our continued access to, and ability to monetize, de-identified patient data.</w:t>
      </w:r>
    </w:p>
    <w:p>
      <w:pPr>
        <w:spacing w:after="0" w:line="131" w:lineRule="exact"/>
        <w:rPr>
          <w:rFonts w:ascii="Times New Roman" w:cs="Times New Roman" w:eastAsia="Times New Roman" w:hAnsi="Times New Roman"/>
          <w:sz w:val="17"/>
          <w:szCs w:val="17"/>
          <w:color w:val="auto"/>
        </w:rPr>
      </w:pPr>
    </w:p>
    <w:p>
      <w:pPr>
        <w:ind w:left="1160" w:hanging="272"/>
        <w:spacing w:after="0" w:line="267"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 and rapid growth make it difficult to evaluate our future prospects and the risks and challenges we may encounter.</w:t>
      </w:r>
    </w:p>
    <w:p>
      <w:pPr>
        <w:spacing w:after="0" w:line="318"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raise additional capital to fund our existing operations, develop our Platform, commercialize new products or expand our operations.</w:t>
      </w:r>
    </w:p>
    <w:p>
      <w:pPr>
        <w:spacing w:after="0" w:line="55" w:lineRule="exact"/>
        <w:rPr>
          <w:rFonts w:ascii="Times New Roman" w:cs="Times New Roman" w:eastAsia="Times New Roman" w:hAnsi="Times New Roman"/>
          <w:sz w:val="17"/>
          <w:szCs w:val="17"/>
          <w:color w:val="auto"/>
        </w:rPr>
      </w:pPr>
    </w:p>
    <w:p>
      <w:pPr>
        <w:jc w:val="both"/>
        <w:ind w:left="1160" w:hanging="272"/>
        <w:spacing w:after="0" w:line="288"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275"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or defects in, our Platform’s AI software, or increased regulation in this space, could impair our ability to process our data, develop products, or provide test results, and harm our business, financial condition and results of operations.</w:t>
      </w:r>
    </w:p>
    <w:p>
      <w:pPr>
        <w:spacing w:after="0" w:line="55"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cannot compete successfully with our competitors, we may be unable to increase or sustain our revenue or to achieve and then sustain profitability.</w:t>
      </w:r>
    </w:p>
    <w:p>
      <w:pPr>
        <w:spacing w:after="0" w:line="55" w:lineRule="exact"/>
        <w:rPr>
          <w:rFonts w:ascii="Times New Roman" w:cs="Times New Roman" w:eastAsia="Times New Roman" w:hAnsi="Times New Roman"/>
          <w:sz w:val="17"/>
          <w:szCs w:val="17"/>
          <w:color w:val="auto"/>
        </w:rPr>
      </w:pPr>
    </w:p>
    <w:p>
      <w:pPr>
        <w:jc w:val="both"/>
        <w:ind w:left="1160" w:hanging="272"/>
        <w:spacing w:after="0" w:line="276"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0"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a limited number of suppliers or, in some cases, sole suppliers, for some of our laboratory instruments and materials and may not be able to find replacements or promptly transition to alternative suppliers.</w:t>
      </w:r>
    </w:p>
    <w:p>
      <w:pPr>
        <w:spacing w:after="0" w:line="55"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55"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55" w:lineRule="exact"/>
        <w:rPr>
          <w:rFonts w:ascii="Times New Roman" w:cs="Times New Roman" w:eastAsia="Times New Roman" w:hAnsi="Times New Roman"/>
          <w:sz w:val="17"/>
          <w:szCs w:val="17"/>
          <w:color w:val="auto"/>
        </w:rPr>
      </w:pPr>
    </w:p>
    <w:p>
      <w:pPr>
        <w:jc w:val="both"/>
        <w:ind w:left="1160" w:hanging="272"/>
        <w:spacing w:after="0" w:line="276" w:lineRule="auto"/>
        <w:tabs>
          <w:tab w:leader="none" w:pos="1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100"/>
          </w:cols>
          <w:pgMar w:left="320" w:top="446"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8134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230" cy="5813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160" w:hanging="272"/>
        <w:spacing w:after="0" w:line="276"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0"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55"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Class A common stock in the public market could cause the market price of our Class A common stock to decline.</w:t>
      </w:r>
    </w:p>
    <w:p>
      <w:pPr>
        <w:spacing w:after="0" w:line="131" w:lineRule="exact"/>
        <w:rPr>
          <w:rFonts w:ascii="Times New Roman" w:cs="Times New Roman" w:eastAsia="Times New Roman" w:hAnsi="Times New Roman"/>
          <w:sz w:val="17"/>
          <w:szCs w:val="17"/>
          <w:color w:val="auto"/>
        </w:rPr>
      </w:pPr>
    </w:p>
    <w:p>
      <w:pPr>
        <w:jc w:val="both"/>
        <w:ind w:left="1160" w:hanging="272"/>
        <w:spacing w:after="0" w:line="265"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lock-up agreements relating to this offering are subject to a number of important exceptions and the restricted period pursuant to such lock-up agreements or the market standoff agreements with our RSU holders may be shortened. In addition, a significant number of shares may be sold in sell-to-cover transactions and we may issue a significant number of shares as consideration in certain transactions, including during the restricted period. As a result, a large number of shares of Class A common stock may become available for resale in the immediate future, including within 180 days after the date of this prospectus, which could materially depress the market price of our Class A common stock.</w:t>
      </w:r>
    </w:p>
    <w:p>
      <w:pPr>
        <w:spacing w:after="0" w:line="292"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55"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anticipate incurring substantial federal and state tax withholding and remittance obligations in connection with the settlement of RSUs that vest in connection with this offering. The manner in which we fund these tax liabilities may have an adverse effect on our financial condition.</w:t>
      </w:r>
    </w:p>
    <w:p>
      <w:pPr>
        <w:spacing w:after="0" w:line="55" w:lineRule="exact"/>
        <w:rPr>
          <w:rFonts w:ascii="Times New Roman" w:cs="Times New Roman" w:eastAsia="Times New Roman" w:hAnsi="Times New Roman"/>
          <w:sz w:val="17"/>
          <w:szCs w:val="17"/>
          <w:color w:val="auto"/>
        </w:rPr>
      </w:pPr>
    </w:p>
    <w:p>
      <w:pPr>
        <w:ind w:left="1160" w:hanging="272"/>
        <w:spacing w:after="0" w:line="295" w:lineRule="auto"/>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elected to take advantage of the “controlled company” exemption to the corporate governance rules for publicly listed companies but may do so in the future.</w:t>
      </w:r>
    </w:p>
    <w:p>
      <w:pPr>
        <w:spacing w:after="0" w:line="55" w:lineRule="exact"/>
        <w:rPr>
          <w:rFonts w:ascii="Times New Roman" w:cs="Times New Roman" w:eastAsia="Times New Roman" w:hAnsi="Times New Roman"/>
          <w:sz w:val="17"/>
          <w:szCs w:val="17"/>
          <w:color w:val="auto"/>
        </w:rPr>
      </w:pPr>
    </w:p>
    <w:p>
      <w:pPr>
        <w:ind w:left="1160" w:hanging="272"/>
        <w:spacing w:after="0"/>
        <w:tabs>
          <w:tab w:leader="none" w:pos="11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and any future debt may affect our flexibility in operating and developing our business and our ability to satisfy our obligations.</w:t>
      </w: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20" w:lineRule="exact"/>
        <w:rPr>
          <w:sz w:val="20"/>
          <w:szCs w:val="20"/>
          <w:color w:val="auto"/>
        </w:rPr>
      </w:pPr>
    </w:p>
    <w:p>
      <w:pPr>
        <w:jc w:val="both"/>
        <w:ind w:left="200" w:firstLine="437"/>
        <w:spacing w:after="0" w:line="266" w:lineRule="auto"/>
        <w:rPr>
          <w:sz w:val="20"/>
          <w:szCs w:val="20"/>
          <w:color w:val="auto"/>
        </w:rPr>
      </w:pPr>
      <w:r>
        <w:rPr>
          <w:rFonts w:ascii="Times New Roman" w:cs="Times New Roman" w:eastAsia="Times New Roman" w:hAnsi="Times New Roman"/>
          <w:sz w:val="17"/>
          <w:szCs w:val="17"/>
          <w:color w:val="auto"/>
        </w:rPr>
        <w:t>We were founded by Eric Lefkofsky, originally formed under the name Bioin LLC in Delaware in August 2015 and we converted to a Delaware corporation in September 2015 under the name Bioin Inc. We changed our name to Tempus Health, Inc. later in 2015, to Tempus Labs, Inc. in 2016 and in 2023, we changed our name to Tempus AI,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71" w:lineRule="exact"/>
        <w:rPr>
          <w:sz w:val="20"/>
          <w:szCs w:val="20"/>
          <w:color w:val="auto"/>
        </w:rPr>
      </w:pPr>
    </w:p>
    <w:p>
      <w:pPr>
        <w:jc w:val="both"/>
        <w:ind w:left="200" w:firstLine="437"/>
        <w:spacing w:after="0" w:line="295" w:lineRule="auto"/>
        <w:rPr>
          <w:sz w:val="20"/>
          <w:szCs w:val="20"/>
          <w:color w:val="auto"/>
        </w:rPr>
      </w:pPr>
      <w:r>
        <w:rPr>
          <w:rFonts w:ascii="Times New Roman" w:cs="Times New Roman" w:eastAsia="Times New Roman" w:hAnsi="Times New Roman"/>
          <w:sz w:val="17"/>
          <w:szCs w:val="17"/>
          <w:color w:val="auto"/>
        </w:rPr>
        <w:t>The Tempus logo, “Tempus” and our other registered and common law trade names, trademarks and service marks are the property of Tempus AI, Inc. or our subsidiaries. Other trade names, trademarks and service marks used in this prospectus are the property of their respective owners.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w:t>
      </w:r>
    </w:p>
    <w:p>
      <w:pPr>
        <w:spacing w:after="0" w:line="120" w:lineRule="exact"/>
        <w:rPr>
          <w:sz w:val="20"/>
          <w:szCs w:val="20"/>
          <w:color w:val="auto"/>
        </w:rPr>
      </w:pPr>
    </w:p>
    <w:p>
      <w:pPr>
        <w:jc w:val="both"/>
        <w:ind w:left="200" w:firstLine="437"/>
        <w:spacing w:after="0" w:line="266"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w:t>
      </w:r>
    </w:p>
    <w:p>
      <w:pPr>
        <w:spacing w:after="0" w:line="2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100"/>
          </w:cols>
          <w:pgMar w:left="320" w:top="446"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1440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230" cy="1440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spacing w:after="0" w:line="261" w:lineRule="auto"/>
        <w:rPr>
          <w:sz w:val="20"/>
          <w:szCs w:val="20"/>
          <w:color w:val="auto"/>
        </w:rPr>
      </w:pPr>
      <w:r>
        <w:rPr>
          <w:rFonts w:ascii="Times New Roman" w:cs="Times New Roman" w:eastAsia="Times New Roman" w:hAnsi="Times New Roman"/>
          <w:sz w:val="17"/>
          <w:szCs w:val="17"/>
          <w:color w:val="auto"/>
        </w:rPr>
        <w:t>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$1.235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2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100"/>
          </w:cols>
          <w:pgMar w:left="320" w:top="446"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638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230" cy="563880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251" w:lineRule="exact"/>
        <w:rPr>
          <w:sz w:val="20"/>
          <w:szCs w:val="20"/>
          <w:color w:val="auto"/>
        </w:rPr>
      </w:pPr>
    </w:p>
    <w:p>
      <w:pPr>
        <w:ind w:left="200"/>
        <w:spacing w:after="0"/>
        <w:tabs>
          <w:tab w:leader="none" w:pos="5860" w:val="left"/>
        </w:tabs>
        <w:rPr>
          <w:sz w:val="20"/>
          <w:szCs w:val="20"/>
          <w:color w:val="auto"/>
        </w:rPr>
      </w:pPr>
      <w:r>
        <w:rPr>
          <w:rFonts w:ascii="Times New Roman" w:cs="Times New Roman" w:eastAsia="Times New Roman" w:hAnsi="Times New Roman"/>
          <w:sz w:val="17"/>
          <w:szCs w:val="17"/>
          <w:color w:val="auto"/>
        </w:rPr>
        <w:t>Class A common stock offered by us</w:t>
      </w:r>
      <w:r>
        <w:rPr>
          <w:sz w:val="20"/>
          <w:szCs w:val="20"/>
          <w:color w:val="auto"/>
        </w:rPr>
        <w:tab/>
      </w:r>
      <w:r>
        <w:rPr>
          <w:rFonts w:ascii="Times New Roman" w:cs="Times New Roman" w:eastAsia="Times New Roman" w:hAnsi="Times New Roman"/>
          <w:sz w:val="17"/>
          <w:szCs w:val="17"/>
          <w:color w:val="auto"/>
        </w:rPr>
        <w:t>11,100,000 shares</w:t>
      </w:r>
    </w:p>
    <w:p>
      <w:pPr>
        <w:sectPr>
          <w:pgSz w:w="11900" w:h="16838" w:orient="portrait"/>
          <w:cols w:equalWidth="0" w:num="1">
            <w:col w:w="11100"/>
          </w:cols>
          <w:pgMar w:left="320" w:top="446" w:right="479" w:bottom="1440" w:gutter="0" w:footer="0" w:header="0"/>
        </w:sectPr>
      </w:pPr>
    </w:p>
    <w:p>
      <w:pPr>
        <w:spacing w:after="0" w:line="79" w:lineRule="exact"/>
        <w:rPr>
          <w:sz w:val="20"/>
          <w:szCs w:val="20"/>
          <w:color w:val="auto"/>
        </w:rPr>
      </w:pPr>
    </w:p>
    <w:p>
      <w:pPr>
        <w:ind w:left="360" w:hanging="173"/>
        <w:spacing w:after="0" w:line="295" w:lineRule="auto"/>
        <w:rPr>
          <w:sz w:val="20"/>
          <w:szCs w:val="20"/>
          <w:color w:val="auto"/>
        </w:rPr>
      </w:pPr>
      <w:r>
        <w:rPr>
          <w:rFonts w:ascii="Times New Roman" w:cs="Times New Roman" w:eastAsia="Times New Roman" w:hAnsi="Times New Roman"/>
          <w:sz w:val="17"/>
          <w:szCs w:val="17"/>
          <w:color w:val="auto"/>
        </w:rPr>
        <w:t>Option to purchase additional shares of Class A common stock offered by us to cover over-allotments, if any</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Class A common stock to be outstanding immediately after this offering</w:t>
      </w: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Class B common stock to be outstanding immediately after this offering</w:t>
      </w:r>
    </w:p>
    <w:p>
      <w:pPr>
        <w:spacing w:after="0" w:line="288" w:lineRule="exact"/>
        <w:rPr>
          <w:sz w:val="20"/>
          <w:szCs w:val="20"/>
          <w:color w:val="auto"/>
        </w:rPr>
      </w:pPr>
    </w:p>
    <w:p>
      <w:pPr>
        <w:ind w:left="360" w:right="340" w:hanging="173"/>
        <w:spacing w:after="0" w:line="295" w:lineRule="auto"/>
        <w:rPr>
          <w:sz w:val="20"/>
          <w:szCs w:val="20"/>
          <w:color w:val="auto"/>
        </w:rPr>
      </w:pPr>
      <w:r>
        <w:rPr>
          <w:rFonts w:ascii="Times New Roman" w:cs="Times New Roman" w:eastAsia="Times New Roman" w:hAnsi="Times New Roman"/>
          <w:sz w:val="17"/>
          <w:szCs w:val="17"/>
          <w:color w:val="auto"/>
        </w:rPr>
        <w:t>Total Class A common stock and Class B common stock to be outstanding immediately after this offering</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1,665,000 shares</w:t>
      </w:r>
    </w:p>
    <w:p>
      <w:pPr>
        <w:spacing w:after="0" w:line="288" w:lineRule="exact"/>
        <w:rPr>
          <w:sz w:val="20"/>
          <w:szCs w:val="20"/>
          <w:color w:val="auto"/>
        </w:rPr>
      </w:pPr>
    </w:p>
    <w:p>
      <w:pPr>
        <w:ind w:left="180" w:right="440" w:hanging="173"/>
        <w:spacing w:after="0" w:line="295" w:lineRule="auto"/>
        <w:rPr>
          <w:sz w:val="20"/>
          <w:szCs w:val="20"/>
          <w:color w:val="auto"/>
        </w:rPr>
      </w:pPr>
      <w:r>
        <w:rPr>
          <w:rFonts w:ascii="Times New Roman" w:cs="Times New Roman" w:eastAsia="Times New Roman" w:hAnsi="Times New Roman"/>
          <w:sz w:val="17"/>
          <w:szCs w:val="17"/>
          <w:color w:val="auto"/>
        </w:rPr>
        <w:t>160,060,473 shares (or 161,725,473 shares if the underwriters’ over-allotment option is exercised in full)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5,043,789 shares</w:t>
      </w:r>
    </w:p>
    <w:p>
      <w:pPr>
        <w:spacing w:after="0" w:line="288" w:lineRule="exact"/>
        <w:rPr>
          <w:sz w:val="20"/>
          <w:szCs w:val="20"/>
          <w:color w:val="auto"/>
        </w:rPr>
      </w:pPr>
    </w:p>
    <w:p>
      <w:pPr>
        <w:ind w:left="180" w:right="440" w:hanging="173"/>
        <w:spacing w:after="0" w:line="295" w:lineRule="auto"/>
        <w:rPr>
          <w:sz w:val="20"/>
          <w:szCs w:val="20"/>
          <w:color w:val="auto"/>
        </w:rPr>
      </w:pPr>
      <w:r>
        <w:rPr>
          <w:rFonts w:ascii="Times New Roman" w:cs="Times New Roman" w:eastAsia="Times New Roman" w:hAnsi="Times New Roman"/>
          <w:sz w:val="17"/>
          <w:szCs w:val="17"/>
          <w:color w:val="auto"/>
        </w:rPr>
        <w:t>165,104,262 shares (or 166,769,262 shares if the underwriters’ over-allotment option is exercised in full)</w:t>
      </w:r>
    </w:p>
    <w:p>
      <w:pPr>
        <w:spacing w:after="0" w:line="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estimate that we will receive net proceeds from this offering of approximately $361.1 million (or approximately $416.9 million if the underwriters’ over-allotment option is exercised in full), assuming an initial public offering price of $36.00 per share, the midpoint of the estimated price range set forth on the cover page of this prospectus, and after deducting estimated underwriting discounts and commissions and estimated offering expenses.</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intend to use approximately $74.5 million of the net proceeds from this offering to pay federal and state tax withholding and remittance obligations related to the RSU Net Settlement (defined below). As of the date of this prospectus, we cannot specify with certainty all of the particular uses for the remaining net proceeds of this offering. However, we currently intend to use the remaining net proceeds of this offering for general corporate purposes, including working capital, operating expenses, repayment of debt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w:t>
      </w:r>
    </w:p>
    <w:p>
      <w:pPr>
        <w:spacing w:after="0" w:line="200" w:lineRule="exact"/>
        <w:rPr>
          <w:sz w:val="20"/>
          <w:szCs w:val="20"/>
          <w:color w:val="auto"/>
        </w:rPr>
      </w:pPr>
    </w:p>
    <w:p>
      <w:pPr>
        <w:sectPr>
          <w:pgSz w:w="11900" w:h="16838" w:orient="portrait"/>
          <w:cols w:equalWidth="0" w:num="2">
            <w:col w:w="5720" w:space="160"/>
            <w:col w:w="5220"/>
          </w:cols>
          <w:pgMar w:left="320" w:top="446" w:right="479" w:bottom="1440" w:gutter="0" w:footer="0" w:header="0"/>
          <w:type w:val="continuous"/>
        </w:sectPr>
      </w:pPr>
    </w:p>
    <w:p>
      <w:pPr>
        <w:spacing w:after="0" w:line="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100"/>
          </w:cols>
          <w:pgMar w:left="320" w:top="446" w:right="4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4999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230" cy="4999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common stock will automatically convert into shares of Class A common</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stock in certain circumstances, including (1) on the date that Eric</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Lefkofsky, our Chief Executive Officer, Founder and Chairman ceases to</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serve as an executive officer or member of our Board of Directors or</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(2) on the trading day that is no less than 90 days and no more than 150</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days following the date on which he ceases to own, together with his</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controlled entities, at least 10,000,000 shares of our capital stock (as</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adjusted for stock splits, stock dividends, combinations, subdivisions and</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recapitalizations). See the section titled “Description of Capital Stock—</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Class A Common Stock and Class B Common Stock.”</w:t>
      </w:r>
    </w:p>
    <w:p>
      <w:pPr>
        <w:spacing w:after="0" w:line="11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Holders of Class A common stock and Class B common stock will</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generally vote together as a single class, unless otherwise required by law</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or our amended and restated certificate of incorporation that will be in</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effect on the closing of this offering. Our Chief Executive Officer,</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Founder and Chairman, Eric Lefkofsky, will beneficially own 100% of our</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outstanding Class B common stock and will hold approximately 65.3% of</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the voting power of our outstanding shares immediately following this</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offering. As a result, Mr. Lefkofsky will have the ability to control the</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outcome of matters submitted to our stockholders for approval, including</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the election of our directors and the approval of any change in control</w:t>
      </w:r>
    </w:p>
    <w:p>
      <w:pPr>
        <w:spacing w:after="0" w:line="14" w:lineRule="exact"/>
        <w:rPr>
          <w:sz w:val="20"/>
          <w:szCs w:val="20"/>
          <w:color w:val="auto"/>
        </w:rPr>
      </w:pPr>
    </w:p>
    <w:p>
      <w:pPr>
        <w:ind w:left="5880"/>
        <w:spacing w:after="0"/>
        <w:tabs>
          <w:tab w:leader="none" w:pos="6820" w:val="left"/>
          <w:tab w:leader="none" w:pos="7220" w:val="left"/>
          <w:tab w:leader="none" w:pos="7600" w:val="left"/>
          <w:tab w:leader="none" w:pos="8320" w:val="left"/>
          <w:tab w:leader="none" w:pos="8820" w:val="left"/>
          <w:tab w:leader="none" w:pos="9680" w:val="left"/>
          <w:tab w:leader="none" w:pos="10840" w:val="left"/>
        </w:tabs>
        <w:rPr>
          <w:sz w:val="20"/>
          <w:szCs w:val="20"/>
          <w:color w:val="auto"/>
        </w:rPr>
      </w:pPr>
      <w:r>
        <w:rPr>
          <w:rFonts w:ascii="Times New Roman" w:cs="Times New Roman" w:eastAsia="Times New Roman" w:hAnsi="Times New Roman"/>
          <w:sz w:val="17"/>
          <w:szCs w:val="17"/>
          <w:color w:val="auto"/>
        </w:rPr>
        <w:t>transaction.</w:t>
        <w:tab/>
        <w:t>See</w:t>
        <w:tab/>
        <w:t>the</w:t>
        <w:tab/>
        <w:t>sections</w:t>
        <w:tab/>
        <w:t>titled</w:t>
        <w:tab/>
        <w:t>“Principal</w:t>
        <w:tab/>
        <w:t>Stockholders”</w:t>
      </w:r>
      <w:r>
        <w:rPr>
          <w:sz w:val="20"/>
          <w:szCs w:val="20"/>
          <w:color w:val="auto"/>
        </w:rPr>
        <w:tab/>
      </w:r>
      <w:r>
        <w:rPr>
          <w:rFonts w:ascii="Times New Roman" w:cs="Times New Roman" w:eastAsia="Times New Roman" w:hAnsi="Times New Roman"/>
          <w:sz w:val="16"/>
          <w:szCs w:val="16"/>
          <w:color w:val="auto"/>
        </w:rPr>
        <w:t>and</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“Description of Capital Stock” for additional information.</w:t>
      </w:r>
    </w:p>
    <w:p>
      <w:pPr>
        <w:sectPr>
          <w:pgSz w:w="11900" w:h="16838" w:orient="portrait"/>
          <w:cols w:equalWidth="0" w:num="1">
            <w:col w:w="11100"/>
          </w:cols>
          <w:pgMar w:left="320" w:top="446" w:right="479" w:bottom="1440" w:gutter="0" w:footer="0" w:header="0"/>
        </w:sectPr>
      </w:pPr>
    </w:p>
    <w:p>
      <w:pPr>
        <w:spacing w:after="0" w:line="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You should carefully read the section titled “Risk Factors” beginning on page 28 and the other information included in this prospectus for a discussion of facts that you should consider before deciding to invest in shares of our Class A common stock.</w:t>
      </w:r>
    </w:p>
    <w:p>
      <w:pPr>
        <w:spacing w:after="0" w:line="25" w:lineRule="exact"/>
        <w:rPr>
          <w:sz w:val="20"/>
          <w:szCs w:val="20"/>
          <w:color w:val="auto"/>
        </w:rPr>
      </w:pPr>
    </w:p>
    <w:p>
      <w:pPr>
        <w:sectPr>
          <w:pgSz w:w="11900" w:h="16838" w:orient="portrait"/>
          <w:cols w:equalWidth="0" w:num="2">
            <w:col w:w="5160" w:space="720"/>
            <w:col w:w="5220"/>
          </w:cols>
          <w:pgMar w:left="320" w:top="446" w:right="47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Nasdaq Global Select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“TEM”</w:t>
      </w:r>
    </w:p>
    <w:p>
      <w:pPr>
        <w:spacing w:after="0" w:line="200" w:lineRule="exact"/>
        <w:rPr>
          <w:sz w:val="20"/>
          <w:szCs w:val="20"/>
          <w:color w:val="auto"/>
        </w:rPr>
      </w:pPr>
    </w:p>
    <w:p>
      <w:pPr>
        <w:sectPr>
          <w:pgSz w:w="11900" w:h="16838" w:orient="portrait"/>
          <w:cols w:equalWidth="0" w:num="2">
            <w:col w:w="5160" w:space="720"/>
            <w:col w:w="5220"/>
          </w:cols>
          <w:pgMar w:left="320" w:top="446" w:right="479" w:bottom="1440" w:gutter="0" w:footer="0" w:header="0"/>
          <w:type w:val="continuous"/>
        </w:sectPr>
      </w:pPr>
    </w:p>
    <w:p>
      <w:pPr>
        <w:spacing w:after="0" w:line="23"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The number of shares of Class A common stock and Class B common stock that will be outstanding immediately after this offering as noted above is based on 148,960,473 shares of Class A common stock and 5,043,789 shares of Class B common stock outstanding as of March 31, 2024 on a pro forma basis, after giving effect to the adjustments set forth in footnote 2 to the table in “—Summary Consolidated Financial Data” below and excludes:</w:t>
      </w:r>
    </w:p>
    <w:p>
      <w:pPr>
        <w:spacing w:after="0" w:line="70" w:lineRule="exact"/>
        <w:rPr>
          <w:sz w:val="20"/>
          <w:szCs w:val="20"/>
          <w:color w:val="auto"/>
        </w:rPr>
      </w:pPr>
    </w:p>
    <w:p>
      <w:pPr>
        <w:jc w:val="both"/>
        <w:ind w:left="1160" w:hanging="538"/>
        <w:spacing w:after="0" w:line="276" w:lineRule="auto"/>
        <w:tabs>
          <w:tab w:leader="none" w:pos="11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5,472,557 shares of Class A common stock issuable on the vesting and settlement of restricted stock units, or RSUs, as of March 31, 2024 under our Third Amended and Restated 2015 Stock Plan, as amended, or 2015 Plan, for which the performance-based vesting condition will be satisfied in connection with this offering, but for which the service-based vesting condition will not be satisfied on or before June 14, 2024;</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100"/>
          </w:cols>
          <w:pgMar w:left="320" w:top="446" w:right="4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166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230" cy="5166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60" w:hanging="538"/>
        <w:spacing w:after="0"/>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1,527,044 shares of Class A common stock issuable upon the settlement of RSUs granted after March 31, 2024 under the 2015 Plan;</w:t>
      </w:r>
    </w:p>
    <w:p>
      <w:pPr>
        <w:spacing w:after="0" w:line="131" w:lineRule="exact"/>
        <w:rPr>
          <w:rFonts w:ascii="Times New Roman" w:cs="Times New Roman" w:eastAsia="Times New Roman" w:hAnsi="Times New Roman"/>
          <w:sz w:val="17"/>
          <w:szCs w:val="17"/>
          <w:color w:val="auto"/>
        </w:rPr>
      </w:pPr>
    </w:p>
    <w:p>
      <w:pPr>
        <w:jc w:val="both"/>
        <w:ind w:left="1160" w:hanging="538"/>
        <w:spacing w:after="0" w:line="276"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7,430,000 shares of Class A common stock reserved for future issuance under our 2024 Equity Incentive Plan, or 2024 Plan, as well as any future increases, including annual automatic evergreen increases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as described in the section of this prospectus titled “Executive Compensation—Equity Incentive Plans”), in the number of shares of Class A common stock reserved for issuance under the 2024 Plan;</w:t>
      </w:r>
    </w:p>
    <w:p>
      <w:pPr>
        <w:spacing w:after="0" w:line="70" w:lineRule="exact"/>
        <w:rPr>
          <w:rFonts w:ascii="Times New Roman" w:cs="Times New Roman" w:eastAsia="Times New Roman" w:hAnsi="Times New Roman"/>
          <w:sz w:val="17"/>
          <w:szCs w:val="17"/>
          <w:color w:val="auto"/>
        </w:rPr>
      </w:pPr>
    </w:p>
    <w:p>
      <w:pPr>
        <w:jc w:val="both"/>
        <w:ind w:left="1160" w:hanging="538"/>
        <w:spacing w:after="0" w:line="276"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3,000,000 shares of Class A common stock reserved for future issuance under our 2024 Employee Stock Purchase Plan, or the ESPP, as well as any future increases, including annual automatic evergreen increases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as described in the section of this prospectus titled “Executive Compensation—Equity Incentive Plans”), in the number of shares of Class A common stock reserved for issuance under the ESPP;</w:t>
      </w:r>
    </w:p>
    <w:p>
      <w:pPr>
        <w:spacing w:after="0" w:line="70" w:lineRule="exact"/>
        <w:rPr>
          <w:rFonts w:ascii="Times New Roman" w:cs="Times New Roman" w:eastAsia="Times New Roman" w:hAnsi="Times New Roman"/>
          <w:sz w:val="17"/>
          <w:szCs w:val="17"/>
          <w:color w:val="auto"/>
        </w:rPr>
      </w:pPr>
    </w:p>
    <w:p>
      <w:pPr>
        <w:ind w:left="1160" w:hanging="538"/>
        <w:spacing w:after="0" w:line="295"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210,000 shares of Class A common stock issuable on the exercise of a stock option outstanding as of March 31, 2024 under the 2015 Plan, with an exercise price of $0.8542 per share;</w:t>
      </w:r>
    </w:p>
    <w:p>
      <w:pPr>
        <w:spacing w:after="0" w:line="55" w:lineRule="exact"/>
        <w:rPr>
          <w:rFonts w:ascii="Times New Roman" w:cs="Times New Roman" w:eastAsia="Times New Roman" w:hAnsi="Times New Roman"/>
          <w:sz w:val="17"/>
          <w:szCs w:val="17"/>
          <w:color w:val="auto"/>
        </w:rPr>
      </w:pPr>
    </w:p>
    <w:p>
      <w:pPr>
        <w:jc w:val="both"/>
        <w:ind w:left="1160" w:hanging="538"/>
        <w:spacing w:after="0" w:line="266"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Class A common stock issuable upon conversion of the promissory note we issued to Google LLC, as amended, which note is convertible beginning in March 2026 into a number of shares determined by dividing (i) the then outstanding principal amount of such note (which was $186.7 million as of March 31, 2024) plus accrued and unpaid interest by (ii) the average of the last trading price of our Class A common stock on each trading day during the twenty-day period ending immediately prior to March 22, 2026, as more fully described in the section of this prospectus titled “Description of Capital Stock—Convertible Promissory Note”;</w:t>
      </w:r>
    </w:p>
    <w:p>
      <w:pPr>
        <w:spacing w:after="0" w:line="79" w:lineRule="exact"/>
        <w:rPr>
          <w:rFonts w:ascii="Times New Roman" w:cs="Times New Roman" w:eastAsia="Times New Roman" w:hAnsi="Times New Roman"/>
          <w:sz w:val="17"/>
          <w:szCs w:val="17"/>
          <w:color w:val="auto"/>
        </w:rPr>
      </w:pPr>
    </w:p>
    <w:p>
      <w:pPr>
        <w:jc w:val="both"/>
        <w:ind w:left="1160" w:hanging="538"/>
        <w:spacing w:after="0" w:line="269"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2,777,778 shares of Class A common stock, assuming an initial public offering price of $36.00 per share, the midpoint of the estimated price range set forth on the cover page of this prospectus, issuable upon the exercise of the warrant issued to AstraZeneca AB, or AstraZeneca, with an exercise price equal to the initial public offering price, as more fully described in the section of this prospectus titled “Business— Operations—Our Strategic Collaboration—AstraZeneca Master Services Agreement”;</w:t>
      </w:r>
    </w:p>
    <w:p>
      <w:pPr>
        <w:spacing w:after="0" w:line="77" w:lineRule="exact"/>
        <w:rPr>
          <w:rFonts w:ascii="Times New Roman" w:cs="Times New Roman" w:eastAsia="Times New Roman" w:hAnsi="Times New Roman"/>
          <w:sz w:val="17"/>
          <w:szCs w:val="17"/>
          <w:color w:val="auto"/>
        </w:rPr>
      </w:pPr>
    </w:p>
    <w:p>
      <w:pPr>
        <w:jc w:val="both"/>
        <w:ind w:left="1160" w:hanging="538"/>
        <w:spacing w:after="0" w:line="276"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$9.0 million in shares of Class A common stock, assuming an initial public offering price of $36.00 per share, the midpoint of the estimated price range set forth on the cover page of this prospectus, issuable to one of our stockholders pursuant to a contingent payment right, which payment may be made in cash or shares of Class A common stock, upon mutual agreement of us and such stockholder;</w:t>
      </w:r>
    </w:p>
    <w:p>
      <w:pPr>
        <w:spacing w:after="0" w:line="70" w:lineRule="exact"/>
        <w:rPr>
          <w:rFonts w:ascii="Times New Roman" w:cs="Times New Roman" w:eastAsia="Times New Roman" w:hAnsi="Times New Roman"/>
          <w:sz w:val="17"/>
          <w:szCs w:val="17"/>
          <w:color w:val="auto"/>
        </w:rPr>
      </w:pPr>
    </w:p>
    <w:p>
      <w:pPr>
        <w:ind w:left="1160" w:hanging="538"/>
        <w:spacing w:after="0" w:line="295"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35,000 shares of Class A common stock issuable to former stockholders of SEngine based on the average of the trading prices of our Class A common stock for the seven trading days immediately after the effective date of this offering; and</w:t>
      </w:r>
    </w:p>
    <w:p>
      <w:pPr>
        <w:spacing w:after="0" w:line="55" w:lineRule="exact"/>
        <w:rPr>
          <w:rFonts w:ascii="Times New Roman" w:cs="Times New Roman" w:eastAsia="Times New Roman" w:hAnsi="Times New Roman"/>
          <w:sz w:val="17"/>
          <w:szCs w:val="17"/>
          <w:color w:val="auto"/>
        </w:rPr>
      </w:pPr>
    </w:p>
    <w:p>
      <w:pPr>
        <w:jc w:val="both"/>
        <w:ind w:left="1160" w:hanging="538"/>
        <w:spacing w:after="0" w:line="269" w:lineRule="auto"/>
        <w:tabs>
          <w:tab w:leader="none" w:pos="11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shares of our Class A common stock in an amount up to 15.0% of the total number of shares of our common stock outstanding immediately following this offering, which we may issue in connection with acquisitions, joint ventures, commercial agreements and other similar arrangements pursuant to an exception from our lock-up during the 180-day period following the date of this prospectus, as further described in the section entitled “Underwriting.”</w:t>
      </w:r>
    </w:p>
    <w:p>
      <w:pPr>
        <w:spacing w:after="0" w:line="169" w:lineRule="exact"/>
        <w:rPr>
          <w:sz w:val="20"/>
          <w:szCs w:val="20"/>
          <w:color w:val="auto"/>
        </w:rPr>
      </w:pPr>
    </w:p>
    <w:p>
      <w:pPr>
        <w:ind w:left="200" w:firstLine="437"/>
        <w:spacing w:after="0" w:line="295" w:lineRule="auto"/>
        <w:rPr>
          <w:sz w:val="20"/>
          <w:szCs w:val="20"/>
          <w:color w:val="auto"/>
        </w:rPr>
      </w:pPr>
      <w:r>
        <w:rPr>
          <w:rFonts w:ascii="Times New Roman" w:cs="Times New Roman" w:eastAsia="Times New Roman" w:hAnsi="Times New Roman"/>
          <w:sz w:val="17"/>
          <w:szCs w:val="17"/>
          <w:color w:val="auto"/>
        </w:rPr>
        <w:t>In addition, unless we specifically state otherwise, the information in this prospectus (except for the historical financial statements and the related discussion of such financial information) assumes:</w:t>
      </w:r>
    </w:p>
    <w:p>
      <w:pPr>
        <w:spacing w:after="0" w:line="55" w:lineRule="exact"/>
        <w:rPr>
          <w:sz w:val="20"/>
          <w:szCs w:val="20"/>
          <w:color w:val="auto"/>
        </w:rPr>
      </w:pPr>
    </w:p>
    <w:p>
      <w:pPr>
        <w:ind w:left="1160" w:hanging="538"/>
        <w:spacing w:after="0" w:line="295" w:lineRule="auto"/>
        <w:tabs>
          <w:tab w:leader="none" w:pos="11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our amended and restated certificate of incorporation and the effectiveness of our amended and restated bylaws, each of which will occur upon the closing of this offering;</w:t>
      </w: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100"/>
          </w:cols>
          <w:pgMar w:left="320" w:top="446"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1492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230" cy="5149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160" w:hanging="538"/>
        <w:spacing w:after="0" w:line="266" w:lineRule="auto"/>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on a one-for one basis of all outstanding shares of our Series B redeemable convertible preferred stock into an aggregate of 5,374,899 shares of Class B common stock, which will occur upon the closing of this offering, and the subsequent transfer of 331,110 shares of Class B common stock to entities not controlled by Mr. Lefkofsky resulting in their automatic conversion into shares of Class A common stock, or the Class B Transfer, such that there will be 5,043,789 shares of Class B common stock outstanding immediately following the consummation of this offering, or the Series B Preferred Stock Conversion and Transfer;</w:t>
      </w:r>
    </w:p>
    <w:p>
      <w:pPr>
        <w:spacing w:after="0" w:line="79" w:lineRule="exact"/>
        <w:rPr>
          <w:rFonts w:ascii="Times New Roman" w:cs="Times New Roman" w:eastAsia="Times New Roman" w:hAnsi="Times New Roman"/>
          <w:sz w:val="17"/>
          <w:szCs w:val="17"/>
          <w:color w:val="auto"/>
        </w:rPr>
      </w:pPr>
    </w:p>
    <w:p>
      <w:pPr>
        <w:ind w:left="1160" w:hanging="538"/>
        <w:spacing w:after="0" w:line="295" w:lineRule="auto"/>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and sale of 3,489,981 shares of Series G-5 convertible preferred stock in April 2024 as if such issuance and sale had occurred on March 31, 2024;</w:t>
      </w:r>
    </w:p>
    <w:p>
      <w:pPr>
        <w:spacing w:after="0" w:line="55" w:lineRule="exact"/>
        <w:rPr>
          <w:rFonts w:ascii="Times New Roman" w:cs="Times New Roman" w:eastAsia="Times New Roman" w:hAnsi="Times New Roman"/>
          <w:sz w:val="17"/>
          <w:szCs w:val="17"/>
          <w:color w:val="auto"/>
        </w:rPr>
      </w:pPr>
    </w:p>
    <w:p>
      <w:pPr>
        <w:jc w:val="both"/>
        <w:ind w:left="1160" w:hanging="538"/>
        <w:spacing w:after="0" w:line="262" w:lineRule="auto"/>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all outstanding shares of redeemable convertible preferred stock (including Series G-5 convertible preferred stock), other than our Series B redeemable convertible preferred stock, into an aggregate of 66,935,254 shares of Class A common stock (including 3,236,829 shares, 1,490,562 shares and 6,172,839 shares of Class A common stock as a result of the conversion of all outstanding shares of Series G-3 convertible preferred stock, Series G-4 convertible preferred stock and Series G-5 convertible preferred stock, respectively, the conversion terms of which are more fully described in the section titled “Management’s Discussion and Analysis of Financial Condition and Result of Operations—Liquidity and Capital Resources” appearing elsewhere in this prospectus), assuming an initial public offering price of $36.00 per share, the midpoint of the estimated price range set forth on the cover page of this prospectus, which will occur upon the closing of this offering, or the Preferred Stock Conversion;</w:t>
      </w:r>
    </w:p>
    <w:p>
      <w:pPr>
        <w:spacing w:after="0" w:line="83" w:lineRule="exact"/>
        <w:rPr>
          <w:rFonts w:ascii="Times New Roman" w:cs="Times New Roman" w:eastAsia="Times New Roman" w:hAnsi="Times New Roman"/>
          <w:sz w:val="17"/>
          <w:szCs w:val="17"/>
          <w:color w:val="auto"/>
        </w:rPr>
      </w:pPr>
    </w:p>
    <w:p>
      <w:pPr>
        <w:jc w:val="both"/>
        <w:ind w:left="1160" w:hanging="538"/>
        <w:spacing w:after="0" w:line="266" w:lineRule="auto"/>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5,227,001 additional shares of Class A common stock, which we refer to as the Additional Class A Conversion Shares, upon the conversion of all outstanding shares of our redeemable convertible preferred stock upon the closing of this offering (based on dividends accruing through June 14, 2024) pursuant to provisions of our certificate of incorporation as currently in effect, assuming an initial public offering price of $36.00 per share, the midpoint of the estimated price range set forth on the cover page of this prospectus, as more fully described below in the section titled “—Additional Class A Conversion Shares”, or the Additional Class A Conversion Share Issuance;</w:t>
      </w:r>
    </w:p>
    <w:p>
      <w:pPr>
        <w:spacing w:after="0" w:line="79" w:lineRule="exact"/>
        <w:rPr>
          <w:rFonts w:ascii="Times New Roman" w:cs="Times New Roman" w:eastAsia="Times New Roman" w:hAnsi="Times New Roman"/>
          <w:sz w:val="17"/>
          <w:szCs w:val="17"/>
          <w:color w:val="auto"/>
        </w:rPr>
      </w:pPr>
    </w:p>
    <w:p>
      <w:pPr>
        <w:ind w:left="1160" w:hanging="538"/>
        <w:spacing w:after="0"/>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$5.6 million of accrued cash dividends on June 4, 2024, as if such payment had occurred on March 31, 2024;</w:t>
      </w:r>
    </w:p>
    <w:p>
      <w:pPr>
        <w:spacing w:after="0" w:line="131" w:lineRule="exact"/>
        <w:rPr>
          <w:rFonts w:ascii="Times New Roman" w:cs="Times New Roman" w:eastAsia="Times New Roman" w:hAnsi="Times New Roman"/>
          <w:sz w:val="17"/>
          <w:szCs w:val="17"/>
          <w:color w:val="auto"/>
        </w:rPr>
      </w:pPr>
    </w:p>
    <w:p>
      <w:pPr>
        <w:ind w:left="1160" w:right="20" w:hanging="538"/>
        <w:spacing w:after="0" w:line="295" w:lineRule="auto"/>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all outstanding shares of our nonvoting common stock into 5,069,477 shares of Class A common stock, which will occur upon the closing of this offering;</w:t>
      </w:r>
    </w:p>
    <w:p>
      <w:pPr>
        <w:spacing w:after="0" w:line="55" w:lineRule="exact"/>
        <w:rPr>
          <w:rFonts w:ascii="Times New Roman" w:cs="Times New Roman" w:eastAsia="Times New Roman" w:hAnsi="Times New Roman"/>
          <w:sz w:val="17"/>
          <w:szCs w:val="17"/>
          <w:color w:val="auto"/>
        </w:rPr>
      </w:pPr>
    </w:p>
    <w:p>
      <w:pPr>
        <w:jc w:val="both"/>
        <w:ind w:left="1160" w:hanging="538"/>
        <w:spacing w:after="0" w:line="264" w:lineRule="auto"/>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issuance of 2,527,923 shares of Class A common stock upon the settlement of 4,596,224 RSUs outstanding as of March 31, 2024 under our 2015 Plan for which the performance-based vesting condition will be satisfied in connection with this offering and for which any service-based vesting condition will be satisfied on or before June 14, 2024, after giving effect to the withholding of 2,068,301 shares of Class A common stock to satisfy estimated federal and state tax withholding and remittance obligations, assuming an initial public offering price of $36.00 per share, the midpoint of the estimated price range set forth on the cover page of this prospectus, and an assumed 45% tax withholding rate, as more fully described below in the section titled “—RSU Settlement,” or the RSU Net Settlement;</w:t>
      </w:r>
    </w:p>
    <w:p>
      <w:pPr>
        <w:spacing w:after="0" w:line="82" w:lineRule="exact"/>
        <w:rPr>
          <w:rFonts w:ascii="Times New Roman" w:cs="Times New Roman" w:eastAsia="Times New Roman" w:hAnsi="Times New Roman"/>
          <w:sz w:val="17"/>
          <w:szCs w:val="17"/>
          <w:color w:val="auto"/>
        </w:rPr>
      </w:pPr>
    </w:p>
    <w:p>
      <w:pPr>
        <w:jc w:val="both"/>
        <w:ind w:left="1160" w:hanging="538"/>
        <w:spacing w:after="0" w:line="269" w:lineRule="auto"/>
        <w:tabs>
          <w:tab w:leader="none" w:pos="11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10,724,524 shares of Class A common stock upon the settlement of RSUs outstanding as of March 31, 2024 under our 2015 Plan for which the performance-based vesting condition will be satisfied in connection with this offering and for which any service-based vesting condition will be satisfied on or before June 14, 2024 that are not included in the RSU Net Settlement, as more fully described below in the section titled “—RSU Settlement,” or the Additional RSU Settlement;</w:t>
      </w:r>
    </w:p>
    <w:p>
      <w:pPr>
        <w:spacing w:after="0" w:line="2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100"/>
          </w:cols>
          <w:pgMar w:left="320" w:top="446"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3073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230" cy="5307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160" w:hanging="538"/>
        <w:spacing w:after="0" w:line="269" w:lineRule="auto"/>
        <w:tabs>
          <w:tab w:leader="none" w:pos="11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108,333 shares of Class A common stock (assuming an initial public offering price of $36.00 per share, the midpoint of the estimated price range set forth on the cover page of this prospectus) upon the automatic net exercise of an outstanding warrant held by Allen &amp; Company LLC, or Allen, an underwriter for this offering, as more fully described in the section of this prospectus titled “Description of Capital Stock—Warrants,” or the Warrant Net Exercise;</w:t>
      </w:r>
    </w:p>
    <w:p>
      <w:pPr>
        <w:spacing w:after="0" w:line="77" w:lineRule="exact"/>
        <w:rPr>
          <w:rFonts w:ascii="Times New Roman" w:cs="Times New Roman" w:eastAsia="Times New Roman" w:hAnsi="Times New Roman"/>
          <w:sz w:val="17"/>
          <w:szCs w:val="17"/>
          <w:color w:val="auto"/>
        </w:rPr>
      </w:pPr>
    </w:p>
    <w:p>
      <w:pPr>
        <w:ind w:left="1160" w:hanging="538"/>
        <w:spacing w:after="0" w:line="295" w:lineRule="auto"/>
        <w:tabs>
          <w:tab w:leader="none" w:pos="11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of the underwriters’ option to purchase up to 1,665,000 additional shares of Class A common stock from us in this offering to cover over-allotments, if any; and</w:t>
      </w:r>
    </w:p>
    <w:p>
      <w:pPr>
        <w:spacing w:after="0" w:line="55" w:lineRule="exact"/>
        <w:rPr>
          <w:rFonts w:ascii="Times New Roman" w:cs="Times New Roman" w:eastAsia="Times New Roman" w:hAnsi="Times New Roman"/>
          <w:sz w:val="17"/>
          <w:szCs w:val="17"/>
          <w:color w:val="auto"/>
        </w:rPr>
      </w:pPr>
    </w:p>
    <w:p>
      <w:pPr>
        <w:ind w:left="1160" w:hanging="538"/>
        <w:spacing w:after="0"/>
        <w:tabs>
          <w:tab w:leader="none" w:pos="11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of options or settlement of outstanding RSUs except as described above.</w:t>
      </w:r>
    </w:p>
    <w:p>
      <w:pPr>
        <w:spacing w:after="0" w:line="3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Additional Class A Conversion Shares</w:t>
      </w:r>
    </w:p>
    <w:p>
      <w:pPr>
        <w:spacing w:after="0" w:line="120" w:lineRule="exact"/>
        <w:rPr>
          <w:sz w:val="20"/>
          <w:szCs w:val="20"/>
          <w:color w:val="auto"/>
        </w:rPr>
      </w:pPr>
    </w:p>
    <w:p>
      <w:pPr>
        <w:jc w:val="both"/>
        <w:ind w:left="200" w:firstLine="437"/>
        <w:spacing w:after="0" w:line="260" w:lineRule="auto"/>
        <w:rPr>
          <w:sz w:val="20"/>
          <w:szCs w:val="20"/>
          <w:color w:val="auto"/>
        </w:rPr>
      </w:pPr>
      <w:r>
        <w:rPr>
          <w:rFonts w:ascii="Times New Roman" w:cs="Times New Roman" w:eastAsia="Times New Roman" w:hAnsi="Times New Roman"/>
          <w:sz w:val="17"/>
          <w:szCs w:val="17"/>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 stock. As of June 14, 2024, shares of redeemable convertible preferred stock will have accrued approximately $187.7 million in unpaid dividends, which we expect to pay in shares of our Class A common stock in connection with the closing of this offering. As a result, at the closing of this offering, we expect to issue the Additional Class A Conversion Shares to holders of shares of our redeemable convertible preferred stock. The number of Additional Class A Conversion Shares to be issued depends on the initial public offering price of our Class A common stock. Based on an assumed initial public offering price of $36.00 per share, the midpoint of the estimated price range set forth on the cover page of this prospectus, we will issue 5,227,001 Additional Class A Conversion Shares immediately prior to the closing of this offering. A $1.00 decrease in the assumed initial public offering price of $36.00 per share of Class A common stock, the midpoint of the estimated price range set forth on the cover page of this prospectus, would increase the number of Additional Class A Conversion Shares in the Class A Conversion Share Issuance by 149,342 shares. A $1.00 increase in the assumed initial public offering price of $36.00 per share of Class A common stock, the midpoint of the estimated price range set forth on the cover page of this prospectus, would decrease the number of Additional Class A Conversion Shares in the Class A Conversion Share Issuance by 141,270 shares.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RSU Settlement</w:t>
      </w:r>
    </w:p>
    <w:p>
      <w:pPr>
        <w:spacing w:after="0" w:line="120" w:lineRule="exact"/>
        <w:rPr>
          <w:sz w:val="20"/>
          <w:szCs w:val="20"/>
          <w:color w:val="auto"/>
        </w:rPr>
      </w:pPr>
    </w:p>
    <w:p>
      <w:pPr>
        <w:jc w:val="both"/>
        <w:ind w:left="200" w:firstLine="437"/>
        <w:spacing w:after="0" w:line="276" w:lineRule="auto"/>
        <w:rPr>
          <w:sz w:val="20"/>
          <w:szCs w:val="20"/>
          <w:color w:val="auto"/>
        </w:rPr>
      </w:pPr>
      <w:r>
        <w:rPr>
          <w:rFonts w:ascii="Times New Roman" w:cs="Times New Roman" w:eastAsia="Times New Roman" w:hAnsi="Times New Roman"/>
          <w:sz w:val="17"/>
          <w:szCs w:val="17"/>
          <w:color w:val="auto"/>
        </w:rPr>
        <w:t>There were 15,320,748 RSUs outstanding as of March 31, 2024 for which the performance-based vesting condition will be satisfied in connection with this offering and for which any service-based vesting condition will be satisfied on or before June 14, 2024. We expect to incur a stock-based compensation expense of $478.9 million in connection with the consummation of this offering related to such vesting.</w:t>
      </w:r>
    </w:p>
    <w:p>
      <w:pPr>
        <w:spacing w:after="0" w:line="162" w:lineRule="exact"/>
        <w:rPr>
          <w:sz w:val="20"/>
          <w:szCs w:val="20"/>
          <w:color w:val="auto"/>
        </w:rPr>
      </w:pPr>
    </w:p>
    <w:p>
      <w:pPr>
        <w:jc w:val="both"/>
        <w:ind w:left="200" w:firstLine="437"/>
        <w:spacing w:after="0" w:line="262" w:lineRule="auto"/>
        <w:rPr>
          <w:sz w:val="20"/>
          <w:szCs w:val="20"/>
          <w:color w:val="auto"/>
        </w:rPr>
      </w:pPr>
      <w:r>
        <w:rPr>
          <w:rFonts w:ascii="Times New Roman" w:cs="Times New Roman" w:eastAsia="Times New Roman" w:hAnsi="Times New Roman"/>
          <w:sz w:val="17"/>
          <w:szCs w:val="17"/>
          <w:color w:val="auto"/>
        </w:rPr>
        <w:t>A portion of these RSUs, including a portion of the RSUs held by our employees (including our Chief Executive Officer) and all RSUs held by our other executive officers, will be net settled pursuant to the RSU Net Settlement in which we will net issue 2,527,923 shares of Class A common stock upon settlement of 4,596,224 RSUs outstanding as of March 31, 2024 for which the performance-based vesting condition will be satisfied in connection with this offering and for which any service-based vesting condition will be satisfied on or before June 14, 2024, after giving effect to the withholding of 2,068,301 shares of Class A common stock to satisfy the estimated federal and state tax withholding and remittance obligations, assuming an initial public offering price of $36.00 per share, the midpoint of the estimated price range set forth on the cover page of this prospectus, and an assumed 45% tax withholding rate. Approximately 50,862 of such net issued shares will be issued to our Chief Executive Officer and approximately 686,919 of such net issued shares will be issued to our other executive officers.</w:t>
      </w:r>
    </w:p>
    <w:p>
      <w:pPr>
        <w:spacing w:after="0" w:line="2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100"/>
          </w:cols>
          <w:pgMar w:left="320" w:top="446"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3572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230" cy="35725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firstLine="437"/>
        <w:spacing w:after="0" w:line="266" w:lineRule="auto"/>
        <w:rPr>
          <w:sz w:val="20"/>
          <w:szCs w:val="20"/>
          <w:color w:val="auto"/>
        </w:rPr>
      </w:pPr>
      <w:r>
        <w:rPr>
          <w:rFonts w:ascii="Times New Roman" w:cs="Times New Roman" w:eastAsia="Times New Roman" w:hAnsi="Times New Roman"/>
          <w:sz w:val="17"/>
          <w:szCs w:val="17"/>
          <w:color w:val="auto"/>
        </w:rPr>
        <w:t>For the remaining 10,724,524 RSUs outstanding as of March 31, 2024 for which the performance-based vesting condition will be satisfied in connection with this offering and for which any service-based vesting condition will be satisfied on or before June 14, 2024, we will satisfy related federal and state tax withholding and remittance obligations through the Additional RSU Settlement, pursuant to which we will release such holders (including our Chief Executive Officer) from their market standoff agreements and require them to sell a portion of such shares of Class A common stock into the open market through brokers, or sell-to-cover, on the applicable settlement date as follows:</w:t>
      </w:r>
    </w:p>
    <w:p>
      <w:pPr>
        <w:spacing w:after="0" w:line="195"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3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 Number of</w:t>
            </w:r>
          </w:p>
        </w:tc>
      </w:tr>
      <w:tr>
        <w:trPr>
          <w:trHeight w:val="209"/>
        </w:trPr>
        <w:tc>
          <w:tcPr>
            <w:tcW w:w="3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of Class A</w:t>
            </w:r>
          </w:p>
        </w:tc>
      </w:tr>
      <w:tr>
        <w:trPr>
          <w:trHeight w:val="209"/>
        </w:trPr>
        <w:tc>
          <w:tcPr>
            <w:tcW w:w="3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Common</w:t>
            </w:r>
          </w:p>
        </w:tc>
      </w:tr>
      <w:tr>
        <w:trPr>
          <w:trHeight w:val="209"/>
        </w:trPr>
        <w:tc>
          <w:tcPr>
            <w:tcW w:w="3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2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Stock to be Sold in Sell-to-</w:t>
            </w:r>
          </w:p>
        </w:tc>
      </w:tr>
      <w:tr>
        <w:trPr>
          <w:trHeight w:val="24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Date First Available for Sale into the Market</w:t>
            </w:r>
          </w:p>
        </w:tc>
        <w:tc>
          <w:tcPr>
            <w:tcW w:w="29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Expected to Settle</w:t>
            </w:r>
          </w:p>
        </w:tc>
        <w:tc>
          <w:tcPr>
            <w:tcW w:w="2720" w:type="dxa"/>
            <w:vAlign w:val="bottom"/>
          </w:tcPr>
          <w:p>
            <w:pPr>
              <w:jc w:val="center"/>
              <w:spacing w:after="0" w:line="230" w:lineRule="exact"/>
              <w:rPr>
                <w:sz w:val="20"/>
                <w:szCs w:val="20"/>
                <w:color w:val="auto"/>
              </w:rPr>
            </w:pPr>
            <w:r>
              <w:rPr>
                <w:rFonts w:ascii="Times New Roman" w:cs="Times New Roman" w:eastAsia="Times New Roman" w:hAnsi="Times New Roman"/>
                <w:sz w:val="17"/>
                <w:szCs w:val="17"/>
                <w:b w:val="1"/>
                <w:bCs w:val="1"/>
                <w:color w:val="auto"/>
                <w:w w:val="97"/>
              </w:rPr>
              <w:t>Cover Transactions</w:t>
            </w:r>
            <w:r>
              <w:rPr>
                <w:rFonts w:ascii="Times New Roman" w:cs="Times New Roman" w:eastAsia="Times New Roman" w:hAnsi="Times New Roman"/>
                <w:sz w:val="26"/>
                <w:szCs w:val="26"/>
                <w:b w:val="1"/>
                <w:bCs w:val="1"/>
                <w:color w:val="auto"/>
                <w:w w:val="97"/>
                <w:vertAlign w:val="superscript"/>
              </w:rPr>
              <w:t>(1)</w:t>
            </w:r>
          </w:p>
        </w:tc>
      </w:tr>
      <w:tr>
        <w:trPr>
          <w:trHeight w:val="164"/>
        </w:trPr>
        <w:tc>
          <w:tcPr>
            <w:tcW w:w="334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7"/>
                <w:szCs w:val="17"/>
                <w:color w:val="auto"/>
              </w:rPr>
              <w:t>91 days after the date of this prospectus (or the</w:t>
            </w:r>
          </w:p>
        </w:tc>
        <w:tc>
          <w:tcPr>
            <w:tcW w:w="1900" w:type="dxa"/>
            <w:vAlign w:val="bottom"/>
          </w:tcPr>
          <w:p>
            <w:pPr>
              <w:ind w:left="100"/>
              <w:spacing w:after="0" w:line="164" w:lineRule="exact"/>
              <w:rPr>
                <w:sz w:val="20"/>
                <w:szCs w:val="20"/>
                <w:color w:val="auto"/>
              </w:rPr>
            </w:pPr>
            <w:r>
              <w:rPr>
                <w:rFonts w:ascii="Times New Roman" w:cs="Times New Roman" w:eastAsia="Times New Roman" w:hAnsi="Times New Roman"/>
                <w:sz w:val="17"/>
                <w:szCs w:val="17"/>
                <w:color w:val="auto"/>
              </w:rPr>
              <w:t>next trading day if such</w:t>
            </w:r>
          </w:p>
        </w:tc>
        <w:tc>
          <w:tcPr>
            <w:tcW w:w="2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r>
      <w:tr>
        <w:trPr>
          <w:trHeight w:val="20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date is not a trading day)</w:t>
            </w:r>
          </w:p>
        </w:tc>
        <w:tc>
          <w:tcPr>
            <w:tcW w:w="2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5,362,261</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2,413,017</w:t>
            </w:r>
          </w:p>
        </w:tc>
      </w:tr>
      <w:tr>
        <w:trPr>
          <w:trHeight w:val="20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120 days after the date of this prospectus (or the next trading day if such</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date is not a trading day)</w:t>
            </w:r>
          </w:p>
        </w:tc>
        <w:tc>
          <w:tcPr>
            <w:tcW w:w="2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5,362,262</w:t>
            </w: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2,413,018</w:t>
            </w:r>
          </w:p>
        </w:tc>
      </w:tr>
    </w:tbl>
    <w:p>
      <w:pPr>
        <w:spacing w:after="0" w:line="165" w:lineRule="exact"/>
        <w:rPr>
          <w:sz w:val="20"/>
          <w:szCs w:val="20"/>
          <w:color w:val="auto"/>
        </w:rPr>
      </w:pPr>
    </w:p>
    <w:p>
      <w:pPr>
        <w:ind w:left="620" w:hanging="429"/>
        <w:spacing w:after="0" w:line="211"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a 45% tax rate. Includes an estimated approximately 868,758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7"/>
          <w:szCs w:val="17"/>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day following the date of this prospectus in respect of settlement of RSUs held by Mr. Lefkofsky.</w:t>
      </w:r>
    </w:p>
    <w:p>
      <w:pPr>
        <w:spacing w:after="0" w:line="193" w:lineRule="exact"/>
        <w:rPr>
          <w:sz w:val="20"/>
          <w:szCs w:val="20"/>
          <w:color w:val="auto"/>
        </w:rPr>
      </w:pPr>
    </w:p>
    <w:p>
      <w:pPr>
        <w:jc w:val="both"/>
        <w:ind w:left="200" w:firstLine="437"/>
        <w:spacing w:after="0" w:line="265" w:lineRule="auto"/>
        <w:rPr>
          <w:sz w:val="20"/>
          <w:szCs w:val="20"/>
          <w:color w:val="auto"/>
        </w:rPr>
      </w:pPr>
      <w:r>
        <w:rPr>
          <w:rFonts w:ascii="Times New Roman" w:cs="Times New Roman" w:eastAsia="Times New Roman" w:hAnsi="Times New Roman"/>
          <w:sz w:val="17"/>
          <w:szCs w:val="17"/>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 With respect to employees that are not executive officers, if sell-to-cover proceeds are not available at the time taxes must be remitted to the IRS, we would need to remit taxes to the relevant tax authorities using cash on hand, which may include cash proceeds generated from this offering, pending the receipt of such sell-to-cover proceeds.</w:t>
      </w: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100"/>
          </w:cols>
          <w:pgMar w:left="320" w:top="446"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6244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230" cy="62445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CONSOLIDATED FINANCIAL DATA</w:t>
      </w:r>
    </w:p>
    <w:p>
      <w:pPr>
        <w:spacing w:after="0" w:line="225" w:lineRule="exact"/>
        <w:rPr>
          <w:sz w:val="20"/>
          <w:szCs w:val="20"/>
          <w:color w:val="auto"/>
        </w:rPr>
      </w:pPr>
    </w:p>
    <w:p>
      <w:pPr>
        <w:jc w:val="both"/>
        <w:ind w:left="200" w:right="200" w:firstLine="437"/>
        <w:spacing w:after="0" w:line="261" w:lineRule="auto"/>
        <w:rPr>
          <w:sz w:val="20"/>
          <w:szCs w:val="20"/>
          <w:color w:val="auto"/>
        </w:rPr>
      </w:pPr>
      <w:r>
        <w:rPr>
          <w:rFonts w:ascii="Times New Roman" w:cs="Times New Roman" w:eastAsia="Times New Roman" w:hAnsi="Times New Roman"/>
          <w:sz w:val="17"/>
          <w:szCs w:val="17"/>
          <w:color w:val="auto"/>
        </w:rPr>
        <w:t>The summary consolidated statement of operations data for the years ended December 31, 2022 and 2023 have been derived from our audited consolidated financial statements included elsewhere in this prospectus. The summary consolidated statement of operations data for the three months ended March 31, 2023 and 2024 and the summary consolidated balance sheet data as of March 31, 2024 have been derived from our unaudited interim consolidated financial statements included elsewhere in this prospectus. The unaudited interim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1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2"/>
        </w:trPr>
        <w:tc>
          <w:tcPr>
            <w:tcW w:w="18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02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9"/>
                <w:szCs w:val="9"/>
                <w:color w:val="auto"/>
              </w:rPr>
            </w:pPr>
          </w:p>
        </w:tc>
        <w:tc>
          <w:tcPr>
            <w:tcW w:w="860" w:type="dxa"/>
            <w:vAlign w:val="bottom"/>
            <w:tcBorders>
              <w:top w:val="single" w:sz="8" w:color="auto"/>
            </w:tcBorders>
            <w:gridSpan w:val="3"/>
          </w:tcPr>
          <w:p>
            <w:pPr>
              <w:jc w:val="right"/>
              <w:ind w:right="138"/>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8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gridSpan w:val="2"/>
          </w:tcPr>
          <w:p>
            <w:pPr>
              <w:spacing w:after="0"/>
              <w:rPr>
                <w:sz w:val="9"/>
                <w:szCs w:val="9"/>
                <w:color w:val="auto"/>
              </w:rPr>
            </w:pPr>
          </w:p>
        </w:tc>
      </w:tr>
      <w:tr>
        <w:trPr>
          <w:trHeight w:val="168"/>
        </w:trPr>
        <w:tc>
          <w:tcPr>
            <w:tcW w:w="1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12"/>
        </w:trPr>
        <w:tc>
          <w:tcPr>
            <w:tcW w:w="180" w:type="dxa"/>
            <w:vAlign w:val="bottom"/>
          </w:tcPr>
          <w:p>
            <w:pPr>
              <w:spacing w:after="0"/>
              <w:rPr>
                <w:sz w:val="9"/>
                <w:szCs w:val="9"/>
                <w:color w:val="auto"/>
              </w:rPr>
            </w:pPr>
          </w:p>
        </w:tc>
        <w:tc>
          <w:tcPr>
            <w:tcW w:w="7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tcPr>
          <w:p>
            <w:pPr>
              <w:jc w:val="right"/>
              <w:ind w:right="334"/>
              <w:spacing w:after="0" w:line="113"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300" w:type="dxa"/>
            <w:vAlign w:val="bottom"/>
            <w:gridSpan w:val="2"/>
          </w:tcPr>
          <w:p>
            <w:pPr>
              <w:spacing w:after="0"/>
              <w:rPr>
                <w:sz w:val="9"/>
                <w:szCs w:val="9"/>
                <w:color w:val="auto"/>
              </w:rPr>
            </w:pPr>
          </w:p>
        </w:tc>
      </w:tr>
      <w:tr>
        <w:trPr>
          <w:trHeight w:val="168"/>
        </w:trPr>
        <w:tc>
          <w:tcPr>
            <w:tcW w:w="18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revenue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Genomics</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197,984</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363,022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82,058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102,569</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Data and services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122,684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168,800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33,566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43,251</w:t>
            </w:r>
          </w:p>
        </w:tc>
        <w:tc>
          <w:tcPr>
            <w:tcW w:w="200" w:type="dxa"/>
            <w:vAlign w:val="bottom"/>
          </w:tcPr>
          <w:p>
            <w:pPr>
              <w:spacing w:after="0"/>
              <w:rPr>
                <w:sz w:val="18"/>
                <w:szCs w:val="18"/>
                <w:color w:val="auto"/>
              </w:rPr>
            </w:pPr>
          </w:p>
        </w:tc>
      </w:tr>
      <w:tr>
        <w:trPr>
          <w:trHeight w:val="215"/>
        </w:trPr>
        <w:tc>
          <w:tcPr>
            <w:tcW w:w="180" w:type="dxa"/>
            <w:vAlign w:val="bottom"/>
          </w:tcPr>
          <w:p>
            <w:pPr>
              <w:spacing w:after="0"/>
              <w:rPr>
                <w:sz w:val="18"/>
                <w:szCs w:val="18"/>
                <w:color w:val="auto"/>
              </w:rPr>
            </w:pPr>
          </w:p>
        </w:tc>
        <w:tc>
          <w:tcPr>
            <w:tcW w:w="7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Total net revenue</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320,668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531,822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115,624</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and operating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Cost of revenues, genomics</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150,255</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189,165</w:t>
            </w: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45,280</w:t>
            </w: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52,835</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Cost of revenues, data and services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40,227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56,482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11,393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15,288</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Technology research and development</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79,093</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95,155</w:t>
            </w: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22,902</w:t>
            </w: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27,067</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83,158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90,343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20,863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24,340</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233,377</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296,760</w:t>
            </w: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69,047</w:t>
            </w: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79,564</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Total cost and operating expenses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586,110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727,905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w w:val="97"/>
              </w:rPr>
              <w:t>169,485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199,094</w:t>
            </w:r>
          </w:p>
        </w:tc>
        <w:tc>
          <w:tcPr>
            <w:tcW w:w="200" w:type="dxa"/>
            <w:vAlign w:val="bottom"/>
          </w:tcPr>
          <w:p>
            <w:pPr>
              <w:spacing w:after="0"/>
              <w:rPr>
                <w:sz w:val="18"/>
                <w:szCs w:val="18"/>
                <w:color w:val="auto"/>
              </w:rPr>
            </w:pPr>
          </w:p>
        </w:tc>
      </w:tr>
      <w:tr>
        <w:trPr>
          <w:trHeight w:val="221"/>
        </w:trPr>
        <w:tc>
          <w:tcPr>
            <w:tcW w:w="180" w:type="dxa"/>
            <w:vAlign w:val="bottom"/>
          </w:tcPr>
          <w:p>
            <w:pPr>
              <w:spacing w:after="0"/>
              <w:rPr>
                <w:sz w:val="19"/>
                <w:szCs w:val="19"/>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from operations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(265,442</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(196,083</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(53,861</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3,032</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7,601</w:t>
            </w: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2,424</w:t>
            </w: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1,031</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(21,894)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(46,869)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(9,191)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(13,238)</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4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(4,846)</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21,822</w:t>
            </w: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6,388</w:t>
            </w: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749</w:t>
            </w:r>
          </w:p>
        </w:tc>
        <w:tc>
          <w:tcPr>
            <w:tcW w:w="200" w:type="dxa"/>
            <w:vAlign w:val="bottom"/>
          </w:tcPr>
          <w:p>
            <w:pPr>
              <w:spacing w:after="0"/>
              <w:rPr>
                <w:sz w:val="18"/>
                <w:szCs w:val="18"/>
                <w:color w:val="auto"/>
              </w:rPr>
            </w:pPr>
          </w:p>
        </w:tc>
      </w:tr>
      <w:tr>
        <w:trPr>
          <w:trHeight w:val="26"/>
        </w:trPr>
        <w:tc>
          <w:tcPr>
            <w:tcW w:w="1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(289,150)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(213,529)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(54,240)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(64,732)</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4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Losses from equity method investments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(595)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8"/>
                <w:szCs w:val="18"/>
                <w:color w:val="auto"/>
              </w:rPr>
            </w:pPr>
          </w:p>
        </w:tc>
      </w:tr>
      <w:tr>
        <w:trPr>
          <w:trHeight w:val="215"/>
        </w:trPr>
        <w:tc>
          <w:tcPr>
            <w:tcW w:w="1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(289,811</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(214,118</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(54,377</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1"/>
        </w:trPr>
        <w:tc>
          <w:tcPr>
            <w:tcW w:w="180" w:type="dxa"/>
            <w:vAlign w:val="bottom"/>
          </w:tcPr>
          <w:p>
            <w:pPr>
              <w:spacing w:after="0"/>
              <w:rPr>
                <w:sz w:val="17"/>
                <w:szCs w:val="17"/>
                <w:color w:val="auto"/>
              </w:rPr>
            </w:pPr>
          </w:p>
        </w:tc>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Accretion of convertible preferred stock to redemption value</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(301)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(4,338)</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Dividends on Series A, B, B-1, B-2, C, D, E, F, G, G-3, and G-4 preferred shares</w:t>
            </w:r>
          </w:p>
        </w:tc>
        <w:tc>
          <w:tcPr>
            <w:tcW w:w="14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(40,975)</w:t>
            </w:r>
          </w:p>
        </w:tc>
        <w:tc>
          <w:tcPr>
            <w:tcW w:w="140" w:type="dxa"/>
            <w:vAlign w:val="bottom"/>
          </w:tcPr>
          <w:p>
            <w:pPr>
              <w:spacing w:after="0"/>
              <w:rPr>
                <w:sz w:val="18"/>
                <w:szCs w:val="18"/>
                <w:color w:val="auto"/>
              </w:rPr>
            </w:pPr>
          </w:p>
        </w:tc>
        <w:tc>
          <w:tcPr>
            <w:tcW w:w="8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(44,497)</w:t>
            </w: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(10,669)</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(27,807)</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Cumulative Undeclared Dividends on Series C preferred shares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(2,841)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(3,011)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200" w:type="dxa"/>
            <w:vAlign w:val="bottom"/>
          </w:tcPr>
          <w:p>
            <w:pPr>
              <w:spacing w:after="0"/>
              <w:rPr>
                <w:sz w:val="18"/>
                <w:szCs w:val="18"/>
                <w:color w:val="auto"/>
              </w:rPr>
            </w:pPr>
          </w:p>
        </w:tc>
      </w:tr>
      <w:tr>
        <w:trPr>
          <w:trHeight w:val="215"/>
        </w:trPr>
        <w:tc>
          <w:tcPr>
            <w:tcW w:w="1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loss available to common shareholders, basic and diluted</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(333,928)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(265,964)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2"/>
              </w:rPr>
              <w:t>(65,767)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(93,056)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loss per share attributable to common shareholders, basic and diluted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(5.30)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00" w:type="dxa"/>
            <w:vAlign w:val="bottom"/>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360"/>
              <w:spacing w:after="0" w:line="209"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63,032</w:t>
            </w: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63,306</w:t>
            </w: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63,229</w:t>
            </w: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63,430</w:t>
            </w: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1"/>
        </w:trPr>
        <w:tc>
          <w:tcPr>
            <w:tcW w:w="180" w:type="dxa"/>
            <w:vAlign w:val="bottom"/>
          </w:tcPr>
          <w:p>
            <w:pPr>
              <w:spacing w:after="0"/>
              <w:rPr>
                <w:sz w:val="17"/>
                <w:szCs w:val="17"/>
                <w:color w:val="auto"/>
              </w:rPr>
            </w:pPr>
          </w:p>
        </w:tc>
        <w:tc>
          <w:tcPr>
            <w:tcW w:w="7240" w:type="dxa"/>
            <w:vAlign w:val="bottom"/>
            <w:shd w:val="clear" w:color="auto" w:fill="CCEEFF"/>
          </w:tcPr>
          <w:p>
            <w:pPr>
              <w:ind w:left="360"/>
              <w:spacing w:after="0" w:line="201" w:lineRule="exact"/>
              <w:rPr>
                <w:sz w:val="20"/>
                <w:szCs w:val="20"/>
                <w:color w:val="auto"/>
              </w:rPr>
            </w:pPr>
            <w:r>
              <w:rPr>
                <w:rFonts w:ascii="Times New Roman" w:cs="Times New Roman" w:eastAsia="Times New Roman" w:hAnsi="Times New Roman"/>
                <w:sz w:val="16"/>
                <w:szCs w:val="16"/>
                <w:color w:val="auto"/>
              </w:rPr>
              <w:t>Pro forma net loss per share attributable to common stockholders, basic and diluted</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20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7240" w:type="dxa"/>
            <w:vAlign w:val="bottom"/>
          </w:tcPr>
          <w:p>
            <w:pPr>
              <w:ind w:left="360"/>
              <w:spacing w:after="0" w:line="209"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160,303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7"/>
                <w:szCs w:val="17"/>
                <w:color w:val="auto"/>
              </w:rPr>
              <w:t>161,135</w:t>
            </w: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9"/>
        </w:trPr>
        <w:tc>
          <w:tcPr>
            <w:tcW w:w="180" w:type="dxa"/>
            <w:vAlign w:val="bottom"/>
            <w:tcBorders>
              <w:bottom w:val="single" w:sz="8" w:color="auto"/>
            </w:tcBorders>
          </w:tcPr>
          <w:p>
            <w:pPr>
              <w:spacing w:after="0"/>
              <w:rPr>
                <w:sz w:val="13"/>
                <w:szCs w:val="13"/>
                <w:color w:val="auto"/>
              </w:rPr>
            </w:pPr>
          </w:p>
        </w:tc>
        <w:tc>
          <w:tcPr>
            <w:tcW w:w="7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49"/>
        </w:trPr>
        <w:tc>
          <w:tcPr>
            <w:tcW w:w="7420" w:type="dxa"/>
            <w:vAlign w:val="bottom"/>
            <w:gridSpan w:val="2"/>
          </w:tcPr>
          <w:p>
            <w:pPr>
              <w:jc w:val="right"/>
              <w:ind w:right="1594"/>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00"/>
          </w:cols>
          <w:pgMar w:left="320" w:top="446"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5531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230" cy="553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hanging="429"/>
        <w:spacing w:after="0" w:line="267"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Notes 2 and 12 to our consolidated financial statements included elsewhere in this prospectus for an explanation of the calculations of our basic and diluted net loss per share attributable to common stockholders.</w:t>
      </w:r>
    </w:p>
    <w:p>
      <w:pPr>
        <w:spacing w:after="0" w:line="1" w:lineRule="exact"/>
        <w:rPr>
          <w:rFonts w:ascii="Times New Roman" w:cs="Times New Roman" w:eastAsia="Times New Roman" w:hAnsi="Times New Roman"/>
          <w:sz w:val="17"/>
          <w:szCs w:val="17"/>
          <w:color w:val="auto"/>
        </w:rPr>
      </w:pPr>
    </w:p>
    <w:p>
      <w:pPr>
        <w:jc w:val="both"/>
        <w:ind w:left="620" w:hanging="429"/>
        <w:spacing w:after="0" w:line="257" w:lineRule="auto"/>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forma net loss per share and the weighted-average number of shares used in the computation of the per share amounts for the year ended December 31, 2023 and the three months ended March 31, 2024 have been computed to give effect to (a) the Series B Preferred Stock Conversion and Transfer resulting in 5,043,789 shares of Class B common stock outstanding immediately following the consummation of this offering, (b) the issuance and sale of 3,489,981 shares of Series G-5 convertible preferred stock in April 2024 as if such issuance and sale had occurred on December 31, 2023 and March 31, 2024, as applicable, (c) the Preferred Stock Conversion resulting in the issuance of 66,935,254 shares of Class A common stock upon the closing of this offering, assuming an initial public offering price of $36.00 per share, the midpoint of the estimated price range set forth on the cover page of this prospectus, (d) the Additional Class A Conversion Share Issuance resulting in the issuance of 4,713,771 Additional Class A Conversion Shares and 5,227,001 Additional Class A Conversion Shares for the period ended December 31, 2023 and March 31, 2024, respectively, assuming an initial public offering price of $36.00 per share, the midpoint of the estimated price range set forth on the cover page of this prospectus, upon the closing of this offering, (e) the payment of $5.6 million of cash dividends on certain shares of our convertible preferred stock accrued through December 31, 2023 as if such payment had occurred on December 31, 2023 and March 31, 2024, as applicable, (f) the automatic conversion of all of our nonvoting common stock into 5,069,477 shares of Class A common stock, which will occur upon the closing of this offering, (g) the net issuance of 2,527,923 shares of Class A common stock for each of the periods ended December 31, 2023 and March 31, 2024, upon the RSU Net Settlement, the issuance of 10,530,075 shares and 10,724,524 shares of Class A Common Stock for the period ended December 31, 2023 and March 31, 2024, respectively, upon the Additional RSU Settlement and the recognition of associated stock-based compensation expense of approximately $475.3 million and $478.9 million related to the vesting of RSUs outstanding as of December 31, 2023 and March 31, 2024, respectively, as further described in Note 10 to our consolidated financial statements included elsewhere in this prospectus, (h) the Warrant Net Exercise, and (i) the filing and effectiveness of our amended and restated certificate of incorporation, which will occur upon the closing of this offering. 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200" w:lineRule="exact"/>
        <w:rPr>
          <w:sz w:val="20"/>
          <w:szCs w:val="20"/>
          <w:color w:val="auto"/>
        </w:rPr>
      </w:pPr>
    </w:p>
    <w:p>
      <w:pPr>
        <w:spacing w:after="0" w:line="215" w:lineRule="exact"/>
        <w:rPr>
          <w:sz w:val="20"/>
          <w:szCs w:val="20"/>
          <w:color w:val="auto"/>
        </w:rPr>
      </w:pPr>
    </w:p>
    <w:tbl>
      <w:tblPr>
        <w:tblLayout w:type="fixed"/>
        <w:tblInd w:w="180" w:type="dxa"/>
        <w:tblCellMar>
          <w:top w:w="0" w:type="dxa"/>
          <w:left w:w="0" w:type="dxa"/>
          <w:bottom w:w="0" w:type="dxa"/>
          <w:right w:w="0" w:type="dxa"/>
        </w:tblCellMar>
      </w:tblPr>
      <w:tr>
        <w:trPr>
          <w:trHeight w:val="168"/>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6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vMerge w:val="restart"/>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Pro Forma</w:t>
            </w:r>
            <w:r>
              <w:rPr>
                <w:rFonts w:ascii="Times New Roman" w:cs="Times New Roman" w:eastAsia="Times New Roman" w:hAnsi="Times New Roman"/>
                <w:sz w:val="10"/>
                <w:szCs w:val="10"/>
                <w:b w:val="1"/>
                <w:bCs w:val="1"/>
                <w:color w:val="auto"/>
                <w:w w:val="98"/>
              </w:rPr>
              <w:t>(1)</w:t>
            </w:r>
          </w:p>
        </w:tc>
        <w:tc>
          <w:tcPr>
            <w:tcW w:w="8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right"/>
              <w:ind w:right="77"/>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As Adjusted</w:t>
            </w:r>
            <w:r>
              <w:rPr>
                <w:rFonts w:ascii="Times New Roman" w:cs="Times New Roman" w:eastAsia="Times New Roman" w:hAnsi="Times New Roman"/>
                <w:sz w:val="10"/>
                <w:szCs w:val="10"/>
                <w:b w:val="1"/>
                <w:bCs w:val="1"/>
                <w:color w:val="auto"/>
                <w:w w:val="99"/>
              </w:rPr>
              <w:t>(2)(3)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58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thousands) (unaudited)</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80,792</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7"/>
                <w:szCs w:val="17"/>
                <w:color w:val="auto"/>
              </w:rPr>
              <w:t>$  275,167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565,982</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469,272</w:t>
            </w:r>
          </w:p>
        </w:tc>
        <w:tc>
          <w:tcPr>
            <w:tcW w:w="21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rPr>
              <w:t>663,647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946,245</w:t>
            </w: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57,039</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7"/>
                <w:szCs w:val="17"/>
                <w:color w:val="auto"/>
              </w:rPr>
              <w:t>259,757</w:t>
            </w: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546,426</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1,134,802</w:t>
            </w: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7"/>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stockholders’ (deficit) equity</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8"/>
              </w:rPr>
              <w:t>(1,474,425)</w:t>
            </w:r>
          </w:p>
        </w:tc>
        <w:tc>
          <w:tcPr>
            <w:tcW w:w="2120" w:type="dxa"/>
            <w:vAlign w:val="bottom"/>
            <w:gridSpan w:val="3"/>
          </w:tcPr>
          <w:p>
            <w:pPr>
              <w:jc w:val="right"/>
              <w:ind w:right="740"/>
              <w:spacing w:after="0"/>
              <w:rPr>
                <w:sz w:val="20"/>
                <w:szCs w:val="20"/>
                <w:color w:val="auto"/>
              </w:rPr>
            </w:pPr>
            <w:r>
              <w:rPr>
                <w:rFonts w:ascii="Times New Roman" w:cs="Times New Roman" w:eastAsia="Times New Roman" w:hAnsi="Times New Roman"/>
                <w:sz w:val="17"/>
                <w:szCs w:val="17"/>
                <w:color w:val="auto"/>
              </w:rPr>
              <w:t>(136,905)</w:t>
            </w: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149,764</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620" w:hanging="429"/>
        <w:spacing w:after="0" w:line="266"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 forma consolidated balance sheet data gives effect to (a) the Series B Preferred Stock Conversion and Transfer resulting in 5,043,789 shares of Class B common stock outstanding immediately following the consummation of this offering, (b) the issuance and sale of 3,489,981 shares of Series G-5 convertible preferred stock in April 2024 as if such issuance and sale had occurred on March 31, 2024, (c) the Preferred Stock Conversion resulting in the issuance of 66,935,254 shares of Class A common stock, assuming an initial public offering price of $36.00 per share, the midpoint of the estimated price range set forth on the cover page of this prospectus, upon the closing of this offering, (d) the Additional Class A Conversion Share</w:t>
      </w:r>
    </w:p>
    <w:p>
      <w:pPr>
        <w:spacing w:after="0" w:line="2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100"/>
          </w:cols>
          <w:pgMar w:left="320" w:top="446"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7174230" cy="383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230" cy="38303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7"/>
          <w:szCs w:val="17"/>
          <w:color w:val="auto"/>
        </w:rPr>
        <w:t>Issuance, resulting in the issuance of 5,227,001 Additional Class A Conversion Shares as of March 31, 2024, assuming an initial public offering price of $36.00 per share, the midpoint of the estimated price range set forth on the cover page of this prospectus, upon the closing of this offering, (e) the payment of $5.6 million of accrued cash dividends on certain shares of our convertible preferred stock on June 4, 2024 as if such payment had occurred on March 31, 2024, (f) the automatic conversion of all of our nonvoting common stock into 5,069,477 shares of Class A common stock, which will occur upon the closing of this offering, (g) the net issuance of 2,527,923 shares of Class A common stock upon the RSU Net Settlement as of March 31, 2024, the issuance of 10,724,524 shares of Class A common stock upon the Additional RSU Settlement as of March 31, 2024, and the recognition of stock-based compensation expense of approximately $478.9 million related to the vesting of RSUs outstanding as of March 31, 2024, as further described in Note 10 to our consolidated financial statements included elsewhere in this prospectus, (h) the Warrant Net Exercise, and</w:t>
      </w:r>
    </w:p>
    <w:p>
      <w:pPr>
        <w:spacing w:after="0" w:line="3" w:lineRule="exact"/>
        <w:rPr>
          <w:sz w:val="20"/>
          <w:szCs w:val="20"/>
          <w:color w:val="auto"/>
        </w:rPr>
      </w:pPr>
    </w:p>
    <w:p>
      <w:pPr>
        <w:jc w:val="both"/>
        <w:ind w:left="620" w:firstLine="2"/>
        <w:spacing w:after="0" w:line="256" w:lineRule="auto"/>
        <w:tabs>
          <w:tab w:leader="none" w:pos="8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effectiveness of our amended and restated certificate of incorporation, which will occur upon the closing of this offering, and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 w:lineRule="exact"/>
        <w:rPr>
          <w:rFonts w:ascii="Times New Roman" w:cs="Times New Roman" w:eastAsia="Times New Roman" w:hAnsi="Times New Roman"/>
          <w:sz w:val="17"/>
          <w:szCs w:val="17"/>
          <w:color w:val="auto"/>
        </w:rPr>
      </w:pPr>
    </w:p>
    <w:p>
      <w:pPr>
        <w:jc w:val="both"/>
        <w:ind w:left="620" w:hanging="429"/>
        <w:spacing w:after="0" w:line="256"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 forma as adjusted consolidated balance sheet data reflects (a) the pro forma adjustments set forth in footnote (1) above, (b) our receipt of $365.3 million in estimated net proceeds from the sale of shares of Class A common stock that we are offering at an assumed initial public offering price of $36.00 per share, the midpoint of the estimated price range set forth on the cover page of this prospectus, after deducting underwriting discounts and commissions and estimated offering expenses payable by us (which offering expenses exclude $4.1 million of deferred offering costs that have been previously paid as of March 31, 2024, but include $4.1 million for deferred offering costs accrued and unpaid as of March 31, 2024 and $2.3 million of deferred offering costs not yet accrued or paid as of March 31, 2024) and (c) the use of approximately $74.5 million of the net proceeds from this offering to pay federal and state tax withholding and remittance obligations related to the RSU Net Settlement.</w:t>
      </w:r>
    </w:p>
    <w:p>
      <w:pPr>
        <w:spacing w:after="0" w:line="4" w:lineRule="exact"/>
        <w:rPr>
          <w:rFonts w:ascii="Times New Roman" w:cs="Times New Roman" w:eastAsia="Times New Roman" w:hAnsi="Times New Roman"/>
          <w:sz w:val="17"/>
          <w:szCs w:val="17"/>
          <w:color w:val="auto"/>
        </w:rPr>
      </w:pPr>
    </w:p>
    <w:p>
      <w:pPr>
        <w:jc w:val="both"/>
        <w:ind w:left="620" w:hanging="429"/>
        <w:spacing w:after="0" w:line="256"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$1.00 increase (decrease) in the assumed initial public offering price of $36.00 per share of Class A common stock, the midpoint of the estimated price range set forth on the cover page of this prospectus, would increase (decrease) each of our pro forma as adjusted cash, cash equivalents and restricted cash, total assets, working capital and total stockholders’ (deficit) equity by approximately $10.3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 total stockholders’ (deficit) equity by $33.5 million, assuming the assumed initial public offering price of $36.00 per share of Class A common stock remains the same, and after deducting the estimated underwriting discounts and commissions.</w:t>
      </w:r>
    </w:p>
    <w:p>
      <w:pPr>
        <w:spacing w:after="0" w:line="4" w:lineRule="exact"/>
        <w:rPr>
          <w:rFonts w:ascii="Times New Roman" w:cs="Times New Roman" w:eastAsia="Times New Roman" w:hAnsi="Times New Roman"/>
          <w:sz w:val="17"/>
          <w:szCs w:val="17"/>
          <w:color w:val="auto"/>
        </w:rPr>
      </w:pPr>
    </w:p>
    <w:p>
      <w:pPr>
        <w:ind w:left="620" w:hanging="429"/>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is defined as current assets less current liabilities.</w:t>
      </w:r>
    </w:p>
    <w:p>
      <w:pPr>
        <w:spacing w:after="0" w:line="3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100"/>
          </w:cols>
          <w:pgMar w:left="320" w:top="446"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2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Strategy</w:t>
      </w:r>
    </w:p>
    <w:p>
      <w:pPr>
        <w:spacing w:after="0" w:line="116" w:lineRule="exact"/>
        <w:rPr>
          <w:sz w:val="20"/>
          <w:szCs w:val="20"/>
          <w:color w:val="auto"/>
        </w:rPr>
      </w:pPr>
    </w:p>
    <w:p>
      <w:pPr>
        <w:ind w:left="460" w:right="5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3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have incurred significant losses since our inception. For the years ended December 31, 2022 and 2023 and the three months ended March 31, 2023 and 2024, we incurred net losses of $289.8 million, $214.1 million, $54.4 million and $64.7 million, respectively. As of March 31, 2024, we had an accumulated deficit of $1.5 billion. To date, we have financed our operations principally from the sale of stock and convertible securities, and revenue from our Genomics and Data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current or future products may not achieve or maintain sufficient commercial market acceptance.</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80" w:lineRule="exact"/>
        <w:rPr>
          <w:sz w:val="20"/>
          <w:szCs w:val="20"/>
          <w:color w:val="auto"/>
        </w:rPr>
      </w:pPr>
    </w:p>
    <w:p>
      <w:pPr>
        <w:ind w:left="1000" w:hanging="551"/>
        <w:spacing w:after="0" w:line="295"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awareness of our Genomics and AI Applications diagnostic tests and other AI Applications, including new product offerings as they become available;</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adoption and/or endorsement of our Genomics and AI Applications diagnostic tests and AI Applications by clinicians, pharmaceutical and biotechnology companies, KOLs, and advocacy groups;</w:t>
      </w:r>
    </w:p>
    <w:p>
      <w:pPr>
        <w:spacing w:after="0" w:line="55"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scope of obtaining any necessary approvals by regulatory agencies, including the FDA, for our diagnostic tests, any software offerings, AI Applications, or any features of our Platform, in each case, that may be subject to regulatory oversight;</w:t>
      </w:r>
    </w:p>
    <w:p>
      <w:pPr>
        <w:spacing w:after="0" w:line="55"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positive coverage decisions for our tests from additional commercial payers and to broaden the scope of indications included in such coverage decisions;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reimbursement and expanded coverage from government payers, including Medicare;</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demand for our Data business, including by expanding our database of de-identified patient information and increasing the utility of our product offerings;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beyond oncology into neuropsychiatry, cardiology, radiology, and other indications;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300"/>
          </w:cols>
          <w:pgMar w:left="320" w:top="446" w:right="2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hanging="551"/>
        <w:spacing w:after="0"/>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build and maintain robust data sets with respect to patient populations in geographic regions that we may seek to enter in the future;</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our investments in Platform development, product innovation and commercial growth;</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perception of our products, those of our competitors and the industry in which we operate, including our ability to avoid adverse publicity from defects or errors; and</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further validate our Platform through clinical research and accompanying publications.</w:t>
      </w:r>
    </w:p>
    <w:p>
      <w:pPr>
        <w:spacing w:after="0" w:line="223" w:lineRule="exact"/>
        <w:rPr>
          <w:sz w:val="20"/>
          <w:szCs w:val="20"/>
          <w:color w:val="auto"/>
        </w:rPr>
      </w:pPr>
    </w:p>
    <w:p>
      <w:pPr>
        <w:jc w:val="both"/>
        <w:ind w:right="20" w:firstLine="451"/>
        <w:spacing w:after="0" w:line="288" w:lineRule="auto"/>
        <w:rPr>
          <w:sz w:val="20"/>
          <w:szCs w:val="20"/>
          <w:color w:val="auto"/>
        </w:rPr>
      </w:pPr>
      <w:r>
        <w:rPr>
          <w:rFonts w:ascii="Times New Roman" w:cs="Times New Roman" w:eastAsia="Times New Roman" w:hAnsi="Times New Roman"/>
          <w:sz w:val="17"/>
          <w:szCs w:val="17"/>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00" w:lineRule="exact"/>
        <w:rPr>
          <w:sz w:val="20"/>
          <w:szCs w:val="20"/>
          <w:color w:val="auto"/>
        </w:rPr>
      </w:pPr>
    </w:p>
    <w:p>
      <w:pPr>
        <w:spacing w:after="0" w:line="268" w:lineRule="exact"/>
        <w:rPr>
          <w:sz w:val="20"/>
          <w:szCs w:val="20"/>
          <w:color w:val="auto"/>
        </w:rPr>
      </w:pPr>
    </w:p>
    <w:p>
      <w:pPr>
        <w:ind w:left="46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3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70" w:lineRule="exact"/>
        <w:rPr>
          <w:sz w:val="20"/>
          <w:szCs w:val="20"/>
          <w:color w:val="auto"/>
        </w:rPr>
      </w:pPr>
    </w:p>
    <w:p>
      <w:pPr>
        <w:ind w:left="1000" w:hanging="551"/>
        <w:spacing w:after="0" w:line="295" w:lineRule="auto"/>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 of, and level of investment in, research, development, regulatory approval and commercialization activities relating to our Platform and products, which may change from time to time;</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and customer mix of our Genomics and AI Applications diagnostic testing, AI Applications, and other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start and completion of projects in which our Data and Services products are utilized;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new products or product enhancements by us or others in our industry;</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coverage and reimbursement policies with respect to our products and products that compete with our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that we may incur to acquire, develop or commercialize additional products and technologies;</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regulations, including with respect to privacy and data security and medical device regulation, and our compliance therewith, or in the status of our regulatory approvals or applications;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accounting pronouncements or changes in our accounting policies;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disruptions in the business and operations of our clinical, commercial and other partners;</w:t>
      </w:r>
    </w:p>
    <w:p>
      <w:pPr>
        <w:spacing w:after="0" w:line="131"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political and economic instability, including wars (such as the armed conflicts between Russia and Ukraine and the hostilities in the Middle East), terrorism, and political unrest, epidemics or pandemics, boycotts, curtailment of trade and other business restrictions; and</w:t>
      </w:r>
    </w:p>
    <w:p>
      <w:pPr>
        <w:spacing w:after="0" w:line="70"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47"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300"/>
          </w:cols>
          <w:pgMar w:left="320" w:top="446" w:right="2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7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 addition, the demand for our Genomics and Data and Services products will depend in part upon the research and development and clinical budgets of pharmaceutical and biotechnology customers, which are impacted by factors beyond our control, such as:</w:t>
      </w:r>
    </w:p>
    <w:p>
      <w:pPr>
        <w:spacing w:after="0" w:line="55" w:lineRule="exact"/>
        <w:rPr>
          <w:sz w:val="20"/>
          <w:szCs w:val="20"/>
          <w:color w:val="auto"/>
        </w:rPr>
      </w:pPr>
    </w:p>
    <w:p>
      <w:pPr>
        <w:ind w:left="1000" w:hanging="551"/>
        <w:spacing w:after="0"/>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programs (such as the National Institutes of Health) that provide funding to research institutions and companies;</w:t>
      </w:r>
    </w:p>
    <w:p>
      <w:pPr>
        <w:spacing w:after="0" w:line="131"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(including any impact of unforeseen events such as the armed conflicts between Russia and Ukraine and the hostilities in the Middle East), the political climate and the impact of public health emergencies such as the COVID-19 pandemic, high and rising inflation rates, high interest rates, government closures of banks and liquidity concerns at other financial institutions;</w:t>
      </w:r>
    </w:p>
    <w:p>
      <w:pPr>
        <w:spacing w:after="0" w:line="70"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regulatory environment;</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budgetary cycles;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 products or pricing;</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market-driven pressures to consolidate operations and reduce costs;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relatively new products.</w:t>
      </w:r>
    </w:p>
    <w:p>
      <w:pPr>
        <w:spacing w:after="0" w:line="22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 in addition, management assesses relevant contractual terms in contracts with customers and applies significant judgment in identifying and accounting for all terms and conditions in certain contracts.</w:t>
      </w:r>
    </w:p>
    <w:p>
      <w:pPr>
        <w:spacing w:after="0" w:line="17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6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success of our business depends on our continued access to, and ability to monetize, de-identified patient data.</w:t>
      </w:r>
    </w:p>
    <w:p>
      <w:pPr>
        <w:spacing w:after="0" w:line="122"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Our business relies on our ability to obtain, process, monetize and distribute highly regulated data in the healthcare industry, in a manner that complies with applicable laws, regulations and contractual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300"/>
          </w:cols>
          <w:pgMar w:left="320" w:top="446"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technological restrictions. The data that we collect through the provision of Genomics tests and through other sources is critical to our ability to offer our Data and AI Applications products and services.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73"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18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ONCare Alliance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75" w:lineRule="exact"/>
        <w:rPr>
          <w:sz w:val="20"/>
          <w:szCs w:val="20"/>
          <w:color w:val="auto"/>
        </w:rPr>
      </w:pPr>
    </w:p>
    <w:p>
      <w:pPr>
        <w:jc w:val="both"/>
        <w:ind w:right="20" w:firstLine="451"/>
        <w:spacing w:after="0" w:line="264" w:lineRule="auto"/>
        <w:rPr>
          <w:sz w:val="20"/>
          <w:szCs w:val="20"/>
          <w:color w:val="auto"/>
        </w:rPr>
      </w:pPr>
      <w:r>
        <w:rPr>
          <w:rFonts w:ascii="Times New Roman" w:cs="Times New Roman" w:eastAsia="Times New Roman" w:hAnsi="Times New Roman"/>
          <w:sz w:val="17"/>
          <w:szCs w:val="17"/>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continued adoption of our products and services is dependent on a number of factors, many of which are interrelated.</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ability to execute our growth strategy and become profitable is highly dependent on a number of factors, many of which are interrelated.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300"/>
          </w:cols>
          <w:pgMar w:left="320" w:top="446"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46% and 63% of our revenue in the years ended December 31, 2022 and 2023, respectively. We cannot assure that our oncology tests will continue to maintain or gain market acceptance, and any failure to do so would materially harm our business, financial condition and results of operations.</w:t>
      </w:r>
    </w:p>
    <w:p>
      <w:pPr>
        <w:spacing w:after="0" w:line="178"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Continued adoption of and use of our Data and Services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8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scope and robustness of the Data and Services and AI Applications products that we can offer our customers also depend significantly on the continued success of our Genomics product line, as the data that we collect through genomic testing is an essential component of our Data and Services and AI Applications products. Further, we believe that growth in the use of our Data and Services products will help drive awareness and adoption of our Genomics product line, which in turn will drive further growth within our Data and Services and AI Applications product lines. However, there can be no assurance that we will realize these synergies.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and rapid growth make it difficult to evaluate our future prospects and the risks and challenges we may encounter.</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7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If we fail to address the risks and difficulties that we face, including those described elsewhere in this “Risk Factors” section, our business, financial condition and results of operations could be adversely affected. We have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300"/>
          </w:cols>
          <w:pgMar w:left="320" w:top="446" w:right="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raise additional capital to fund our existing operations, develop our Platform, commercialize new products or expand our operations.</w:t>
      </w:r>
    </w:p>
    <w:p>
      <w:pPr>
        <w:spacing w:after="0" w:line="122"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55" w:lineRule="exact"/>
        <w:rPr>
          <w:sz w:val="20"/>
          <w:szCs w:val="20"/>
          <w:color w:val="auto"/>
        </w:rPr>
      </w:pPr>
    </w:p>
    <w:p>
      <w:pPr>
        <w:ind w:left="1000" w:hanging="551"/>
        <w:spacing w:after="0"/>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sales and marketing efforts to drive market adoption of our current products and services, and address competitive developments;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development and marketing efforts of our products under development or any other future products we may develop;</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license or invest in technologies;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invest in complementary businesses or assets;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capital expenditures and general and administrative expenses.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present and future funding requirements will depend on many factors, including:</w:t>
      </w:r>
    </w:p>
    <w:p>
      <w:pPr>
        <w:spacing w:after="0" w:line="131" w:lineRule="exact"/>
        <w:rPr>
          <w:sz w:val="20"/>
          <w:szCs w:val="20"/>
          <w:color w:val="auto"/>
        </w:rPr>
      </w:pPr>
    </w:p>
    <w:p>
      <w:pPr>
        <w:ind w:left="1000" w:hanging="551"/>
        <w:spacing w:after="0"/>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revenue growth and favorable gross profits;</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progress in establishing payer coverage and reimbursement arrangements with domestic and international commercial payers and government payers;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expanding our laboratory operations and product offerings, including our sales and marketing efforts;</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at which we choose to advance, rate of progress in, and costs of our research and development activities associated with, products in development;</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technological and market developments;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our international expansion;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costs of and delays in product development as a result of any existing or new regulatory oversight applicable to our products.</w:t>
      </w:r>
    </w:p>
    <w:p>
      <w:pPr>
        <w:spacing w:after="0" w:line="22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300"/>
          </w:cols>
          <w:pgMar w:left="320" w:top="446"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AI Applications product line is nascent.</w:t>
      </w:r>
    </w:p>
    <w:p>
      <w:pPr>
        <w:spacing w:after="0" w:line="12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As of March 31, 2024, we had limited commercialized algorithms within our AI Applications product line. Revenue generated from AI Applications is reported within our Data and Services product line and was $1.4 million and $5.5 million for the years ended December 31, 2022 and 2023, respectively, and less than $1.0 million for each of the three months ended March 31, 2023 and 2024, which represents less than 1.5% of our total revenue in each period.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represents only a small proportion of the diagnostics market. The use of algorithmic diagnostics may also be subject to existing and entirely new regulations that may substantially impact their adoption, use, reimbursement and ongoing viability. While we believe AI Applications represent a significant long-term opportunity for us, there can be no assurances that a robust and sustained market for such diagnostics will develop or that we will successfully compete in any such market.</w:t>
      </w:r>
    </w:p>
    <w:p>
      <w:pPr>
        <w:spacing w:after="0" w:line="280" w:lineRule="exact"/>
        <w:rPr>
          <w:sz w:val="20"/>
          <w:szCs w:val="20"/>
          <w:color w:val="auto"/>
        </w:rPr>
      </w:pPr>
    </w:p>
    <w:p>
      <w:pPr>
        <w:ind w:left="460" w:right="5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New product development and commercialization involve a lengthy and complex process and we may be unable to develop or commercialize new products on a timely basis, or at all.</w:t>
      </w:r>
    </w:p>
    <w:p>
      <w:pPr>
        <w:spacing w:after="0" w:line="38"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Products that are under development have taken time and considerable resources to develop, and we may not be able to complete the development and commercialization of such products on a timely basis, or at all.</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Before we can commercialize any new Genomics or AI Applications diagnostic products, we will need to expend significant funds in order to:</w:t>
      </w:r>
    </w:p>
    <w:p>
      <w:pPr>
        <w:spacing w:after="0" w:line="131" w:lineRule="exact"/>
        <w:rPr>
          <w:sz w:val="20"/>
          <w:szCs w:val="20"/>
          <w:color w:val="auto"/>
        </w:rPr>
      </w:pPr>
    </w:p>
    <w:p>
      <w:pPr>
        <w:ind w:left="1000" w:hanging="551"/>
        <w:spacing w:after="0"/>
        <w:tabs>
          <w:tab w:leader="none" w:pos="10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substantial research and development, including validation studies and, in some cases, clinical trials;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develop and scale our laboratory or algorithmic processes to accommodate diagnostic tests in additional disease areas;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develop and scale our infrastructure to be able to analyze increasingly large amounts of data.</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diagnostic product development process involves a high degree of risk, and product development efforts may fail for many reasons, including:</w:t>
      </w:r>
    </w:p>
    <w:p>
      <w:pPr>
        <w:spacing w:after="0" w:line="131" w:lineRule="exact"/>
        <w:rPr>
          <w:sz w:val="20"/>
          <w:szCs w:val="20"/>
          <w:color w:val="auto"/>
        </w:rPr>
      </w:pPr>
    </w:p>
    <w:p>
      <w:pPr>
        <w:ind w:left="1000" w:hanging="551"/>
        <w:spacing w:after="0"/>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the diagnostic product to perform as expected, including defects and errors;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validation data or validation activities that subsequently may be challenged or questioned; or</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demonstrate the clinical utility of the diagnostic test.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Expanding the offerings of our Data business is also a speculative and risky endeavor and may require us to:</w:t>
      </w:r>
    </w:p>
    <w:p>
      <w:pPr>
        <w:spacing w:after="0" w:line="131" w:lineRule="exact"/>
        <w:rPr>
          <w:sz w:val="20"/>
          <w:szCs w:val="20"/>
          <w:color w:val="auto"/>
        </w:rPr>
      </w:pPr>
    </w:p>
    <w:p>
      <w:pPr>
        <w:ind w:left="1000" w:hanging="551"/>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additional access to patient healthcare information that is relevant to the products we offer;</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correctly identify customer needs and preferences and predict future needs and preferences;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our research and development funding to areas with higher growth prospects;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and respond to our competitors’ development of new products and technological innovations.</w:t>
      </w:r>
    </w:p>
    <w:p>
      <w:pPr>
        <w:spacing w:after="0" w:line="22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300"/>
          </w:cols>
          <w:pgMar w:left="320" w:top="446" w:right="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6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updating or otherwise enhancing our Platform and products.</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As of March 31, 2024, we had developed multiple genomics diagnostics tests across oncology, infectious diseases, and neuropsychiatry,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69"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bodies’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77" w:lineRule="exact"/>
        <w:rPr>
          <w:sz w:val="20"/>
          <w:szCs w:val="20"/>
          <w:color w:val="auto"/>
        </w:rPr>
      </w:pPr>
    </w:p>
    <w:p>
      <w:pPr>
        <w:jc w:val="both"/>
        <w:ind w:firstLine="451"/>
        <w:spacing w:after="0" w:line="273" w:lineRule="auto"/>
        <w:rPr>
          <w:sz w:val="20"/>
          <w:szCs w:val="20"/>
          <w:color w:val="auto"/>
        </w:rPr>
      </w:pPr>
      <w:r>
        <w:rPr>
          <w:rFonts w:ascii="Times New Roman" w:cs="Times New Roman" w:eastAsia="Times New Roman" w:hAnsi="Times New Roman"/>
          <w:sz w:val="17"/>
          <w:szCs w:val="17"/>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287" w:lineRule="exact"/>
        <w:rPr>
          <w:sz w:val="20"/>
          <w:szCs w:val="20"/>
          <w:color w:val="auto"/>
        </w:rPr>
      </w:pPr>
    </w:p>
    <w:p>
      <w:pPr>
        <w:ind w:left="1000" w:hanging="551"/>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correctly identify customer needs and preferences and predict future needs and preferences;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our research and development funding to areas with higher growth prospects;</w:t>
      </w:r>
    </w:p>
    <w:p>
      <w:pPr>
        <w:spacing w:after="0" w:line="131" w:lineRule="exact"/>
        <w:rPr>
          <w:rFonts w:ascii="Times New Roman" w:cs="Times New Roman" w:eastAsia="Times New Roman" w:hAnsi="Times New Roman"/>
          <w:sz w:val="17"/>
          <w:szCs w:val="17"/>
          <w:color w:val="auto"/>
        </w:rPr>
      </w:pPr>
    </w:p>
    <w:p>
      <w:pPr>
        <w:ind w:left="5560" w:right="3060" w:hanging="5111"/>
        <w:spacing w:after="0" w:line="472" w:lineRule="auto"/>
        <w:tabs>
          <w:tab w:leader="none" w:pos="9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and respond to our competitors’ development of new products and technological innovations; 35</w:t>
      </w:r>
    </w:p>
    <w:p>
      <w:pPr>
        <w:sectPr>
          <w:pgSz w:w="11900" w:h="16838" w:orient="portrait"/>
          <w:cols w:equalWidth="0" w:num="1">
            <w:col w:w="11300"/>
          </w:cols>
          <w:pgMar w:left="320" w:top="446" w:right="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right="20" w:hanging="551"/>
        <w:spacing w:after="0" w:line="295"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innovate and develop new technologies and applications, and acquire or obtain rights to third-party technologies that may have valuable applications in the markets we serve;</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develop and commercialize new technologies and applications in a timely manner;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convince customers to adopt new technologies and applications.</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expenses or losses associated with unsuccessful expansion of our Platform could adversely affect our business, financial condition and results of operations.</w:t>
      </w:r>
    </w:p>
    <w:p>
      <w:pPr>
        <w:spacing w:after="0" w:line="247" w:lineRule="exact"/>
        <w:rPr>
          <w:sz w:val="20"/>
          <w:szCs w:val="20"/>
          <w:color w:val="auto"/>
        </w:rPr>
      </w:pPr>
    </w:p>
    <w:p>
      <w:pPr>
        <w:ind w:left="46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3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70" w:lineRule="exact"/>
        <w:rPr>
          <w:sz w:val="20"/>
          <w:szCs w:val="20"/>
          <w:color w:val="auto"/>
        </w:rPr>
      </w:pPr>
    </w:p>
    <w:p>
      <w:pPr>
        <w:ind w:left="460" w:right="2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our existing and new products fail to achieve and sustain sufficient scientific acceptance, we will not generate expected revenue and our prospects may be harmed.</w:t>
      </w:r>
    </w:p>
    <w:p>
      <w:pPr>
        <w:spacing w:after="0" w:line="38"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March 31, 2024, our products have been mentioned in 126 peer-reviewed articles published in major journals, including 93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300"/>
          </w:cols>
          <w:pgMar w:left="320" w:top="446"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right="3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38"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80" w:lineRule="exact"/>
        <w:rPr>
          <w:sz w:val="20"/>
          <w:szCs w:val="20"/>
          <w:color w:val="auto"/>
        </w:rPr>
      </w:pPr>
    </w:p>
    <w:p>
      <w:pPr>
        <w:ind w:left="460" w:right="4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38"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75"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ability to attract and retain candidates to support the expansion of our Genomics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In addition, our ability to manage our growth properly will require us to continue to improve our operational, financial and management controls, as well as our reporting systems and procedures. The time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300"/>
          </w:cols>
          <w:pgMar w:left="320" w:top="446" w:right="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47" w:lineRule="exact"/>
        <w:rPr>
          <w:sz w:val="20"/>
          <w:szCs w:val="20"/>
          <w:color w:val="auto"/>
        </w:rPr>
      </w:pPr>
    </w:p>
    <w:p>
      <w:pPr>
        <w:ind w:left="460"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As of December 31, 2023, we had received payment on approximately 50% of our clinical oncology next generation sequencing, or NGS, tests across all payors performed from January 1, 2021 through December 31, 2022. We calculated this metric on a trailing basis based on payor adjudication timing. However, we continued to perform our NGS tests through December 31, 2023. For the years ended December 31, 2022 and 2023, our average reimbursement for NGS tests in oncology was approximately $916 and $1,452,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28% and 26% of our clinical tests were for Medicare beneficiaries in the years ended December 31, 2022 and 2023,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7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w:t>
      </w:r>
    </w:p>
    <w:p>
      <w:pPr>
        <w:spacing w:after="0" w:line="17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7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300"/>
          </w:cols>
          <w:pgMar w:left="320" w:top="446"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47"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6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69"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388"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38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For example, Medicare’s NCD for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300"/>
          </w:cols>
          <w:pgMar w:left="320" w:top="446" w:right="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are in the process of appealing these denials. The process is typically slow and costly, and multiple levels of appeal may be required for adjudication of outstanding claims.</w:t>
      </w:r>
    </w:p>
    <w:p>
      <w:pPr>
        <w:spacing w:after="0" w:line="388"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69"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 which we operate. On May 1, 2024, CMS posted the MAC-specific payment recommendations which indicated that the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300"/>
          </w:cols>
          <w:pgMar w:left="320" w:top="446"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codes applicable to our tests would be reimbursed at the same or a higher level than they were previously reimbursed. These recommendations are currently open for public comment and CMS will publish the final MAC-specific amounts in September. If CMS ultimately prices the new codes at lower rates than they have previously reimbursed our tests at, such pricing decision may have a significant impact on our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w:t>
      </w:r>
    </w:p>
    <w:p>
      <w:pPr>
        <w:spacing w:after="0" w:line="171"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00" w:lineRule="exact"/>
        <w:rPr>
          <w:sz w:val="20"/>
          <w:szCs w:val="20"/>
          <w:color w:val="auto"/>
        </w:rPr>
      </w:pPr>
    </w:p>
    <w:p>
      <w:pPr>
        <w:spacing w:after="0" w:line="287" w:lineRule="exact"/>
        <w:rPr>
          <w:sz w:val="20"/>
          <w:szCs w:val="20"/>
          <w:color w:val="auto"/>
        </w:rPr>
      </w:pPr>
    </w:p>
    <w:p>
      <w:pPr>
        <w:ind w:left="460" w:right="4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38" w:lineRule="exact"/>
        <w:rPr>
          <w:sz w:val="20"/>
          <w:szCs w:val="20"/>
          <w:color w:val="auto"/>
        </w:rPr>
      </w:pPr>
    </w:p>
    <w:p>
      <w:pPr>
        <w:jc w:val="both"/>
        <w:ind w:firstLine="451"/>
        <w:spacing w:after="0" w:line="273" w:lineRule="auto"/>
        <w:rPr>
          <w:sz w:val="20"/>
          <w:szCs w:val="20"/>
          <w:color w:val="auto"/>
        </w:rPr>
      </w:pPr>
      <w:r>
        <w:rPr>
          <w:rFonts w:ascii="Times New Roman" w:cs="Times New Roman" w:eastAsia="Times New Roman" w:hAnsi="Times New Roman"/>
          <w:sz w:val="17"/>
          <w:szCs w:val="17"/>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378"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Labor relations matters could have a material adverse effect on our business, reputation, prospects, results of operations and financial condition.</w:t>
      </w:r>
    </w:p>
    <w:p>
      <w:pPr>
        <w:spacing w:after="0" w:line="12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On February 8, 2024, the International Association of Machinists and Aerospace Workers, or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We are unable to predict whether we will be successful in reaching a collective bargaining agreement, or the incremental cost and expense that may result from such efforts. In addition, to the extent we are unsuccessful, or if such efforts take longer than anticipated, impacted employees may threaten and/or engage in work stoppages and strikes, and our labor costs may continue to increase as a result. Even though we are currently unaware of other unionization efforts, it is possible that other employees may also seek to unionize. The unavailability of laboratory staff, or our inability to control labor costs related to these matters and future efforts to</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300"/>
          </w:cols>
          <w:pgMar w:left="320" w:top="446" w:right="2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unionize, could have a material adverse effect on our business, reputation, prospects, results of operations and financial condition.</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use AI in our products and services which may result in operational challenges, legal liability, reputational concerns and competitive risks.</w:t>
      </w:r>
    </w:p>
    <w:p>
      <w:pPr>
        <w:spacing w:after="0" w:line="122" w:lineRule="exact"/>
        <w:rPr>
          <w:sz w:val="20"/>
          <w:szCs w:val="20"/>
          <w:color w:val="auto"/>
        </w:rPr>
      </w:pPr>
    </w:p>
    <w:p>
      <w:pPr>
        <w:jc w:val="both"/>
        <w:ind w:right="20" w:firstLine="451"/>
        <w:spacing w:after="0" w:line="264" w:lineRule="auto"/>
        <w:rPr>
          <w:sz w:val="20"/>
          <w:szCs w:val="20"/>
          <w:color w:val="auto"/>
        </w:rPr>
      </w:pPr>
      <w:r>
        <w:rPr>
          <w:rFonts w:ascii="Times New Roman" w:cs="Times New Roman" w:eastAsia="Times New Roman" w:hAnsi="Times New Roman"/>
          <w:sz w:val="17"/>
          <w:szCs w:val="17"/>
          <w:color w:val="auto"/>
        </w:rPr>
        <w:t>AI is enabled by or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w:t>
      </w:r>
    </w:p>
    <w:p>
      <w:pPr>
        <w:spacing w:after="0" w:line="173"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proposals for the European Union to enact an Artificial Intelligence Act, or the AI Act, the latest proposed text of which provides for administrative fines of up to 35 million Euros or 7% of a company’s total worldwide annual turnover for the preceding financial year, whichever is the higher). In addition, the use and deployment of AI presents complexities and challenges with respect to compliance with applicable laws 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w:t>
      </w:r>
    </w:p>
    <w:p>
      <w:pPr>
        <w:spacing w:after="0" w:line="38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AI applications assist in producing are deficient or inaccurate, we could 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w:t>
      </w:r>
    </w:p>
    <w:p>
      <w:pPr>
        <w:spacing w:after="0" w:line="173"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w:t>
      </w:r>
    </w:p>
    <w:p>
      <w:pPr>
        <w:spacing w:after="0" w:line="16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300"/>
          </w:cols>
          <w:pgMar w:left="320" w:top="446" w:right="2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understand that the terms “AI,” “Machine Learning,” “Generative AI,” “Large Language Models” and other similar terms may mean different things to different people. Accordingly, when we use those terms, we 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w:t>
      </w:r>
    </w:p>
    <w:p>
      <w:pPr>
        <w:spacing w:after="0" w:line="80" w:lineRule="exact"/>
        <w:rPr>
          <w:sz w:val="20"/>
          <w:szCs w:val="20"/>
          <w:color w:val="auto"/>
        </w:rPr>
      </w:pPr>
    </w:p>
    <w:p>
      <w:pPr>
        <w:ind w:left="1000" w:right="20" w:hanging="551"/>
        <w:spacing w:after="0" w:line="295"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Machine Learning is a type of AI where the computer software is tasked with learning without being explicitly programmed. Instead, the software learns and adapts through a combination of instruction from humans and self-experimentation.</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Generative AI is a type of AI that can take different types of inputs (such as text, image, audio, video, code, etc.) and generate new content using a variety of different modalities and based on a sophisticated and advanced set of rules.</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 Language Models are algorithms that can recognize, summarize, translate, predict, answer questions about, and generate content using very large datasets, such as our own multimodal clinical-molecular database.</w:t>
      </w:r>
    </w:p>
    <w:p>
      <w:pPr>
        <w:spacing w:after="0" w:line="55"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Neural Networks are a type of machine learning that teach computers to process data in a way that is inspired by the human brain. Neural networks use interconnected nodes or neurons, much in the same way the human brain does.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use of generative AI tools may pose particular risks to our proprietary software and systems and subject us to legal liability.</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use generative AI tools in our business and expect to use generative AI tools in the future. Using generative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w:t>
      </w:r>
    </w:p>
    <w:p>
      <w:pPr>
        <w:spacing w:after="0" w:line="171"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We face and expect to continue to face allegations, and we may face claims regarding such allegations, from third parties of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may also present additional security risks because the generated source code may have been modeled from publicly 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w:t>
      </w: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challenges with the acquisition, development, enhancement or deployment of technology necessary for our businesses.</w:t>
      </w:r>
    </w:p>
    <w:p>
      <w:pPr>
        <w:spacing w:after="0" w:line="122" w:lineRule="exact"/>
        <w:rPr>
          <w:sz w:val="20"/>
          <w:szCs w:val="20"/>
          <w:color w:val="auto"/>
        </w:rPr>
      </w:pPr>
    </w:p>
    <w:p>
      <w:pPr>
        <w:jc w:val="both"/>
        <w:ind w:firstLine="451"/>
        <w:spacing w:after="0" w:line="288" w:lineRule="auto"/>
        <w:rPr>
          <w:sz w:val="20"/>
          <w:szCs w:val="20"/>
          <w:color w:val="auto"/>
        </w:rPr>
      </w:pPr>
      <w:r>
        <w:rPr>
          <w:rFonts w:ascii="Times New Roman" w:cs="Times New Roman" w:eastAsia="Times New Roman" w:hAnsi="Times New Roman"/>
          <w:sz w:val="17"/>
          <w:szCs w:val="17"/>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300"/>
          </w:cols>
          <w:pgMar w:left="320" w:top="446" w:right="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70" w:lineRule="exact"/>
        <w:rPr>
          <w:sz w:val="20"/>
          <w:szCs w:val="20"/>
          <w:color w:val="auto"/>
        </w:rPr>
      </w:pPr>
    </w:p>
    <w:p>
      <w:pPr>
        <w:ind w:left="460" w:right="8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cannot compete successfully with our competitors, we may be unable to increase or sustain our revenue or to achieve and then sustain profitability.</w:t>
      </w:r>
    </w:p>
    <w:p>
      <w:pPr>
        <w:spacing w:after="0" w:line="38"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AI-driven data platforms and diagnostic products.</w:t>
      </w:r>
    </w:p>
    <w:p>
      <w:pPr>
        <w:spacing w:after="0" w:line="16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competitors with respect to our Genomics products include certain diagnostics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neuropsychiatry include Myriad Genetics, Inc. and Genomind, Inc.</w:t>
      </w:r>
    </w:p>
    <w:p>
      <w:pPr>
        <w:spacing w:after="0" w:line="169"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Our competitors with respect to our Data and Services products include Flatiron Health, Inc., IQVIA Holdings Inc., and ConcertAI, among others. Furthermore, our Data and Services products also face competition from CROs, such as Fortrea, ICON, Syneos, PPD, and others, who provide data and clinical trial matching services to pharmaceutical and biotechnology companies.</w:t>
      </w:r>
    </w:p>
    <w:p>
      <w:pPr>
        <w:spacing w:after="0" w:line="16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Anumana, Inc., and Eko Devices, Inc. In addition, we are aware that academic medical centers may be developing their own AI Applications and may decide to enter this market.</w:t>
      </w:r>
    </w:p>
    <w:p>
      <w:pPr>
        <w:spacing w:after="0" w:line="171"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300"/>
          </w:cols>
          <w:pgMar w:left="320" w:top="446" w:right="2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sizes of the markets for our current and future products have not been established with precision, and may be smaller than we estimate.</w:t>
      </w:r>
    </w:p>
    <w:p>
      <w:pPr>
        <w:spacing w:after="0" w:line="122" w:lineRule="exact"/>
        <w:rPr>
          <w:sz w:val="20"/>
          <w:szCs w:val="20"/>
          <w:color w:val="auto"/>
        </w:rPr>
      </w:pPr>
    </w:p>
    <w:p>
      <w:pPr>
        <w:jc w:val="both"/>
        <w:ind w:right="20" w:firstLine="451"/>
        <w:spacing w:after="0" w:line="261" w:lineRule="auto"/>
        <w:rPr>
          <w:sz w:val="20"/>
          <w:szCs w:val="20"/>
          <w:color w:val="auto"/>
        </w:rPr>
      </w:pPr>
      <w:r>
        <w:rPr>
          <w:rFonts w:ascii="Times New Roman" w:cs="Times New Roman" w:eastAsia="Times New Roman" w:hAnsi="Times New Roman"/>
          <w:sz w:val="17"/>
          <w:szCs w:val="17"/>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78" w:lineRule="exact"/>
        <w:rPr>
          <w:sz w:val="20"/>
          <w:szCs w:val="20"/>
          <w:color w:val="auto"/>
        </w:rPr>
      </w:pPr>
    </w:p>
    <w:p>
      <w:pPr>
        <w:ind w:left="46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industries in which we operate are subject to rapid change, which could make our Platform, our current products and any future products we may develop obsolete.</w:t>
      </w:r>
    </w:p>
    <w:p>
      <w:pPr>
        <w:spacing w:after="0" w:line="38"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80" w:lineRule="exact"/>
        <w:rPr>
          <w:sz w:val="20"/>
          <w:szCs w:val="20"/>
          <w:color w:val="auto"/>
        </w:rPr>
      </w:pPr>
    </w:p>
    <w:p>
      <w:pPr>
        <w:ind w:left="460" w:right="1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57"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300"/>
          </w:cols>
          <w:pgMar w:left="320" w:top="446" w:right="2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products, or the generation of significant, or any, revenue or payments. In addition, as we continue to grow, including geographically, and as we develop a public company infrastructure, we may find it difficult to maintain our culture.</w:t>
      </w:r>
    </w:p>
    <w:p>
      <w:pPr>
        <w:spacing w:after="0" w:line="147"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70" w:lineRule="exact"/>
        <w:rPr>
          <w:sz w:val="20"/>
          <w:szCs w:val="20"/>
          <w:color w:val="auto"/>
        </w:rPr>
      </w:pPr>
    </w:p>
    <w:p>
      <w:pPr>
        <w:ind w:left="46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38"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and Services products to pharmaceutical and biotechnology companies through our business development team.</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Each of our target markets is large, distinct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6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63" w:lineRule="exact"/>
        <w:rPr>
          <w:sz w:val="20"/>
          <w:szCs w:val="20"/>
          <w:color w:val="auto"/>
        </w:rPr>
      </w:pPr>
    </w:p>
    <w:p>
      <w:pPr>
        <w:ind w:left="460" w:right="5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are not successful in executing our strategy to increase sales of our Data and Services products to large pharmaceutical and biotechnology customers, our results of operations may suffer.</w:t>
      </w:r>
    </w:p>
    <w:p>
      <w:pPr>
        <w:spacing w:after="0" w:line="3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An important part of our growth strategy is to increase sales of Data and Services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70" w:lineRule="exact"/>
        <w:rPr>
          <w:sz w:val="20"/>
          <w:szCs w:val="20"/>
          <w:color w:val="auto"/>
        </w:rPr>
      </w:pPr>
    </w:p>
    <w:p>
      <w:pPr>
        <w:ind w:left="1000" w:hanging="551"/>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leverage held by large customers in negotiating contractual arrangements with us;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key decision makers within these organizations that may negatively impact our ability to negotiate in the future;</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employees may perceive that our products pose a threat to their internal control and advocate for internally developed solutions over our product;</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resources may be spent on a potential customer that ultimately elects not to purchase our products;</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stringent requirements in our service contracts, including stricter service response times, and increased penalties for any failure to meet service requirements;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300"/>
          </w:cols>
          <w:pgMar w:left="320" w:top="446" w:right="2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hanging="551"/>
        <w:spacing w:after="0"/>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larger competitors that traditionally target large enterprises and government entities;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predictability in completing some of our sales than we do with smaller customers; and</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that advancements in AI allow our Data customers to develop models that serve as functional equivalents of our database and render our own products obsolete.</w:t>
      </w:r>
    </w:p>
    <w:p>
      <w:pPr>
        <w:spacing w:after="0" w:line="147"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Services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18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6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47" w:lineRule="exact"/>
        <w:rPr>
          <w:sz w:val="20"/>
          <w:szCs w:val="20"/>
          <w:color w:val="auto"/>
        </w:rPr>
      </w:pPr>
    </w:p>
    <w:p>
      <w:pPr>
        <w:ind w:left="460" w:right="3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our existing customers do not renew their licenses, do not buy additional products from us, or renew at lower prices, our business and operating results will suffer.</w:t>
      </w:r>
    </w:p>
    <w:p>
      <w:pPr>
        <w:spacing w:after="0" w:line="38"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For the year ended December 31, 2023, we derived $67.9 million, or approximately 40% and 13%, of our Data and Services product line revenue and total revenue, respectively, from three customers. We expect to continue to derive a significant portion of our Data and Services product line revenue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78" w:lineRule="exact"/>
        <w:rPr>
          <w:sz w:val="20"/>
          <w:szCs w:val="20"/>
          <w:color w:val="auto"/>
        </w:rPr>
      </w:pPr>
    </w:p>
    <w:p>
      <w:pPr>
        <w:ind w:left="1000" w:hanging="551"/>
        <w:spacing w:after="0"/>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performance, and functionality of our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price, performance, and functionality of competing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support services;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complementary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technologies;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stability, performance, and security of our technological infrastructure;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environment of our customers.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300"/>
          </w:cols>
          <w:pgMar w:left="320" w:top="446" w:right="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deliver our Insights product through license agreements that allow our customers to use de-identified datasets for a specified term or for specified uses. Our customers have no obligation to renew their licenses for our Data and Services products after the license ends, and many of our contracts may be terminated or reduced in scope either immediately or upon notice. In addition, our customers may negotiate terms less advantageous to us upon renewal, which may reduce our revenue from these customers. Factors that are not within our control may contribute to a reduction in our Data and Services product line revenue.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73"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 may decline and our future revenue may be constrained.</w:t>
      </w:r>
    </w:p>
    <w:p>
      <w:pPr>
        <w:spacing w:after="0" w:line="200" w:lineRule="exact"/>
        <w:rPr>
          <w:sz w:val="20"/>
          <w:szCs w:val="20"/>
          <w:color w:val="auto"/>
        </w:rPr>
      </w:pPr>
    </w:p>
    <w:p>
      <w:pPr>
        <w:spacing w:after="0" w:line="282" w:lineRule="exact"/>
        <w:rPr>
          <w:sz w:val="20"/>
          <w:szCs w:val="20"/>
          <w:color w:val="auto"/>
        </w:rPr>
      </w:pPr>
    </w:p>
    <w:p>
      <w:pPr>
        <w:ind w:left="460" w:right="6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Data and Services product line revenue are generated by sales to life sciences industry customers, and factors that adversely affect this industry could also adversely affect our Data business sales.</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00" w:lineRule="exact"/>
        <w:rPr>
          <w:sz w:val="20"/>
          <w:szCs w:val="20"/>
          <w:color w:val="auto"/>
        </w:rPr>
      </w:pPr>
    </w:p>
    <w:p>
      <w:pPr>
        <w:spacing w:after="0" w:line="287" w:lineRule="exact"/>
        <w:rPr>
          <w:sz w:val="20"/>
          <w:szCs w:val="20"/>
          <w:color w:val="auto"/>
        </w:rPr>
      </w:pPr>
    </w:p>
    <w:p>
      <w:pPr>
        <w:jc w:val="both"/>
        <w:ind w:left="460"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57"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300"/>
          </w:cols>
          <w:pgMar w:left="320" w:top="446" w:right="2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collect receivables from our customers, our operating results may be adversely affected.</w:t>
      </w:r>
    </w:p>
    <w:p>
      <w:pPr>
        <w:spacing w:after="0" w:line="122"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While the majority of our current customers are well-established large companies and hospital systems, we also provide our Data and Services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3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existing and any future debt may affect our flexibility in operating and developing our business and our ability to satisfy our obligations.</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As of March 31, 2024, we had indebtedness of $452.5 million, comprised of $186.7 million under the convertible promissory note, as amended, or the Amended Note, that we issued to Google LLC, or Google, and $265.8 million pursuant to a credit agreement with Ares Capital Corporation, or Ares, as amended, for a senior secured loan, or the Term Loan Facility. Our current and future indebtedness, including the Amended Note and the Term Loan Facility may have significant negative effects on our operations, including:</w:t>
      </w:r>
    </w:p>
    <w:p>
      <w:pPr>
        <w:spacing w:after="0" w:line="78" w:lineRule="exact"/>
        <w:rPr>
          <w:sz w:val="20"/>
          <w:szCs w:val="20"/>
          <w:color w:val="auto"/>
        </w:rPr>
      </w:pPr>
    </w:p>
    <w:p>
      <w:pPr>
        <w:jc w:val="both"/>
        <w:ind w:left="1000" w:right="20" w:hanging="551"/>
        <w:spacing w:after="0" w:line="276"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70"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70" w:lineRule="exact"/>
        <w:rPr>
          <w:rFonts w:ascii="Times New Roman" w:cs="Times New Roman" w:eastAsia="Times New Roman" w:hAnsi="Times New Roman"/>
          <w:sz w:val="17"/>
          <w:szCs w:val="17"/>
          <w:color w:val="auto"/>
        </w:rPr>
      </w:pPr>
    </w:p>
    <w:p>
      <w:pPr>
        <w:jc w:val="both"/>
        <w:ind w:left="1000" w:hanging="551"/>
        <w:spacing w:after="0" w:line="269"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w:t>
      </w:r>
    </w:p>
    <w:p>
      <w:pPr>
        <w:spacing w:after="0" w:line="77"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in certain circumstances, to obtain approval from Ares before embarking on certain mergers, acquisitions, capital expenditures, or other operational issues.</w:t>
      </w:r>
    </w:p>
    <w:p>
      <w:pPr>
        <w:spacing w:after="0" w:line="147"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300"/>
          </w:cols>
          <w:pgMar w:left="320" w:top="446" w:right="2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38"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35%, 33%, 37% and 41% of total vendor payments for the years ended December 31, 2022 and 2023 and the three months ended March 31, 2023 and 2024, respectively. Amounts due to this supplier were approximately $8.2 million, $11.8 million and $8.6 million at December 31, 2022 and 2023 and March 31, 2024,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8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78" w:lineRule="exact"/>
        <w:rPr>
          <w:sz w:val="20"/>
          <w:szCs w:val="20"/>
          <w:color w:val="auto"/>
        </w:rPr>
      </w:pPr>
    </w:p>
    <w:p>
      <w:pPr>
        <w:ind w:left="460"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conflicts (including the armed conflicts between Russia and Ukraine and the hostilities in the Middle East),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300"/>
          </w:cols>
          <w:pgMar w:left="320" w:top="446" w:right="2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right="6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38"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w:t>
      </w:r>
    </w:p>
    <w:p>
      <w:pPr>
        <w:spacing w:after="0" w:line="18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63" w:lineRule="exact"/>
        <w:rPr>
          <w:sz w:val="20"/>
          <w:szCs w:val="20"/>
          <w:color w:val="auto"/>
        </w:rPr>
      </w:pPr>
    </w:p>
    <w:p>
      <w:pPr>
        <w:ind w:left="460" w:right="5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38"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74" w:lineRule="exact"/>
        <w:rPr>
          <w:sz w:val="20"/>
          <w:szCs w:val="20"/>
          <w:color w:val="auto"/>
        </w:rPr>
      </w:pPr>
    </w:p>
    <w:p>
      <w:pPr>
        <w:ind w:left="460" w:right="6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cannot provide quality technical support and services for our Data and Services products, we could lose customers and our business and prospects will suffer.</w:t>
      </w:r>
    </w:p>
    <w:p>
      <w:pPr>
        <w:spacing w:after="0" w:line="38"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300"/>
          </w:cols>
          <w:pgMar w:left="320" w:top="446" w:right="2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Seasonality may cause fluctuations in our revenue and results of operations.</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w:t>
      </w:r>
    </w:p>
    <w:p>
      <w:pPr>
        <w:spacing w:after="0" w:line="278" w:lineRule="exact"/>
        <w:rPr>
          <w:sz w:val="20"/>
          <w:szCs w:val="20"/>
          <w:color w:val="auto"/>
        </w:rPr>
      </w:pPr>
    </w:p>
    <w:p>
      <w:pPr>
        <w:ind w:left="460"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3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70" w:lineRule="exact"/>
        <w:rPr>
          <w:sz w:val="20"/>
          <w:szCs w:val="20"/>
          <w:color w:val="auto"/>
        </w:rPr>
      </w:pPr>
    </w:p>
    <w:p>
      <w:pPr>
        <w:jc w:val="both"/>
        <w:ind w:left="1000" w:hanging="551"/>
        <w:spacing w:after="0" w:line="269" w:lineRule="auto"/>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privacy regulations, including regulations that limit our ability to collect and distribute and otherwise process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77"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our distributors, our local partners to obtain regulatory approvals for the use of our products in various countries;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potentially blocking or relevant third-party patent or other intellectual property rights;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and difficulties in obtaining intellectual property protection and maintaining and enforcing our intellectual property rights;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multiple payer reimbursement regimes, government payers, or patient self-pay systems;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logistics and regulations associated with shipping blood samples, including infrastructure conditions and transportation delays;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 populations that are underrepresented in our databases;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in our ability to penetrate international markets if we are not able to perform our tests locally;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300"/>
          </w:cols>
          <w:pgMar w:left="320" w:top="446" w:right="2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right="20" w:hanging="551"/>
        <w:spacing w:after="0" w:line="295" w:lineRule="auto"/>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political and economic instability, including wars (such as the armed conflicts between Russia and Ukraine and the hostilities in the Middle East), terrorism, and political unrest, boycotts, curtailment of trade and other business restrictions;</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or similar issues, such as epidemics or pandemics, including the current outbreak of COVID-19, that could cause business disruption; and</w:t>
      </w:r>
    </w:p>
    <w:p>
      <w:pPr>
        <w:spacing w:after="0" w:line="55"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94" w:lineRule="exact"/>
        <w:rPr>
          <w:sz w:val="20"/>
          <w:szCs w:val="20"/>
          <w:color w:val="auto"/>
        </w:rPr>
      </w:pPr>
    </w:p>
    <w:p>
      <w:pPr>
        <w:jc w:val="both"/>
        <w:ind w:right="20" w:firstLine="451"/>
        <w:spacing w:after="0" w:line="263" w:lineRule="auto"/>
        <w:rPr>
          <w:sz w:val="20"/>
          <w:szCs w:val="20"/>
          <w:color w:val="auto"/>
        </w:rPr>
      </w:pPr>
      <w:r>
        <w:rPr>
          <w:rFonts w:ascii="Times New Roman" w:cs="Times New Roman" w:eastAsia="Times New Roman" w:hAnsi="Times New Roman"/>
          <w:sz w:val="17"/>
          <w:szCs w:val="17"/>
          <w:color w:val="auto"/>
        </w:rPr>
        <w:t>In late February 2022, Russian military forces launched a significant military action against Ukraine. In October 2023, following a series of coordinated attacks in Israel conducted by the Palestinian Islamist militant group Hamas, Israel began air strikes and a subsequent ground war against Hamas. The Israel/Hamas conflict is threatening to spread, and may in the future spread, into other Middle Eastern countries. While our business and operations are currently not impacted, including in Israel where we sell certain molecular tests through a third party and perform certain testing services, it is not possible to predict consequences of these crises, or any other conflicts that may arise, which could include further sanctions, embargoes, regional instability, geopolitical shifts and adverse effects on macroeconomic conditions, security conditions, currency exchange rates and financial markets, any of which could have a material adverse impact on our future operations and results.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Highly Regulated Industry</w:t>
      </w:r>
    </w:p>
    <w:p>
      <w:pPr>
        <w:spacing w:after="0" w:line="116" w:lineRule="exact"/>
        <w:rPr>
          <w:sz w:val="20"/>
          <w:szCs w:val="20"/>
          <w:color w:val="auto"/>
        </w:rPr>
      </w:pPr>
    </w:p>
    <w:p>
      <w:pPr>
        <w:ind w:left="460"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57"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w:t>
      </w:r>
    </w:p>
    <w:p>
      <w:pPr>
        <w:spacing w:after="0" w:line="17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7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HIPAA, as amended by the Health Information Technology for Economic and Clinical Health Act of 2009, or HITECH, establishes a set of national privacy and security standards for the protection of PHI by health plans,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300"/>
          </w:cols>
          <w:pgMar w:left="320" w:top="446" w:right="2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73"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5" w:lineRule="exact"/>
        <w:rPr>
          <w:sz w:val="20"/>
          <w:szCs w:val="20"/>
          <w:color w:val="auto"/>
        </w:rPr>
      </w:pPr>
    </w:p>
    <w:p>
      <w:pPr>
        <w:jc w:val="both"/>
        <w:ind w:firstLine="451"/>
        <w:spacing w:after="0" w:line="258" w:lineRule="auto"/>
        <w:rPr>
          <w:sz w:val="20"/>
          <w:szCs w:val="20"/>
          <w:color w:val="auto"/>
        </w:rPr>
      </w:pPr>
      <w:r>
        <w:rPr>
          <w:rFonts w:ascii="Times New Roman" w:cs="Times New Roman" w:eastAsia="Times New Roman" w:hAnsi="Times New Roman"/>
          <w:sz w:val="17"/>
          <w:szCs w:val="17"/>
          <w:color w:val="auto"/>
        </w:rPr>
        <w:t>Data privacy remains an evolving landscape at both the domestic and international level, with new regulations coming into effect. For example, various states, such as California, Massachusetts, and others,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became effective in 2023. Additional states have since also passed comprehensive privacy laws with additional obligations and requirements on businesses.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300"/>
          </w:cols>
          <w:pgMar w:left="320" w:top="446" w:right="2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38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78"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laboratories reside.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300"/>
          </w:cols>
          <w:pgMar w:left="320" w:top="446" w:right="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comply with the requirements of GDPR may result in significant fines of up to €20,000,000 or up to 4% of the total worldwide annual turnover of the preceding financial year, whichever is higher, and other administrative penalties. European data protection authorities have already imposed fines for GDPR violations up to, in some cases, hundreds of millions of Euros.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173" w:lineRule="exact"/>
        <w:rPr>
          <w:sz w:val="20"/>
          <w:szCs w:val="20"/>
          <w:color w:val="auto"/>
        </w:rPr>
      </w:pPr>
    </w:p>
    <w:p>
      <w:pPr>
        <w:jc w:val="both"/>
        <w:ind w:firstLine="451"/>
        <w:spacing w:after="0" w:line="258" w:lineRule="auto"/>
        <w:rPr>
          <w:sz w:val="20"/>
          <w:szCs w:val="20"/>
          <w:color w:val="auto"/>
        </w:rPr>
      </w:pPr>
      <w:r>
        <w:rPr>
          <w:rFonts w:ascii="Times New Roman" w:cs="Times New Roman" w:eastAsia="Times New Roman" w:hAnsi="Times New Roman"/>
          <w:sz w:val="17"/>
          <w:szCs w:val="17"/>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or CJEU,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On July 11, 2023, the European Commission entered into force its adequacy decision for the EU-US Data Privacy Framework, or EU-US DPF, (a new framework for transferring personal information from the EEA to the United States), having determined that such framework ensures that the protection of personal information transferred from the EEA to the United States will be comparable to the protection offered in the EU. However, this decision will likely face legal challenges and ultimately may be invalidated by the CJEU just as the EU-US Privacy Shield was. On October 12, 2023, a UK-U.S. Data Bridge came into force to operate as an extension of the EU-US DPF to facilitate transfers of personal data between the United Kingdom and certified entities in the United States. Such Data Bridge could not only be challenged, but also may be affected by any challenges to the EU-US DPF. If we are unable to implement a valid compliance mechanism for cross-border personal data transfers, we may face increased exposure to regulatory actions, substantial fines and injunctions against processing or transferring personal data outside of the EEA and the United Kingdom, including to the United States.</w:t>
      </w:r>
    </w:p>
    <w:p>
      <w:pPr>
        <w:spacing w:after="0" w:line="189"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300"/>
          </w:cols>
          <w:pgMar w:left="320" w:top="446" w:right="2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from the EEA to the United Kingdom to continue.</w:t>
      </w:r>
    </w:p>
    <w:p>
      <w:pPr>
        <w:spacing w:after="0" w:line="18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71"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75" w:lineRule="exact"/>
        <w:rPr>
          <w:sz w:val="20"/>
          <w:szCs w:val="20"/>
          <w:color w:val="auto"/>
        </w:rPr>
      </w:pPr>
    </w:p>
    <w:p>
      <w:pPr>
        <w:ind w:left="460"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38"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55" w:lineRule="exact"/>
        <w:rPr>
          <w:sz w:val="20"/>
          <w:szCs w:val="20"/>
          <w:color w:val="auto"/>
        </w:rPr>
      </w:pPr>
    </w:p>
    <w:p>
      <w:pPr>
        <w:ind w:left="1000" w:right="20" w:hanging="551"/>
        <w:spacing w:after="0" w:line="295" w:lineRule="auto"/>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applicable to test ordering, documentation of tests ordered, billing practices and claims payment and/or regulatory agencies enforcing those laws and regulations;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health care fraud and abuse laws;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300"/>
          </w:cols>
          <w:pgMar w:left="320" w:top="446" w:right="2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hanging="551"/>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laboratory anti-mark-up laws;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coverage and reimbursement levels by Medicare, Medicaid, other governmental payers and private insurers;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coverage of and reimbursement for tests;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governing laboratory testing, including CLIA, and state licensing laws;</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and enforcement policies governing the development, use and distribution of diagnostic medical devices, including laboratory developed tests, or LDTs;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and enforcement policies governing the use of AI in analyzing data, including data in healthcare related areas;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state and local laws governing the handling and disposal of medical and hazardous waste;</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Occupational Safety and Health Administration rules and regulations;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Insurance Portability and Accountability Act of 1996, or HIPAA, and similar state data privacy and security laws;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protection laws.</w:t>
      </w:r>
    </w:p>
    <w:p>
      <w:pPr>
        <w:spacing w:after="0" w:line="22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74"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Changes in the current regulatory framework for algorithmic diagnostic products and services can impose additional regulatory burdens on us.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72" w:lineRule="exact"/>
        <w:rPr>
          <w:sz w:val="20"/>
          <w:szCs w:val="20"/>
          <w:color w:val="auto"/>
        </w:rPr>
      </w:pPr>
    </w:p>
    <w:p>
      <w:pPr>
        <w:ind w:left="46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3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FDA has historically operated under a policy of enforcement discretion with respect to LDTs whereby the FDA did not actively enforce its regulatory requirements for such tests. On May 6, 2024, the FDA published final regulations taking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If we fail to phase-in our compliance with these regulations we may be required to stop selling our existing tests or launching any other tests we may develop and to conduct additional clinical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300"/>
          </w:cols>
          <w:pgMar w:left="320" w:top="446" w:right="2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trials or take other actions prior to continuing to market our tests. This could significantly increase the costs and expenses of conducting, or otherwise harm, our business, financial condition and results of operations. Even if such tests are authorized for marketing by the FDA, the agency could limit the test’s indications for use, which may significantly limit the market for that product and may adversely affect our business and financial condition.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 results of the LDTs to our customers and this may require costly modifications, additional development or the reduction in functionality in our offerings which could, in turn, make them less attractive to our customers.</w:t>
      </w:r>
    </w:p>
    <w:p>
      <w:pPr>
        <w:spacing w:after="0" w:line="274" w:lineRule="exact"/>
        <w:rPr>
          <w:sz w:val="20"/>
          <w:szCs w:val="20"/>
          <w:color w:val="auto"/>
        </w:rPr>
      </w:pPr>
    </w:p>
    <w:p>
      <w:pPr>
        <w:ind w:left="46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3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w:t>
      </w:r>
    </w:p>
    <w:p>
      <w:pPr>
        <w:spacing w:after="0" w:line="16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FDA can delay, limit or deny clearance or approval of a device for many reasons, including:</w:t>
      </w:r>
    </w:p>
    <w:p>
      <w:pPr>
        <w:spacing w:after="0" w:line="131" w:lineRule="exact"/>
        <w:rPr>
          <w:sz w:val="20"/>
          <w:szCs w:val="20"/>
          <w:color w:val="auto"/>
        </w:rPr>
      </w:pPr>
    </w:p>
    <w:p>
      <w:pPr>
        <w:ind w:left="1000" w:hanging="551"/>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demonstrate to the satisfaction of the FDA that our products are safe or effective for their intended uses;</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disagreement of the FDA with the design, conduct or implementation of our clinical trials or the analysis or interpretation of data from our pre-clinical studies or clinical trials;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and unexpected adverse effects experienced by participants in our clinical trials;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from our pre-clinical studies and clinical trials may be insufficient to support clearance or approval, where required;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demonstrate that the clinical and other benefits of any of our tests outweigh the risks;</w:t>
      </w:r>
    </w:p>
    <w:p>
      <w:pPr>
        <w:spacing w:after="0" w:line="131" w:lineRule="exact"/>
        <w:rPr>
          <w:rFonts w:ascii="Times New Roman" w:cs="Times New Roman" w:eastAsia="Times New Roman" w:hAnsi="Times New Roman"/>
          <w:sz w:val="17"/>
          <w:szCs w:val="17"/>
          <w:color w:val="auto"/>
        </w:rPr>
      </w:pPr>
    </w:p>
    <w:p>
      <w:pPr>
        <w:jc w:val="both"/>
        <w:ind w:left="1000" w:hanging="551"/>
        <w:spacing w:after="0" w:line="269"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77"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identify deficiencies in our marketing application, and in our manufacturing processes, facilities or analytical methods or those of our third-party contract manufacturers;</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approval policies or regulations of the FDA to change significantly in a manner rendering our clinical data or regulatory filings insufficient for the clearance or approval; and</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audit our clinical trial data and conclude that the data is not sufficiently reliable to support a PMA application.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300"/>
          </w:cols>
          <w:pgMar w:left="320" w:top="446" w:right="2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foreign jurisdictions, we may be required to procure similar regulatory approvals or clearances prior to marketing our diagnostic products. For example, in the Europe Union, we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69"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Any delay or failure to obtain necessary regulatory approvals or clearances would have a material adverse effect on our business, financial condition and results of operations.</w:t>
      </w:r>
    </w:p>
    <w:p>
      <w:pPr>
        <w:spacing w:after="0" w:line="247" w:lineRule="exact"/>
        <w:rPr>
          <w:sz w:val="20"/>
          <w:szCs w:val="20"/>
          <w:color w:val="auto"/>
        </w:rPr>
      </w:pPr>
    </w:p>
    <w:p>
      <w:pPr>
        <w:ind w:left="460" w:right="5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3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74" w:lineRule="exact"/>
        <w:rPr>
          <w:sz w:val="20"/>
          <w:szCs w:val="20"/>
          <w:color w:val="auto"/>
        </w:rPr>
      </w:pPr>
    </w:p>
    <w:p>
      <w:pPr>
        <w:ind w:left="46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FDA and international regulatory bodies have the authority to require the recall of commercialized products that are subject to FDA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74"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Arterys, Inc., a company we acquired in 2022, has developed several medical devices that are regulated by the FDA and its European equivalents. Arterys also distributes devices developed by third parties. If we identify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300"/>
          </w:cols>
          <w:pgMar w:left="320" w:top="446" w:right="2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an issue with, or propose changes to, one of these devices that impacts patient safety or causes us to undertake a field action or implement a recall, our business operations and reputation could be harmed in a meaningful way.</w:t>
      </w:r>
    </w:p>
    <w:p>
      <w:pPr>
        <w:spacing w:after="0" w:line="247" w:lineRule="exact"/>
        <w:rPr>
          <w:sz w:val="20"/>
          <w:szCs w:val="20"/>
          <w:color w:val="auto"/>
        </w:rPr>
      </w:pPr>
    </w:p>
    <w:p>
      <w:pPr>
        <w:jc w:val="both"/>
        <w:ind w:left="460" w:right="1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57"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38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of our products, we will continue to be subject to extensive regulatory oversight.</w:t>
      </w:r>
    </w:p>
    <w:p>
      <w:pPr>
        <w:spacing w:after="0" w:line="12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300"/>
          </w:cols>
          <w:pgMar w:left="320" w:top="446" w:right="2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FDA and the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55" w:lineRule="exact"/>
        <w:rPr>
          <w:sz w:val="20"/>
          <w:szCs w:val="20"/>
          <w:color w:val="auto"/>
        </w:rPr>
      </w:pPr>
    </w:p>
    <w:p>
      <w:pPr>
        <w:ind w:left="1000" w:hanging="551"/>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warning letters, untitled letters, fines, injunctions, consent decrees and civil penalties;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repair, replacement, refunds, recalls, termination of distribution, administrative detention or seizures of our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partial suspension or total shutdown of production;</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or repair, replacement or refunds;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our requests for clearances or approvals of new products, new intended uses or modifications to existing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withdrawals of current clearances or approvals, resulting in prohibitions on sales of our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issue certificates needed to export products for sale in other countries;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47"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6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7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1300"/>
          </w:cols>
          <w:pgMar w:left="320" w:top="446" w:right="2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promulgated that could prevent, limit or delay regulatory clearance or approval of our diagnostic tests.</w:t>
      </w:r>
    </w:p>
    <w:p>
      <w:pPr>
        <w:spacing w:after="0" w:line="14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also cannot predict the likelihood, nature or extent of government regulation that may arise from future legislation or administrative or executive action, either in the United States or abroad.</w:t>
      </w:r>
    </w:p>
    <w:p>
      <w:pPr>
        <w:spacing w:after="0" w:line="247" w:lineRule="exact"/>
        <w:rPr>
          <w:sz w:val="20"/>
          <w:szCs w:val="20"/>
          <w:color w:val="auto"/>
        </w:rPr>
      </w:pPr>
    </w:p>
    <w:p>
      <w:pPr>
        <w:ind w:left="460" w:right="1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never obtain approval in foreign jurisdictions for any of our products and, even if we do, we may never be able to commercialize them in any other jurisdiction, which would limit our ability to realize their full market potential.</w:t>
      </w:r>
    </w:p>
    <w:p>
      <w:pPr>
        <w:spacing w:after="0" w:line="38"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72" w:lineRule="exact"/>
        <w:rPr>
          <w:sz w:val="20"/>
          <w:szCs w:val="20"/>
          <w:color w:val="auto"/>
        </w:rPr>
      </w:pPr>
    </w:p>
    <w:p>
      <w:pPr>
        <w:ind w:left="460" w:right="1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57"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387"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7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We may also be subject to regulations in foreign jurisdictions as we seek to expand international utilization of our tests or as such jurisdictions adopt new licensure requirements, which may require review of our tests in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300"/>
          </w:cols>
          <w:pgMar w:left="320" w:top="446" w:right="2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6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7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73"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Atlanta and Raleigh, North Carolina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00" w:lineRule="exact"/>
        <w:rPr>
          <w:sz w:val="20"/>
          <w:szCs w:val="20"/>
          <w:color w:val="auto"/>
        </w:rPr>
      </w:pPr>
    </w:p>
    <w:p>
      <w:pPr>
        <w:spacing w:after="0" w:line="285" w:lineRule="exact"/>
        <w:rPr>
          <w:sz w:val="20"/>
          <w:szCs w:val="20"/>
          <w:color w:val="auto"/>
        </w:rPr>
      </w:pPr>
    </w:p>
    <w:p>
      <w:pPr>
        <w:ind w:left="460"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57"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Our operations are subject to other extensive federal, state, local and foreign laws and regulations, all of which are subject to change. These laws and regulations may include, among others:</w:t>
      </w:r>
    </w:p>
    <w:p>
      <w:pPr>
        <w:spacing w:after="0" w:line="55" w:lineRule="exact"/>
        <w:rPr>
          <w:sz w:val="20"/>
          <w:szCs w:val="20"/>
          <w:color w:val="auto"/>
        </w:rPr>
      </w:pPr>
    </w:p>
    <w:p>
      <w:pPr>
        <w:jc w:val="both"/>
        <w:ind w:left="1000" w:hanging="551"/>
        <w:spacing w:after="0" w:line="261"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1300"/>
          </w:cols>
          <w:pgMar w:left="320" w:top="446" w:right="2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1020"/>
        <w:spacing w:after="0" w:line="264" w:lineRule="auto"/>
        <w:rPr>
          <w:sz w:val="20"/>
          <w:szCs w:val="20"/>
          <w:color w:val="auto"/>
        </w:rPr>
      </w:pPr>
      <w:r>
        <w:rPr>
          <w:rFonts w:ascii="Times New Roman" w:cs="Times New Roman" w:eastAsia="Times New Roman" w:hAnsi="Times New Roman"/>
          <w:sz w:val="17"/>
          <w:szCs w:val="17"/>
          <w:color w:val="auto"/>
        </w:rPr>
        <w:t xml:space="preserve">conduct </w:t>
      </w:r>
      <w:r>
        <w:rPr>
          <w:rFonts w:ascii="Times New Roman" w:cs="Times New Roman" w:eastAsia="Times New Roman" w:hAnsi="Times New Roman"/>
          <w:sz w:val="17"/>
          <w:szCs w:val="17"/>
          <w:i w:val="1"/>
          <w:iCs w:val="1"/>
          <w:color w:val="auto"/>
        </w:rPr>
        <w:t>per se</w:t>
      </w:r>
      <w:r>
        <w:rPr>
          <w:rFonts w:ascii="Times New Roman" w:cs="Times New Roman" w:eastAsia="Times New Roman" w:hAnsi="Times New Roman"/>
          <w:sz w:val="17"/>
          <w:szCs w:val="17"/>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84" w:lineRule="exact"/>
        <w:rPr>
          <w:sz w:val="20"/>
          <w:szCs w:val="20"/>
          <w:color w:val="auto"/>
        </w:rPr>
      </w:pPr>
    </w:p>
    <w:p>
      <w:pPr>
        <w:jc w:val="both"/>
        <w:ind w:left="1000" w:hanging="551"/>
        <w:spacing w:after="0" w:line="260"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88" w:lineRule="exact"/>
        <w:rPr>
          <w:rFonts w:ascii="Times New Roman" w:cs="Times New Roman" w:eastAsia="Times New Roman" w:hAnsi="Times New Roman"/>
          <w:sz w:val="17"/>
          <w:szCs w:val="17"/>
          <w:color w:val="auto"/>
        </w:rPr>
      </w:pPr>
    </w:p>
    <w:p>
      <w:pPr>
        <w:jc w:val="both"/>
        <w:ind w:left="1000" w:hanging="551"/>
        <w:spacing w:after="0" w:line="264"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82" w:lineRule="exact"/>
        <w:rPr>
          <w:rFonts w:ascii="Times New Roman" w:cs="Times New Roman" w:eastAsia="Times New Roman" w:hAnsi="Times New Roman"/>
          <w:sz w:val="17"/>
          <w:szCs w:val="17"/>
          <w:color w:val="auto"/>
        </w:rPr>
      </w:pPr>
    </w:p>
    <w:p>
      <w:pPr>
        <w:jc w:val="both"/>
        <w:ind w:left="1000" w:hanging="551"/>
        <w:spacing w:after="0" w:line="269"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77"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70" w:lineRule="exact"/>
        <w:rPr>
          <w:rFonts w:ascii="Times New Roman" w:cs="Times New Roman" w:eastAsia="Times New Roman" w:hAnsi="Times New Roman"/>
          <w:sz w:val="17"/>
          <w:szCs w:val="17"/>
          <w:color w:val="auto"/>
        </w:rPr>
      </w:pPr>
    </w:p>
    <w:p>
      <w:pPr>
        <w:jc w:val="both"/>
        <w:ind w:left="1000" w:hanging="551"/>
        <w:spacing w:after="0" w:line="264"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1300"/>
          </w:cols>
          <w:pgMar w:left="320" w:top="446" w:right="2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20" w:right="20"/>
        <w:spacing w:after="0" w:line="295" w:lineRule="auto"/>
        <w:rPr>
          <w:sz w:val="20"/>
          <w:szCs w:val="20"/>
          <w:color w:val="auto"/>
        </w:rPr>
      </w:pPr>
      <w:r>
        <w:rPr>
          <w:rFonts w:ascii="Times New Roman" w:cs="Times New Roman" w:eastAsia="Times New Roman" w:hAnsi="Times New Roman"/>
          <w:sz w:val="17"/>
          <w:szCs w:val="17"/>
          <w:color w:val="auto"/>
        </w:rPr>
        <w:t>monetary penalties for any payments, transfers of value or ownership or investment interests that are not timely, accurately, and completely reported in an annual submission, and may result in liability under other federal laws or regulations;</w:t>
      </w:r>
    </w:p>
    <w:p>
      <w:pPr>
        <w:spacing w:after="0" w:line="55" w:lineRule="exact"/>
        <w:rPr>
          <w:sz w:val="20"/>
          <w:szCs w:val="20"/>
          <w:color w:val="auto"/>
        </w:rPr>
      </w:pPr>
    </w:p>
    <w:p>
      <w:pPr>
        <w:jc w:val="both"/>
        <w:ind w:left="1000" w:hanging="551"/>
        <w:spacing w:after="0" w:line="260"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299" w:lineRule="exact"/>
        <w:rPr>
          <w:rFonts w:ascii="Times New Roman" w:cs="Times New Roman" w:eastAsia="Times New Roman" w:hAnsi="Times New Roman"/>
          <w:sz w:val="17"/>
          <w:szCs w:val="17"/>
          <w:color w:val="auto"/>
        </w:rPr>
      </w:pPr>
    </w:p>
    <w:p>
      <w:pPr>
        <w:jc w:val="both"/>
        <w:ind w:left="1000" w:hanging="551"/>
        <w:spacing w:after="0" w:line="264"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82" w:lineRule="exact"/>
        <w:rPr>
          <w:rFonts w:ascii="Times New Roman" w:cs="Times New Roman" w:eastAsia="Times New Roman" w:hAnsi="Times New Roman"/>
          <w:sz w:val="17"/>
          <w:szCs w:val="17"/>
          <w:color w:val="auto"/>
        </w:rPr>
      </w:pPr>
    </w:p>
    <w:p>
      <w:pPr>
        <w:jc w:val="both"/>
        <w:ind w:left="1000" w:hanging="551"/>
        <w:spacing w:after="0" w:line="269"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77" w:lineRule="exact"/>
        <w:rPr>
          <w:rFonts w:ascii="Times New Roman" w:cs="Times New Roman" w:eastAsia="Times New Roman" w:hAnsi="Times New Roman"/>
          <w:sz w:val="17"/>
          <w:szCs w:val="17"/>
          <w:color w:val="auto"/>
        </w:rPr>
      </w:pPr>
    </w:p>
    <w:p>
      <w:pPr>
        <w:jc w:val="both"/>
        <w:ind w:left="1000" w:hanging="551"/>
        <w:spacing w:after="0" w:line="269"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77"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federal and state fraud and abuse laws, such as state anti-kickback, self-referrals, false claims and anti-markup laws, any of which may extend to services reimbursable by any payer, including private insurers;</w:t>
      </w:r>
    </w:p>
    <w:p>
      <w:pPr>
        <w:spacing w:after="0" w:line="55"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70"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foreign laws and regulations in the countries in which we operate or may operate in the future.</w:t>
      </w:r>
    </w:p>
    <w:p>
      <w:pPr>
        <w:spacing w:after="0" w:line="223"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As a clinical laboratory, our business practices may face additional scrutiny from various government agencies such as the Department of Justice, the U.S. Department of Health and Human Services Office 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300"/>
          </w:cols>
          <w:pgMar w:left="320" w:top="446" w:right="2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71"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78"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394"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any additional inquiry since that time. Similarly, on March 4, 2024, we received a Civil Investigative Demand, or CID, from the U.S.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1300"/>
          </w:cols>
          <w:pgMar w:left="320" w:top="446" w:right="2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expect to continue producing responsive documents on a rolling basis over the next several months. While the Company believes its programs and payments comply with the Anti-Kickback statute, no assurance can be given as to the timing or outcome of the government’s investigation, or that it will not result in a material adverse effect on the Company’s business.</w:t>
      </w:r>
    </w:p>
    <w:p>
      <w:pPr>
        <w:spacing w:after="0" w:line="171"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17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w:t>
      </w:r>
    </w:p>
    <w:p>
      <w:pPr>
        <w:spacing w:after="0" w:line="274" w:lineRule="exact"/>
        <w:rPr>
          <w:sz w:val="20"/>
          <w:szCs w:val="20"/>
          <w:color w:val="auto"/>
        </w:rPr>
      </w:pPr>
    </w:p>
    <w:p>
      <w:pPr>
        <w:ind w:left="460"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38"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We seek to ensure that all data and biological samples that we receive have been collected from patients, subjects or participants who have provided the necessary informed consent for purposes that extend to our development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300"/>
          </w:cols>
          <w:pgMar w:left="320" w:top="446" w:right="2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right="5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fines, penalties, licensure requirements, or legal liability, if it is determined that through our test reports we are practicing medicine without a license.</w:t>
      </w:r>
    </w:p>
    <w:p>
      <w:pPr>
        <w:spacing w:after="0" w:line="38"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75" w:lineRule="exact"/>
        <w:rPr>
          <w:sz w:val="20"/>
          <w:szCs w:val="20"/>
          <w:color w:val="auto"/>
        </w:rPr>
      </w:pPr>
    </w:p>
    <w:p>
      <w:pPr>
        <w:ind w:left="460" w:right="3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38"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70" w:lineRule="exact"/>
        <w:rPr>
          <w:sz w:val="20"/>
          <w:szCs w:val="20"/>
          <w:color w:val="auto"/>
        </w:rPr>
      </w:pPr>
    </w:p>
    <w:p>
      <w:pPr>
        <w:ind w:left="1000" w:right="20" w:hanging="551"/>
        <w:spacing w:after="0" w:line="295" w:lineRule="auto"/>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between the list prices for our test, the reimbursement rates of payers, the amounts we charge healthcare institutions directly, and the cost to patients who pay for our tests out-of-pocket;</w:t>
      </w:r>
    </w:p>
    <w:p>
      <w:pPr>
        <w:spacing w:after="0" w:line="55"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complex federal and state regulations related to billing government healthcare programs, including Medicare and Medicaid, to the extent our tests are covered by such programs;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coverage among payers and the effect of patient co-payments or co-insurance;</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information, pre-authorization and other billing requirements among payers;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codes and coding instructions governing our tests;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incorrect or missing billing information;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resources required to manage the billing and claim appeals process.</w:t>
      </w:r>
    </w:p>
    <w:p>
      <w:pPr>
        <w:spacing w:after="0" w:line="22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6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historically,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With the introduction of new codes that are potentially applicable to comprehensive genomic profiling tests like the ones we offer, we are in the process of updating our approach again. Despite our diligence in developing a comprehensive billing strategy that accurately describes the tests we provide, payers, such as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1300"/>
          </w:cols>
          <w:pgMar w:left="320" w:top="446" w:right="2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6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7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2023, approximately 50% of the liquid biopsy tests we provide are ordered in proximity to a solid tissue-based test, and over 85%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275" w:lineRule="exact"/>
        <w:rPr>
          <w:sz w:val="20"/>
          <w:szCs w:val="20"/>
          <w:color w:val="auto"/>
        </w:rPr>
      </w:pPr>
    </w:p>
    <w:p>
      <w:pPr>
        <w:ind w:left="460" w:right="2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healthcare laws, regulations and policies could increase our costs, decrease our sales and revenue and negatively impact reimbursement for our tests.</w:t>
      </w:r>
    </w:p>
    <w:p>
      <w:pPr>
        <w:spacing w:after="0" w:line="3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71"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1300"/>
          </w:cols>
          <w:pgMar w:left="320" w:top="446" w:right="2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16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6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face risks related to handling of hazardous materials and other regulations governing environmental safety.</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could be adversely affected by violations of the FCPA and other anti-bribery laws.</w:t>
      </w:r>
    </w:p>
    <w:p>
      <w:pPr>
        <w:spacing w:after="0" w:line="12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16" w:lineRule="exact"/>
        <w:rPr>
          <w:sz w:val="20"/>
          <w:szCs w:val="20"/>
          <w:color w:val="auto"/>
        </w:rPr>
      </w:pPr>
    </w:p>
    <w:p>
      <w:pPr>
        <w:ind w:left="460" w:right="40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57"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We rely on patent protection as well as trademark, copyright, trade secret and other intellectual property rights protection and contractual restrictions to protect our Platform, products and other proprietary technologies,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300"/>
          </w:cols>
          <w:pgMar w:left="320" w:top="446" w:right="2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6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73"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181"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1300"/>
          </w:cols>
          <w:pgMar w:left="320" w:top="446" w:right="2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6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71"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78" w:lineRule="exact"/>
        <w:rPr>
          <w:sz w:val="20"/>
          <w:szCs w:val="20"/>
          <w:color w:val="auto"/>
        </w:rPr>
      </w:pPr>
    </w:p>
    <w:p>
      <w:pPr>
        <w:ind w:left="460" w:right="4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3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6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1300"/>
          </w:cols>
          <w:pgMar w:left="320" w:top="446" w:right="2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387"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Issued patents covering our Platform or products could be found invalid or unenforceable if challenged.</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71"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1300"/>
          </w:cols>
          <w:pgMar w:left="320" w:top="446" w:right="2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384"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8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16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intellectual property landscape in the next generation sequencing, generative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While we are not a party to these suits, many of our competitors are or have been, including Guardant Health, Inc., Haystack Oncology, Inc., Invitae Corp., Illumina, Inc., Natera, Inc., NeoGenomics Laboratories, Inc., Personalis, Inc., TwinStrand Biosciences, Inc., and others, and, as a result, we have monitored and continue to monitor their developments and their potential impact on the Company. Given the uncertainty of outcomes of patent litigation disputes, we have not determined whether our products and services could be subject to potential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claims of patent infringement and that we may need to either modify our existing or future sequencing methods or license intellectual property from third parties, both of which could be time consuming and expensive.</w:t>
      </w:r>
    </w:p>
    <w:p>
      <w:pPr>
        <w:spacing w:after="0" w:line="178"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receive notifications from third parties purportedly asserting certain intellectual property rights with respect to the Company’s products and services. For example, on September 21, 2023, SEngine Precision Medicine LLC (including its predecessor corporation SEngine Precision Medicine, Inc.), or SEngine, a company we acquired on October 3, 2023, received a letter from an attorney representing HUB Organoids IP B.V., or HUB Organoids, which states that SEngine’s PARIS® test methodologies “appear to share similarities with methods that the HUB has used in its own organoid work.” Similarly, on January 30, 2024, we received a letter from an attorney representing Molecular Loop Biosciences, Inc., which states that “[a]fter reviewing specific products made, used or sold by Tempus, Molecular Loop believes that Tempus requires a license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300"/>
          </w:cols>
          <w:pgMar w:left="320" w:top="446" w:right="2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several of the patents in Molecular Loop’s patent portfolio.” While the letter received on behalf of HUB Organoids contains no specific allegations that SEngine infringes certain patents controlled by HUB Organoids referenced in the letter, and while the letter received on behalf of Molecular Loop contains only generalized allegations that Tempus may infringe certain patents controlled by Molecular Loop referenced in the letter, if any claims against us were made by these parties, including any claim that any portion of our products and services infringes any of the referenced patents, we would defend against such claims, however, there can be no assurances that any such defense would be successful. Moreover, if we are subject to claims of patent infringement, we may need to modify existing methods governing use of our products and services, or license third party intellectual property, at some point in the future, which may be time consuming and expensive or may not be technically feasible.</w:t>
      </w:r>
    </w:p>
    <w:p>
      <w:pPr>
        <w:spacing w:after="0" w:line="274" w:lineRule="exact"/>
        <w:rPr>
          <w:sz w:val="20"/>
          <w:szCs w:val="20"/>
          <w:color w:val="auto"/>
        </w:rPr>
      </w:pPr>
    </w:p>
    <w:p>
      <w:pPr>
        <w:ind w:left="460"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38"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are, and we may acquire companies that are, party to various license agreements that grant us rights to use certain intellectual property, including de-identified patient data, AI software, and certain patents and patent applications, typically in certain specified fields of use. Such license agreements impose, and future agreements may impose, various obligations, such as diligence, development, payment, royalty, sublicensing and other obligations on us in order to maintain the licenses.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75"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3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Moreover, disputes could arise with respect to any aspect of our license agreements, including:</w:t>
      </w:r>
    </w:p>
    <w:p>
      <w:pPr>
        <w:spacing w:after="0" w:line="131" w:lineRule="exact"/>
        <w:rPr>
          <w:sz w:val="20"/>
          <w:szCs w:val="20"/>
          <w:color w:val="auto"/>
        </w:rPr>
      </w:pPr>
    </w:p>
    <w:p>
      <w:pPr>
        <w:ind w:left="1000" w:hanging="551"/>
        <w:spacing w:after="0"/>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or other obligations under the license agreement;</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Platform, products, and processes infringe, misappropriate, or otherwise violate the intellectual property of the licensor that is not subject to the licensing agreement;</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licensing of patent and other rights controlled by our licensors or developed under our collaborative development relationships to others;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sublicensing of patent and other rights;</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inventorship and ownership of inventions and know-how licensed to us or resulting from the joint creation or use of intellectual property by our licensors, us and/or our partners; and</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validity, enforceability or priority of licensed patent rights.</w:t>
      </w:r>
    </w:p>
    <w:p>
      <w:pPr>
        <w:spacing w:after="0" w:line="223"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1300"/>
          </w:cols>
          <w:pgMar w:left="320" w:top="446" w:right="2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7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73"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78" w:lineRule="exact"/>
        <w:rPr>
          <w:sz w:val="20"/>
          <w:szCs w:val="20"/>
          <w:color w:val="auto"/>
        </w:rPr>
      </w:pPr>
    </w:p>
    <w:p>
      <w:pPr>
        <w:ind w:left="460"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1300"/>
          </w:cols>
          <w:pgMar w:left="320" w:top="446" w:right="2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or enforce our intellectual property rights adequately throughout the world.</w:t>
      </w:r>
    </w:p>
    <w:p>
      <w:pPr>
        <w:spacing w:after="0" w:line="12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8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78"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1300"/>
          </w:cols>
          <w:pgMar w:left="320" w:top="446" w:right="2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right="5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174"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69"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00" w:lineRule="exact"/>
        <w:rPr>
          <w:sz w:val="20"/>
          <w:szCs w:val="20"/>
          <w:color w:val="auto"/>
        </w:rPr>
      </w:pPr>
    </w:p>
    <w:p>
      <w:pPr>
        <w:spacing w:after="0" w:line="282" w:lineRule="exact"/>
        <w:rPr>
          <w:sz w:val="20"/>
          <w:szCs w:val="20"/>
          <w:color w:val="auto"/>
        </w:rPr>
      </w:pPr>
    </w:p>
    <w:p>
      <w:pPr>
        <w:ind w:left="460" w:right="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1300"/>
          </w:cols>
          <w:pgMar w:left="320" w:top="446" w:right="2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38"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38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74" w:lineRule="exact"/>
        <w:rPr>
          <w:sz w:val="20"/>
          <w:szCs w:val="20"/>
          <w:color w:val="auto"/>
        </w:rPr>
      </w:pPr>
    </w:p>
    <w:p>
      <w:pPr>
        <w:ind w:left="460"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w:t>
      </w:r>
    </w:p>
    <w:p>
      <w:pPr>
        <w:spacing w:after="0" w:line="174"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1300"/>
          </w:cols>
          <w:pgMar w:left="320" w:top="446" w:right="2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72" w:lineRule="exact"/>
        <w:rPr>
          <w:sz w:val="20"/>
          <w:szCs w:val="20"/>
          <w:color w:val="auto"/>
        </w:rPr>
      </w:pPr>
    </w:p>
    <w:p>
      <w:pPr>
        <w:ind w:left="460" w:right="1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57"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face and expect to continue to face allegations of patent infringement, and we may face claims regarding such allegations,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85"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75"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1300"/>
          </w:cols>
          <w:pgMar w:left="320" w:top="446" w:right="2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4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174" w:lineRule="exact"/>
        <w:rPr>
          <w:sz w:val="20"/>
          <w:szCs w:val="20"/>
          <w:color w:val="auto"/>
        </w:rPr>
      </w:pPr>
    </w:p>
    <w:p>
      <w:pPr>
        <w:jc w:val="both"/>
        <w:ind w:right="20" w:firstLine="451"/>
        <w:spacing w:after="0" w:line="262" w:lineRule="auto"/>
        <w:rPr>
          <w:sz w:val="20"/>
          <w:szCs w:val="20"/>
          <w:color w:val="auto"/>
        </w:rPr>
      </w:pPr>
      <w:r>
        <w:rPr>
          <w:rFonts w:ascii="Times New Roman" w:cs="Times New Roman" w:eastAsia="Times New Roman" w:hAnsi="Times New Roman"/>
          <w:sz w:val="17"/>
          <w:szCs w:val="17"/>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38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39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1300"/>
          </w:cols>
          <w:pgMar w:left="320" w:top="446" w:right="2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7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72" w:lineRule="exact"/>
        <w:rPr>
          <w:sz w:val="20"/>
          <w:szCs w:val="20"/>
          <w:color w:val="auto"/>
        </w:rPr>
      </w:pPr>
    </w:p>
    <w:p>
      <w:pPr>
        <w:ind w:left="460"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5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Patent terms may be inadequate to protect our competitive position for an adequate amount of time.</w:t>
      </w:r>
    </w:p>
    <w:p>
      <w:pPr>
        <w:spacing w:after="0" w:line="122"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1300"/>
          </w:cols>
          <w:pgMar w:left="320" w:top="446" w:right="2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w:t>
      </w:r>
    </w:p>
    <w:p>
      <w:pPr>
        <w:spacing w:after="0" w:line="12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5" w:lineRule="exact"/>
        <w:rPr>
          <w:sz w:val="20"/>
          <w:szCs w:val="20"/>
          <w:color w:val="auto"/>
        </w:rPr>
      </w:pPr>
    </w:p>
    <w:p>
      <w:pPr>
        <w:ind w:left="1000" w:right="20" w:hanging="551"/>
        <w:spacing w:after="0" w:line="295" w:lineRule="auto"/>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that are similar to ours, but that are not covered by the claims of the patents that we license or may own in the future;</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license partners or future collaborators, might not have been the first to make the inventions covered by the issued patent or pending patent applications that we license or may own in the future;</w:t>
      </w:r>
    </w:p>
    <w:p>
      <w:pPr>
        <w:spacing w:after="0" w:line="55" w:lineRule="exact"/>
        <w:rPr>
          <w:rFonts w:ascii="Times New Roman" w:cs="Times New Roman" w:eastAsia="Times New Roman" w:hAnsi="Times New Roman"/>
          <w:sz w:val="17"/>
          <w:szCs w:val="17"/>
          <w:color w:val="auto"/>
        </w:rPr>
      </w:pPr>
    </w:p>
    <w:p>
      <w:pPr>
        <w:ind w:left="1000" w:hanging="551"/>
        <w:spacing w:after="0" w:line="267" w:lineRule="auto"/>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license partners or future collaborators, might not have been the first to file patent applications covering certain of our or their inventions;</w:t>
      </w:r>
    </w:p>
    <w:p>
      <w:pPr>
        <w:spacing w:after="0" w:line="318"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owned or licensed intellectual property rights;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licensed patent applications or those that we may own in the future will not lead to issued patents;</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hold rights to now or in the future may be held invalid or unenforceable, including as a result of legal challenges by our competitors;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have access to the same intellectual property rights licensed to us in the future on a nonexclusive basis;</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or other intellectual property rights of others may have an adverse effect on our business; or</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for certain trade secrets or know-how, and a third party may subsequently file a patent covering such intellectual property.</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business, financial condition and results of operations.</w:t>
      </w:r>
    </w:p>
    <w:p>
      <w:pPr>
        <w:spacing w:after="0" w:line="114" w:lineRule="exact"/>
        <w:rPr>
          <w:sz w:val="20"/>
          <w:szCs w:val="20"/>
          <w:color w:val="auto"/>
        </w:rPr>
      </w:pPr>
    </w:p>
    <w:p>
      <w:pPr>
        <w:ind w:left="460" w:right="5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38"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1300"/>
          </w:cols>
          <w:pgMar w:left="320" w:top="446" w:right="2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7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387"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addition, to the extent we use open source technologies or licensed third-party technologies in our AI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 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w:t>
      </w:r>
    </w:p>
    <w:p>
      <w:pPr>
        <w:spacing w:after="0" w:line="274" w:lineRule="exact"/>
        <w:rPr>
          <w:sz w:val="20"/>
          <w:szCs w:val="20"/>
          <w:color w:val="auto"/>
        </w:rPr>
      </w:pPr>
    </w:p>
    <w:p>
      <w:pPr>
        <w:ind w:left="460" w:right="5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legislative, judicial and regulatory landscapes relating to AI are evolving and may impact our ability to use AI, and could limit our ability to operate and expand our business, cause revenue to decline and adversely affect our business.</w:t>
      </w:r>
    </w:p>
    <w:p>
      <w:pPr>
        <w:spacing w:after="0" w:line="38"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on May 17, 2024, Colorado became the first state in the United States to pass a law that requires developers of high-risk AI systems to avoid algorithmic discrimination involving certain AI decisions and to extensively document how the high-risk AI system was evaluated for performance and mitigation of algorithmic discrimination. The law also requires documentation of data governance measures used with the training data sets, the intended outputs of the high-risk AI system, how the AI system should and should not be used, and other aspects of the system. The law could require us to significantly alter our use of AI or how we train our algorithms, which could lead to increased costs. The law does not go into effect until February 1, 2026. Further, on March 13, 2024, the European Parliament formally adopted a draft of the AI Act, which is currently expected to be enacted in mid-2024, pending formal endorsement by the Council of the European Union and publication in the Official Journal of the European Union. The current draft of the AI Act, if enacted, would establish, among other things, a risk-based governance framework for regulating AI systems operating in the EU. This framework would categorize AI systems, based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1300"/>
          </w:cols>
          <w:pgMar w:left="320" w:top="446" w:right="2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the risks associated with such AI systems’ intended purposes, for example, prohibiting certain “unacceptable” AI practices, classifying certain AI systems as “high-risk” systems that must meet stringent compliance requirements, introducing specific compliance obligations for certain “general-purpose AI systems” (more commonly known as foundation models) with all other AI systems being considered either limited or low risk. While the AI Act has not yet been enacted or enforced, there is a risk that our use of AI may obligate us to comply with the applicable requirements of the AI Act, which may impose additional costs on us, increase our risk of liability or adversely affect our business.</w:t>
      </w:r>
    </w:p>
    <w:p>
      <w:pPr>
        <w:spacing w:after="0" w:line="17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Other jurisdictions may decide to adopt similar or more restrictive legislation that may render the use of such technologies challenging. We may not be able to adequately anticipate or respond to these evolving laws and regulations, and we may need to expend additional resources to adjust our offerings in certain jurisdictions if applicable legal frameworks are inconsistent across jurisdictions.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affected by the effects of health pandemics or epidemics, including the COVID-19 global pandemic.</w:t>
      </w:r>
    </w:p>
    <w:p>
      <w:pPr>
        <w:spacing w:after="0" w:line="122"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Our business could be adversely affected by the effects of health pandemics or epidemics, including the COVID-19 global pandemic. For example, the COVID-19 global pandemic and the various attempts throughout the world to contain it created significant volatility, uncertainty and disruption.</w:t>
      </w:r>
    </w:p>
    <w:p>
      <w:pPr>
        <w:spacing w:after="0" w:line="147"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causes severe disruption again in the future, vendors of equipment and reagents for our operations could also reduce production or even go out of business, resulting in supply constraints for us. The COVID-19 pandemic resulted in, and could continue to cause, increased costs or delays to production and development of our products.</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COVID-19 pandemic has also led to uncertainties related to our growth, forecast and trends. Our historic results such as revenue, operating margins, cash flows, tests performed, and other financial and operating metrics, may not be indicative of our results for future periods. For example, following a reduced demand for COVID-19 testing, we stopped offering COVID-19 PCR diagnostic tests in the first quarter of 2023. Increases in the number of diagnostic tests performed by us prior to the COVID-19 pandemic may reflect an acceleration of growth that we may not see during or after the COVID-19 pandemic.</w:t>
      </w:r>
    </w:p>
    <w:p>
      <w:pPr>
        <w:spacing w:after="0" w:line="1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While these effects have subsided and continue to subside, the full extent to which the COVID-19 pandemic may continue to impact our performance, financial condition, volume of business, results of operations and cash flows will depend on future developments that are uncertain and cannot be accurately predicted. We cannot assure you that these effects will remain reduced in the future, including due to potential new public health outbreaks. To the extent future public health outbreaks adversely affect our business and financial results, they may also have the effect of heightening many of the other risks described in this “Risk Factors” section.</w:t>
      </w:r>
    </w:p>
    <w:p>
      <w:pPr>
        <w:spacing w:after="0" w:line="272" w:lineRule="exact"/>
        <w:rPr>
          <w:sz w:val="20"/>
          <w:szCs w:val="20"/>
          <w:color w:val="auto"/>
        </w:rPr>
      </w:pPr>
    </w:p>
    <w:p>
      <w:pPr>
        <w:ind w:left="460"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57"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have made acquisitions of businesses, technologies and assets and may pursue additional acquisitions in the future, one or more of which may be substantial. We also may pursue strategic alliances and additional joint ventures that leverage our Platform and industry experience to expand our product offerings or distribution. We have limited experience with acquisitions, joint ventures and forming strategic partnerships. We compete for those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1300"/>
          </w:cols>
          <w:pgMar w:left="320" w:top="446" w:right="2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80"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We evaluate opportunities for transactions of these types from time to time. For example, on May 18, 2024, we entered into the Joint Venture Agreement related to the Joint Venture in Japan. See “Prospectus Summary—Recent Developments—Japan Joint Venture and Related Agreements” for additional information regarding the Joint Venture. We have limited experience forming joint ventures and we may not realize the anticipated benefits of the Joint Venture. We may also realize losses related to our investment in the Joint Venture, which could have a material negative effect on our business, financial condition and results of operations.</w:t>
      </w:r>
    </w:p>
    <w:p>
      <w:pPr>
        <w:spacing w:after="0" w:line="381"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To finance any acquisitions, joint ventures or investments, we may choose to issue shares of our common stock as consideration, which would dilute the ownership of our stockholders. As further described in the section entitled “Underwriting,” during the 180-day period following the date of this prospectus, we are permitted to issue up to 15.0% of the total number of shares of our common stock outstanding immediately following this offering in connection with acquisitions, joint ventures, commercial agreements or other similar arrangements.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122"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current law, U.S. federal net operating losses, or NOLs, incurred in taxable years beginning after December 31, 2017, can be carried forward indefinitely to offset future taxable income, but the deductibility of such U.S. federal NOL carryforwards in a taxable year is limited to 80% of taxable income in such year.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These changes may adversely affect our future cash flow.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1300"/>
          </w:cols>
          <w:pgMar w:left="320" w:top="446" w:right="2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3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72" w:lineRule="exact"/>
        <w:rPr>
          <w:sz w:val="20"/>
          <w:szCs w:val="20"/>
          <w:color w:val="auto"/>
        </w:rPr>
      </w:pPr>
    </w:p>
    <w:p>
      <w:pPr>
        <w:jc w:val="both"/>
        <w:ind w:left="460" w:right="1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57"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275" w:lineRule="exact"/>
        <w:rPr>
          <w:sz w:val="20"/>
          <w:szCs w:val="20"/>
          <w:color w:val="auto"/>
        </w:rPr>
      </w:pPr>
    </w:p>
    <w:p>
      <w:pPr>
        <w:jc w:val="both"/>
        <w:ind w:left="460" w:right="4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5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spacing w:after="0" w:line="387"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In addition, we depend on the services of our Chief Operating Officer, Ryan Fukushima. Mr. Fukushima is a co-Founder of Pathos AI, Inc. and currently serves as its interim Chief Executive Officer. Under the terms of his employment agreement with Tempus, Mr. Fukushima devotes no less than 50% of his professional activities to Tempus.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1300"/>
          </w:cols>
          <w:pgMar w:left="320" w:top="446" w:right="2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While our executive officers have entered into employment agreements with us, they are at-will employees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7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 Our employees also are subject to certain post-employment noncompete obligations; however, on April 23, 2024, the FTC voted to finalize a rule banning almost all post-employment noncompetes, subject to narrow exceptions, including existing non-compete agreements with “senior executives” (as defined under the rule). If the FTC ban becomes effective, as expected, and is implemented and these noncompete obligations are therefore deemed to be unenforceable, our competitors may be more successful in recruiting our employees.</w:t>
      </w:r>
    </w:p>
    <w:p>
      <w:pPr>
        <w:spacing w:after="0" w:line="174"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158" w:lineRule="exact"/>
        <w:rPr>
          <w:sz w:val="20"/>
          <w:szCs w:val="20"/>
          <w:color w:val="auto"/>
        </w:rPr>
      </w:pPr>
    </w:p>
    <w:p>
      <w:pPr>
        <w:ind w:left="460"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3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71" w:lineRule="exact"/>
        <w:rPr>
          <w:sz w:val="20"/>
          <w:szCs w:val="20"/>
          <w:color w:val="auto"/>
        </w:rPr>
      </w:pPr>
    </w:p>
    <w:p>
      <w:pPr>
        <w:jc w:val="both"/>
        <w:ind w:right="20" w:firstLine="451"/>
        <w:spacing w:after="0" w:line="273" w:lineRule="auto"/>
        <w:rPr>
          <w:sz w:val="20"/>
          <w:szCs w:val="20"/>
          <w:color w:val="auto"/>
        </w:rPr>
      </w:pPr>
      <w:r>
        <w:rPr>
          <w:rFonts w:ascii="Times New Roman" w:cs="Times New Roman" w:eastAsia="Times New Roman" w:hAnsi="Times New Roman"/>
          <w:sz w:val="17"/>
          <w:szCs w:val="17"/>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378"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1300"/>
          </w:cols>
          <w:pgMar w:left="320" w:top="446" w:right="2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6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disclosure controls and procedures may not prevent or detect all errors or acts of fraud.</w:t>
      </w:r>
    </w:p>
    <w:p>
      <w:pPr>
        <w:spacing w:after="0" w:line="122"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6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63" w:lineRule="exact"/>
        <w:rPr>
          <w:sz w:val="20"/>
          <w:szCs w:val="20"/>
          <w:color w:val="auto"/>
        </w:rPr>
      </w:pPr>
    </w:p>
    <w:p>
      <w:pPr>
        <w:ind w:left="460" w:right="6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38"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1300"/>
          </w:cols>
          <w:pgMar w:left="320" w:top="446" w:right="2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Legal claims and proceedings could adversely impact our business.</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74" w:lineRule="exact"/>
        <w:rPr>
          <w:sz w:val="20"/>
          <w:szCs w:val="20"/>
          <w:color w:val="auto"/>
        </w:rPr>
      </w:pPr>
    </w:p>
    <w:p>
      <w:pPr>
        <w:ind w:left="460" w:right="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we were to be sued for product liability or professional liability, we could face substantial liabilities that exceed our resources.</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71"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1300"/>
          </w:cols>
          <w:pgMar w:left="320" w:top="446" w:right="2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could damage our reputation or cause current clinical customers to terminate existing agreements with us and potential clinical customers to seek other partners, any of which could adversely impact our results of operations.</w:t>
      </w:r>
    </w:p>
    <w:p>
      <w:pPr>
        <w:spacing w:after="0" w:line="247" w:lineRule="exact"/>
        <w:rPr>
          <w:sz w:val="20"/>
          <w:szCs w:val="20"/>
          <w:color w:val="auto"/>
        </w:rPr>
      </w:pPr>
    </w:p>
    <w:p>
      <w:pPr>
        <w:ind w:left="46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3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74"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39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78"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1300"/>
          </w:cols>
          <w:pgMar w:left="320" w:top="446" w:right="2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71"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00" w:lineRule="exact"/>
        <w:rPr>
          <w:sz w:val="20"/>
          <w:szCs w:val="20"/>
          <w:color w:val="auto"/>
        </w:rPr>
      </w:pPr>
    </w:p>
    <w:p>
      <w:pPr>
        <w:spacing w:after="0" w:line="288" w:lineRule="exact"/>
        <w:rPr>
          <w:sz w:val="20"/>
          <w:szCs w:val="20"/>
          <w:color w:val="auto"/>
        </w:rPr>
      </w:pPr>
    </w:p>
    <w:p>
      <w:pPr>
        <w:ind w:left="460" w:right="3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57" w:lineRule="exact"/>
        <w:rPr>
          <w:sz w:val="20"/>
          <w:szCs w:val="20"/>
          <w:color w:val="auto"/>
        </w:rPr>
      </w:pPr>
    </w:p>
    <w:p>
      <w:pPr>
        <w:jc w:val="both"/>
        <w:ind w:firstLine="451"/>
        <w:spacing w:after="0" w:line="258" w:lineRule="auto"/>
        <w:rPr>
          <w:sz w:val="20"/>
          <w:szCs w:val="20"/>
          <w:color w:val="auto"/>
        </w:rPr>
      </w:pPr>
      <w:r>
        <w:rPr>
          <w:rFonts w:ascii="Times New Roman" w:cs="Times New Roman" w:eastAsia="Times New Roman" w:hAnsi="Times New Roman"/>
          <w:sz w:val="17"/>
          <w:szCs w:val="17"/>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1300"/>
          </w:cols>
          <w:pgMar w:left="320" w:top="446" w:right="2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384"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78"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75"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300"/>
          </w:cols>
          <w:pgMar w:left="320" w:top="446" w:right="2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71"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116" w:lineRule="exact"/>
        <w:rPr>
          <w:sz w:val="20"/>
          <w:szCs w:val="20"/>
          <w:color w:val="auto"/>
        </w:rPr>
      </w:pPr>
    </w:p>
    <w:p>
      <w:pPr>
        <w:ind w:left="460" w:right="4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38"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 common stock, will beneficially own shares representing approximately 65.3%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other sale of our company or our assets or significant acquisitions,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78" w:lineRule="exact"/>
        <w:rPr>
          <w:sz w:val="20"/>
          <w:szCs w:val="20"/>
          <w:color w:val="auto"/>
        </w:rPr>
      </w:pPr>
    </w:p>
    <w:p>
      <w:pPr>
        <w:ind w:left="460" w:right="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not elected to take advantage of the “controlled company” exemption to the corporate governance rules for publicly listed companies but may do so in the future.</w:t>
      </w:r>
    </w:p>
    <w:p>
      <w:pPr>
        <w:spacing w:after="0" w:line="3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1300"/>
          </w:cols>
          <w:pgMar w:left="320" w:top="446" w:right="2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cannot predict the impact our dual class structure may have on the market price of our Class A common stock.</w:t>
      </w:r>
    </w:p>
    <w:p>
      <w:pPr>
        <w:spacing w:after="0" w:line="12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75" w:lineRule="exact"/>
        <w:rPr>
          <w:sz w:val="20"/>
          <w:szCs w:val="20"/>
          <w:color w:val="auto"/>
        </w:rPr>
      </w:pPr>
    </w:p>
    <w:p>
      <w:pPr>
        <w:ind w:left="460"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No public market for our Class A common stock currently exists, and an active public trading market may not develop or be sustained following this offering.</w:t>
      </w:r>
    </w:p>
    <w:p>
      <w:pPr>
        <w:spacing w:after="0" w:line="3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72" w:lineRule="exact"/>
        <w:rPr>
          <w:sz w:val="20"/>
          <w:szCs w:val="20"/>
          <w:color w:val="auto"/>
        </w:rPr>
      </w:pPr>
    </w:p>
    <w:p>
      <w:pPr>
        <w:ind w:left="460" w:right="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anticipate incurring substantial federal and state tax withholding and remittance obligations in connection with the settlement of RSUs that vest in connection with this offering. The manner in which we fund these tax liabilities may have an adverse effect on our financial condition.</w:t>
      </w:r>
    </w:p>
    <w:p>
      <w:pPr>
        <w:spacing w:after="0" w:line="38"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We anticipate that we will incur substantial federal and state tax obligations in light of the large number of RSUs that will vest in connection with this offering, a portion of which will settle at the time of this offering and the remainder of which will settle during the 180-day period following the date of this prospectus (or, subject to certain conditions described in the section titled “Underwriting”, a shorter period), or the restricted period, as further described in the section titled “Prospectus Summary—RSU Settlement.” The RSUs granted prior to the date of this prospectus vest upon the satisfaction of service-based and performance-based vesting conditions. We anticipate that we will use approximately $74.5 million of the net proceeds from this offering, assuming an initial public offering price of $36.00 per share, the midpoint of the estimated price range set forth on the cover page of this prospectus, to satisfy federal and state tax withholding and remittance obligations in connection with the net settlement of a portion of the RSUs outstanding as of March 31, 2024 for which the service-based vesting condition will be satisfied before June 14, 2024 and for which the performance-based vesting condition will be satisfied in connection with this offering. In connection with the settlement of these RSUs, we plan to withhold certain shares underlying RSUs and remit federal and state taxes on behalf of the holders of such RSUs at applicable statutory tax withholding rates based on the initial public offering price per share in this offering. See “Use of Proceeds.” For vested RSUs that will not be settled in connection with this offering, we will satisfy related federal and state tax withholding and remittance obligations by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See “Shares Eligible for Future Sale.”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Class A common stock in such transactions and our stockholders’ personal tax rates. However, with respect to employees that are not executive officers, if sell-to-cover proceeds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1300"/>
          </w:cols>
          <w:pgMar w:left="320" w:top="446" w:right="2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are not available at the time taxes must be remitted to state and federal tax authorities, we would need to remit taxes to the relevant tax authorities using cash on hand, which may include cash proceeds generated from this offering, pending the receipt of such sell-to-cover proceeds. If we are required to remit tax obligations on behalf of our employees without having first received proceeds from their sell-to-cover transactions, we could have significant cash outlays that could have an adverse effect on our financial condition. In addition, shares sold by our Chief Executive Officer and other employees in sell-to-cover transactions may have an adverse effect on the market price of our Class A common stock.</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will have broad discretion in the use of the net proceeds from this offering and may not use them effectively.</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will have broad discretion in the application of the net proceeds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or to pay down existing or future debt obligations.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our Class A common stock in the public market could cause the market price of our Class A common stock to decline.</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7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and market standoff agreements described below.</w:t>
      </w:r>
    </w:p>
    <w:p>
      <w:pPr>
        <w:spacing w:after="0" w:line="16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all of our directors, executive officers, and the holders of substantially all of our common stock and securities exercisable for or convertible into our common stock outstanding immediately prior to the closing of this offering (except for the RSUs previously issued to our employees other than our executive officers, including the RSUs that will settle in connection with the RSU Net Settlement or the Additional RSU Settlement, and the warrants issued to Allen and AstraZeneca), have agreed with the underwriters that, during the restricted period,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In addition, the restricted period may be shortened with respect to a portion of the locked-up securities under certain circumstances and the lock-up agreements are subject to a number of important exceptions. These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1300"/>
          </w:cols>
          <w:pgMar w:left="320" w:top="446" w:right="2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agreements and such exceptions are described in the section titled “Underwriting.” Morgan Stanley &amp; Co. LLC and J.P. Morgan Securities LLC may release any of the securities subject to these lock-up agreements at any time, subject to applicable notice requirements. In addition to the restrictions contained in the lock-up agreements, we have entered into market standoff agreements with substantially all of our RSU holders, including holders of the RSUs that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 If not earlier released, all of the shares of Class A common stock not sold in this offering will become eligible for sale upon the expiration of the restricted period, except for any shares held by our affiliates as defined in Rule 144.</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pursuant to certain exceptions in the lock-up agreements and because of our ability to release RSU holders early under the market standoff agreements, certain shares of our Class A common stock will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 Number</w:t>
            </w:r>
          </w:p>
        </w:tc>
      </w:tr>
      <w:tr>
        <w:trPr>
          <w:trHeight w:val="209"/>
        </w:trPr>
        <w:tc>
          <w:tcPr>
            <w:tcW w:w="1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Shares of Class A</w:t>
            </w:r>
          </w:p>
        </w:tc>
      </w:tr>
      <w:tr>
        <w:trPr>
          <w:trHeight w:val="209"/>
        </w:trPr>
        <w:tc>
          <w:tcPr>
            <w:tcW w:w="1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to be</w:t>
            </w:r>
          </w:p>
        </w:tc>
      </w:tr>
      <w:tr>
        <w:trPr>
          <w:trHeight w:val="209"/>
        </w:trPr>
        <w:tc>
          <w:tcPr>
            <w:tcW w:w="1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Sold in Sell-to-Cover</w:t>
            </w:r>
          </w:p>
        </w:tc>
      </w:tr>
      <w:tr>
        <w:trPr>
          <w:trHeight w:val="249"/>
        </w:trPr>
        <w:tc>
          <w:tcPr>
            <w:tcW w:w="1660" w:type="dxa"/>
            <w:vAlign w:val="bottom"/>
          </w:tcPr>
          <w:p>
            <w:pPr>
              <w:spacing w:after="0"/>
              <w:rPr>
                <w:sz w:val="21"/>
                <w:szCs w:val="21"/>
                <w:color w:val="auto"/>
              </w:rPr>
            </w:pP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Date First Available for Sale into the Market</w:t>
            </w:r>
          </w:p>
        </w:tc>
        <w:tc>
          <w:tcPr>
            <w:tcW w:w="176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Expected to Settle</w:t>
            </w:r>
          </w:p>
        </w:tc>
        <w:tc>
          <w:tcPr>
            <w:tcW w:w="2460" w:type="dxa"/>
            <w:vAlign w:val="bottom"/>
          </w:tcPr>
          <w:p>
            <w:pPr>
              <w:jc w:val="center"/>
              <w:spacing w:after="0" w:line="230" w:lineRule="exact"/>
              <w:rPr>
                <w:sz w:val="20"/>
                <w:szCs w:val="20"/>
                <w:color w:val="auto"/>
              </w:rPr>
            </w:pPr>
            <w:r>
              <w:rPr>
                <w:rFonts w:ascii="Times New Roman" w:cs="Times New Roman" w:eastAsia="Times New Roman" w:hAnsi="Times New Roman"/>
                <w:sz w:val="17"/>
                <w:szCs w:val="17"/>
                <w:b w:val="1"/>
                <w:bCs w:val="1"/>
                <w:color w:val="auto"/>
                <w:w w:val="95"/>
              </w:rPr>
              <w:t>Transactions</w:t>
            </w:r>
            <w:r>
              <w:rPr>
                <w:rFonts w:ascii="Times New Roman" w:cs="Times New Roman" w:eastAsia="Times New Roman" w:hAnsi="Times New Roman"/>
                <w:sz w:val="26"/>
                <w:szCs w:val="26"/>
                <w:b w:val="1"/>
                <w:bCs w:val="1"/>
                <w:color w:val="auto"/>
                <w:w w:val="95"/>
                <w:vertAlign w:val="superscript"/>
              </w:rPr>
              <w:t>(1)</w:t>
            </w:r>
          </w:p>
        </w:tc>
      </w:tr>
      <w:tr>
        <w:trPr>
          <w:trHeight w:val="164"/>
        </w:trPr>
        <w:tc>
          <w:tcPr>
            <w:tcW w:w="6760" w:type="dxa"/>
            <w:vAlign w:val="bottom"/>
            <w:gridSpan w:val="3"/>
          </w:tcPr>
          <w:p>
            <w:pPr>
              <w:spacing w:after="0" w:line="164" w:lineRule="exact"/>
              <w:rPr>
                <w:sz w:val="20"/>
                <w:szCs w:val="20"/>
                <w:color w:val="auto"/>
              </w:rPr>
            </w:pPr>
            <w:r>
              <w:rPr>
                <w:rFonts w:ascii="Times New Roman" w:cs="Times New Roman" w:eastAsia="Times New Roman" w:hAnsi="Times New Roman"/>
                <w:sz w:val="17"/>
                <w:szCs w:val="17"/>
                <w:color w:val="auto"/>
              </w:rPr>
              <w:t>91 days after the date of this prospectus (or the next trading day if such date is not a trading</w:t>
            </w:r>
          </w:p>
        </w:tc>
        <w:tc>
          <w:tcPr>
            <w:tcW w:w="1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Borders>
              <w:top w:val="single" w:sz="8" w:color="auto"/>
            </w:tcBorders>
          </w:tcPr>
          <w:p>
            <w:pPr>
              <w:spacing w:after="0"/>
              <w:rPr>
                <w:sz w:val="14"/>
                <w:szCs w:val="14"/>
                <w:color w:val="auto"/>
              </w:rPr>
            </w:pPr>
          </w:p>
        </w:tc>
      </w:tr>
      <w:tr>
        <w:trPr>
          <w:trHeight w:val="209"/>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day)</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5,362,261</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2,413,017</w:t>
            </w:r>
          </w:p>
        </w:tc>
      </w:tr>
      <w:tr>
        <w:trPr>
          <w:trHeight w:val="209"/>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120 days after the date of this prospectus (or the next trading day if such date is not a trading</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day)</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5,362,262</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886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8" w:lineRule="exact"/>
        <w:rPr>
          <w:sz w:val="20"/>
          <w:szCs w:val="20"/>
          <w:color w:val="auto"/>
        </w:rPr>
      </w:pPr>
    </w:p>
    <w:p>
      <w:pPr>
        <w:ind w:left="440" w:right="20" w:hanging="435"/>
        <w:spacing w:after="0" w:line="211" w:lineRule="auto"/>
        <w:tabs>
          <w:tab w:leader="none" w:pos="4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a 45% tax rate. Includes an estimated approximately 868,758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7"/>
          <w:szCs w:val="17"/>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day following the date of this prospectus in respect of settlement of RSUs held by our Chief Executive Officer.</w:t>
      </w:r>
    </w:p>
    <w:p>
      <w:pPr>
        <w:spacing w:after="0" w:line="193"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w:t>
      </w:r>
    </w:p>
    <w:p>
      <w:pPr>
        <w:spacing w:after="0" w:line="16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addition, there were 210,000 shares of Class A common stock issuable upon the exercise of a stock option outstanding as of March 31, 2024. We intend to register all of the shares of Class A common stock issuable upon the exercise of the outstanding option, settlement of outstanding RSUs and other equity incentives we may grant in the future for public resale under the Securities Act.</w:t>
      </w:r>
    </w:p>
    <w:p>
      <w:pPr>
        <w:spacing w:after="0" w:line="16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AstraZeneca holds an outstanding warrant, pursuant to which AstraZeneca has the right to purchase $100 million in shares of our Class A common stock at an exercise price equal to the public offering price in this offering. The shares of Class A common stock will become eligible for sale in the public market to the extent such warrant is exercised, subject to the market standoff provision included in such agreement and described in the section titled “Underwriting” and compliance with applicable securities laws. In addition, pursuant to the Warrant Net Exercise, Allen, an underwriter in this offering, will receive 108,333 shares of Class A common stock following this offering (assuming an initial public offering price of $36.00 per share, the midpoint of the estimated price range set forth on the cover page of this prospectus). The shares of Class A common stock issued pursuant to the Warrant Net Exercise will become eligible for sale in the public market, subject to the market standoff provision contained in the Allen warrant agreement and described in the section titled “Underwriting” and compliance with applicable securities laws.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1300"/>
          </w:cols>
          <w:pgMar w:left="320" w:top="446" w:right="2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Further, based on shares outstanding as of March 31, 2024, holders of approximately 130,530,216 shares of Class A common stock (after giving effect to the issuance of Series G-5 preferred stock in April 2024 and assuming the issuance of the Additional Class A Conversion Shares, as discussed under “Prospectus Summary” above, and assuming no exercise of the underwriters’ option to purchase additional shares) and 5,043,789 shares of Class B common stock, or 84.7%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71"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47" w:lineRule="exact"/>
        <w:rPr>
          <w:sz w:val="20"/>
          <w:szCs w:val="20"/>
          <w:color w:val="auto"/>
        </w:rPr>
      </w:pPr>
    </w:p>
    <w:p>
      <w:pPr>
        <w:ind w:left="460" w:right="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lock-up agreements relating to this offering are subject to a number of important exceptions and the restricted period pursuant to such lock-up agreements or the market standoff agreements with our RSU holders may be shortened. In addition, a significant number of shares may be sold in sell-to-cover transactions and we may issue a significant number of shares as consideration in certain transactions, including during the restricted period. As a result, a large number of shares of Class A common stock may become available for resale in the immediate future, including within 180 days after the date of this prospectus, which could materially depress the market price of our Class A common stock.</w:t>
      </w:r>
    </w:p>
    <w:p>
      <w:pPr>
        <w:spacing w:after="0" w:line="67"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Although we, all of our directors, executive officers, and the holders of substantially all of our common stock and securities exercisable for or convertible into our common stock outstanding immediately prior to the closing of this offering (except for the RSUs previously issued to our employees other than our executive officers, and the warrants issued to Allen and AstraZeneca) have agreed with the underwriters that, until 180 days after the date of this prospectus, we and they will not offer, sell, make any short sale or otherwise dispose of any of our shares of common stock, any options or warrants to purchase any of our shares of common stock or any securities convertible into or exchangeable for or that represent the right to receive shares of our common stock, such lock-up agreements are subject to a number of important exceptions described in the section titled “Underwriting.” For example, at any time during such period, we may agree to issue or issue up to 15.0% of the total number of shares of our common stock outstanding immediately following the issuance of our Class A common stock in this offering, or 24,765,639 shares, in connection with an acquisition, merger, joint venture, strategic alliance, commercial or other collaborative relationship or certain other transactions. In addition, under the market standoff agreements that we have entered into with substantially all of our RSU holders, we have the right to release early some or all shares of our Class A common stock issuable pursuant to such RSUs, subject to the consent of Morgan Stanley &amp; Co. LLC and J.P. Morgan Securities LLC. See the section titled “Underwriting” for more detail.</w:t>
      </w:r>
    </w:p>
    <w:p>
      <w:pPr>
        <w:spacing w:after="0" w:line="18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Furthermore, in connection with the Additional RSU Settlement, our Chief Executive Officer will be required to sell in the open market in sell-to-cover transactions approximately 868,758 shares of our Class A common stock on or about 91 days after the date of this prospectus and approximately 868,758 shares of our Class A common stock on or about 120 days after the date of this prospectus, and certain of our employees other than our other executive officers will be required to sell in the open market in sell-to-cover transactions approximately 1,544,259 shares of our Class A common stock on or about 91 days after the date of this prospectus and approximately 1,544,260 shares of our Class A common stock on or about 120 days after the date of this prospectus, in each case assuming an initial public offering price of $36.00 per share, the midpoint of the estimated price range set forth on the cover page of this prospectus, and an assumed 45% tax withholding rate. See “Prospectus Summary—RSU Settlement” for more detail.</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the event that the end of the restricted period falls during one of our quarterly blackout periods during which trading by certain of our employees in our securities would not be permitted under our insider trading policy then in effect, the restricted period will automatically be shortened to expire on the date that is the later of ten trading days prior to the date that such blackout period begins and the 150th day after the date of this prospectus. In addition, if the closing price of our Class A common stock on The Nasdaq Stock Market LLC is at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1300"/>
          </w:cols>
          <w:pgMar w:left="320" w:top="446" w:right="2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least 30% greater than the initial public offering price per share set forth on the cover page of this prospectus for (i) any 10 trading days during the period ending on, and including, the date that we publicly announce our earnings for the first completed quarterly period following March 31, 2024, or the Initial Earnings Release, and (ii) any one trading day following the Initial Earnings Release, then the restricted period will automatically expire on the later of (a) the date on which the conditions set forth in both (i) and (ii) above are satisfied and (b) two trading days following our Initial Earnings Release, with respect to 30% of each holder’s aggregate shares of our common stock, to the extent vested.</w:t>
      </w:r>
    </w:p>
    <w:p>
      <w:pPr>
        <w:spacing w:after="0" w:line="17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Moreover, Morgan Stanley &amp; Co. LLC and J.P. Morgan Securities LLC may release any of the securities subject to these lock-up agreements at any time.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Each of the events described above may occur independently of the other events. As a result of any such event or any combination thereof, a large number of shares of our Class A common stock may become available for resale in the immediate future, including within 180 days after the date of this prospectus, which may materially depress the market price of our Class A common stock. In addition, some or all of these events may occur in close proximity or simultaneously, which may exacerbate their impact on the market price of our Class A common stock.</w:t>
      </w:r>
    </w:p>
    <w:p>
      <w:pPr>
        <w:spacing w:after="0" w:line="270" w:lineRule="exact"/>
        <w:rPr>
          <w:sz w:val="20"/>
          <w:szCs w:val="20"/>
          <w:color w:val="auto"/>
        </w:rPr>
      </w:pPr>
    </w:p>
    <w:p>
      <w:pPr>
        <w:ind w:left="460" w:right="4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You will experience immediate and substantial dilution in the net tangible book value of the shares of Class A common stock you purchase in this offering.</w:t>
      </w:r>
    </w:p>
    <w:p>
      <w:pPr>
        <w:spacing w:after="0" w:line="3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 $35.65 per share, or $35.32 per share if the underwriters exercise their option to purchase additional shares in full, representing the difference between our pro forma as adjusted net tangible book value per share as of March 31, 2024, after giving effect to the sale of Class A common stock in this offering, and the assumed initial public offering price of $36.00 per share, the midpoint of the price range set forth on the cover page of this prospectus. See the section titled “Dilution.”</w:t>
      </w:r>
    </w:p>
    <w:p>
      <w:pPr>
        <w:spacing w:after="0" w:line="272" w:lineRule="exact"/>
        <w:rPr>
          <w:sz w:val="20"/>
          <w:szCs w:val="20"/>
          <w:color w:val="auto"/>
        </w:rPr>
      </w:pPr>
    </w:p>
    <w:p>
      <w:pPr>
        <w:ind w:left="460" w:right="6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3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63" w:lineRule="exact"/>
        <w:rPr>
          <w:sz w:val="20"/>
          <w:szCs w:val="20"/>
          <w:color w:val="auto"/>
        </w:rPr>
      </w:pPr>
    </w:p>
    <w:p>
      <w:pPr>
        <w:ind w:left="460"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38" w:lineRule="exact"/>
        <w:rPr>
          <w:sz w:val="20"/>
          <w:szCs w:val="20"/>
          <w:color w:val="auto"/>
        </w:rPr>
      </w:pPr>
    </w:p>
    <w:p>
      <w:pPr>
        <w:jc w:val="both"/>
        <w:ind w:right="20" w:firstLine="451"/>
        <w:spacing w:after="0" w:line="266"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300"/>
          </w:cols>
          <w:pgMar w:left="320" w:top="446" w:right="2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(1) the last day of the fiscal year following the fifth anniversary of this offering;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47" w:lineRule="exact"/>
        <w:rPr>
          <w:sz w:val="20"/>
          <w:szCs w:val="20"/>
          <w:color w:val="auto"/>
        </w:rPr>
      </w:pPr>
    </w:p>
    <w:p>
      <w:pPr>
        <w:ind w:left="4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3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72" w:lineRule="exact"/>
        <w:rPr>
          <w:sz w:val="20"/>
          <w:szCs w:val="20"/>
          <w:color w:val="auto"/>
        </w:rPr>
      </w:pPr>
    </w:p>
    <w:p>
      <w:pPr>
        <w:ind w:left="460" w:right="1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7"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55" w:lineRule="exact"/>
        <w:rPr>
          <w:sz w:val="20"/>
          <w:szCs w:val="20"/>
          <w:color w:val="auto"/>
        </w:rPr>
      </w:pPr>
    </w:p>
    <w:p>
      <w:pPr>
        <w:ind w:left="1000" w:hanging="551"/>
        <w:spacing w:after="0"/>
        <w:tabs>
          <w:tab w:leader="none" w:pos="10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claim or cause of action brought on our behalf;</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or cause of action asserting a breach of fiduciary duty;</w:t>
      </w:r>
    </w:p>
    <w:p>
      <w:pPr>
        <w:spacing w:after="0" w:line="131" w:lineRule="exact"/>
        <w:rPr>
          <w:rFonts w:ascii="Times New Roman" w:cs="Times New Roman" w:eastAsia="Times New Roman" w:hAnsi="Times New Roman"/>
          <w:sz w:val="17"/>
          <w:szCs w:val="17"/>
          <w:color w:val="auto"/>
        </w:rPr>
      </w:pPr>
    </w:p>
    <w:p>
      <w:pPr>
        <w:ind w:left="5520" w:right="3800" w:hanging="5071"/>
        <w:spacing w:after="0" w:line="472" w:lineRule="auto"/>
        <w:tabs>
          <w:tab w:leader="none" w:pos="99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or cause of action against us arising under the Delaware General Corporation Law; 101</w:t>
      </w:r>
    </w:p>
    <w:p>
      <w:pPr>
        <w:sectPr>
          <w:pgSz w:w="11900" w:h="16838" w:orient="portrait"/>
          <w:cols w:equalWidth="0" w:num="1">
            <w:col w:w="11300"/>
          </w:cols>
          <w:pgMar w:left="320" w:top="446" w:right="2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right="20" w:hanging="551"/>
        <w:spacing w:after="0" w:line="295" w:lineRule="auto"/>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or cause of action arising under or seeking to interpret our amended and restated certificate of incorporation or our amended and restated bylaws; and</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or cause of action against us that is governed by the internal affairs doctrine.</w:t>
      </w:r>
    </w:p>
    <w:p>
      <w:pPr>
        <w:spacing w:after="0" w:line="223"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75"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the value of our Class A common stock may decline.</w:t>
      </w:r>
    </w:p>
    <w:p>
      <w:pPr>
        <w:spacing w:after="0" w:line="12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market price of our Class A common stock may be highly volatile and may fluctuate or decline substantially as a result of a variety of factors, some of which are beyond our control, including:</w:t>
      </w:r>
    </w:p>
    <w:p>
      <w:pPr>
        <w:spacing w:after="0" w:line="55" w:lineRule="exact"/>
        <w:rPr>
          <w:sz w:val="20"/>
          <w:szCs w:val="20"/>
          <w:color w:val="auto"/>
        </w:rPr>
      </w:pPr>
    </w:p>
    <w:p>
      <w:pPr>
        <w:ind w:left="1000" w:hanging="551"/>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financial condition or results of operations;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variance in our financial performance from expectations of securities analysts;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pricing of our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or pay down existing or future debt obligations;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projected operating and financial results;</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applicable to our Platform and products, including changes in the regulation of data or in the structure of healthcare payment systems;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business developments, acquisitions, or new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data breaches, disruptions to or other incidents involving our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involvement in litigation or governmental investigations;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300"/>
          </w:cols>
          <w:pgMar w:left="320" w:top="446" w:right="2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hanging="551"/>
        <w:spacing w:after="0" w:line="295" w:lineRule="auto"/>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Class A common stock by us or our stockholders, including as a result of sell-to-cover transactions during the restricted period, as well as the anticipation of sell-to-cover transactions, lock-up releases or the expiration of the related restricted period;</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senior management or key personnel;</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new or changed securities analysts’ reports or recommendations;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volume of our Class A common stock;</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anticipated future size and growth rate of our market;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market conditions in general, or in our industry in particular.</w:t>
      </w:r>
    </w:p>
    <w:p>
      <w:pPr>
        <w:spacing w:after="0" w:line="22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70" w:lineRule="exact"/>
        <w:rPr>
          <w:sz w:val="20"/>
          <w:szCs w:val="20"/>
          <w:color w:val="auto"/>
        </w:rPr>
      </w:pPr>
    </w:p>
    <w:p>
      <w:pPr>
        <w:ind w:left="460" w:right="4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38"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74" w:lineRule="exact"/>
        <w:rPr>
          <w:sz w:val="20"/>
          <w:szCs w:val="20"/>
          <w:color w:val="auto"/>
        </w:rPr>
      </w:pPr>
    </w:p>
    <w:p>
      <w:pPr>
        <w:ind w:left="460" w:right="7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3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300"/>
          </w:cols>
          <w:pgMar w:left="320" w:top="446" w:right="2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25"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82" w:lineRule="exact"/>
        <w:rPr>
          <w:sz w:val="20"/>
          <w:szCs w:val="20"/>
          <w:color w:val="auto"/>
        </w:rPr>
      </w:pPr>
    </w:p>
    <w:p>
      <w:pPr>
        <w:ind w:left="1000" w:right="20" w:hanging="551"/>
        <w:spacing w:after="0" w:line="295" w:lineRule="auto"/>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evolving treatment paradigm for cancer, including physicians’ use of molecular data and targeted oncology therapeutics and the market size for our current and future products;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expand our business beyond oncology into new disease areas;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our addressable market and our expectations regarding our revenue, expenses, capital requirements and operating results;</w:t>
      </w:r>
    </w:p>
    <w:p>
      <w:pPr>
        <w:spacing w:after="0" w:line="131" w:lineRule="exact"/>
        <w:rPr>
          <w:rFonts w:ascii="Times New Roman" w:cs="Times New Roman" w:eastAsia="Times New Roman" w:hAnsi="Times New Roman"/>
          <w:sz w:val="17"/>
          <w:szCs w:val="17"/>
          <w:color w:val="auto"/>
        </w:rPr>
      </w:pPr>
    </w:p>
    <w:p>
      <w:pPr>
        <w:ind w:left="1000" w:right="20" w:hanging="551"/>
        <w:spacing w:after="0" w:line="267" w:lineRule="auto"/>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products and services, including our goals and strategy regarding development and commercialization of AI Applications;</w:t>
      </w:r>
    </w:p>
    <w:p>
      <w:pPr>
        <w:spacing w:after="0" w:line="318"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grow our datasets, including in new disease areas and geographies;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expectation that the growth of our datasets will improve the quality of our products and services and accelerate their adoption;</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capture, aggregate, analyze or otherwise utilize genomic data in new ways and in additional diagnostic modalities;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expectation that we will continue to commercialize de-identified records and license them to multiple customers;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of our publications in peer-reviewed journals or of our presentations at scientific and medical conference presentations;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our business model and strategic plans for our products, technologies and businesses;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companies and technologies and our industry;</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of Intelligent Diagnostics to be disruptive across a broad set of disease areas and the clinical trial process;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and grow our business by expanding our sales to existing customers or introducing our products to new customers;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payer reimbursement and coverage decisions, including our strategy to increase reimbursement;</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intellectual property protection for our products or avoid claims of infringement;</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effects of evolving and/or extensive government regulation;</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or likelihood of regulatory filings and approvals;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key personnel;</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expand internationally, including through the Joint Venture in Japan;</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acquire businesses, form joint ventures or make investments in companies or technologies;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300"/>
          </w:cols>
          <w:pgMar w:left="320" w:top="446" w:right="2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hanging="551"/>
        <w:spacing w:after="0"/>
        <w:tabs>
          <w:tab w:leader="none" w:pos="10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our intellectual property rights, including our trade secret protected proprietary rights in our platform;</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or pay down existing or future debt obligations;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cash needs and our needs for additional financing;</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trends and challenges in our business and the markets in which we operate;</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or release of lock-up agreements or market standoff agreements, anticipation of such events, and sales of shares of our Class A common stock by our stockholders; and</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intended use of proceeds from this offering.</w:t>
      </w:r>
    </w:p>
    <w:p>
      <w:pPr>
        <w:spacing w:after="0" w:line="22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1300"/>
          </w:cols>
          <w:pgMar w:left="320" w:top="446" w:right="2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MARKET, INDUSTRY AND OTHER DATA</w:t>
      </w:r>
    </w:p>
    <w:p>
      <w:pPr>
        <w:spacing w:after="0" w:line="225"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8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sources of certain statistical data, estimates and forecasts contained in this prospectus are the following independent industry publications, reports and other publicly available information:</w:t>
      </w:r>
    </w:p>
    <w:p>
      <w:pPr>
        <w:spacing w:after="0" w:line="55" w:lineRule="exact"/>
        <w:rPr>
          <w:sz w:val="20"/>
          <w:szCs w:val="20"/>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Mordor Intelligence, Biomarkers Market—Growth, Trends, COVID-19 Impact, and Forecast (2024-2029), 2023</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Mordor Intelligence, Clinical Trials Market—Growth, Trends, COVID-19 Impact, and Forecast (2024-2029), 2023</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Pharma, World Preview 2023, Outlook to 2028, August 2023</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Fortune Business Insights, Real World Evidence Solutions Market, April 2024</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American Clinical Laboratory Association, Value of Lab Testing, 2022</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Cancer Institute, Cancer Statistics, November 2022</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ClinicalTrials.gov database, 2024: U.S. National Library of Medicine</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GLOBOCAN 2024 database, 2024: Global Cancer Observatory</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Institute of Mental Health, Major Depression, January 2022</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Anxiety &amp; Depression Association of America, Facts &amp; Statistics, 2021</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Cancers (Basel), PARP Inhibitors in the Treatment of Early Breast Cancer: The Step Beyond?, June 2020</w:t>
      </w:r>
    </w:p>
    <w:p>
      <w:pPr>
        <w:spacing w:after="0" w:line="131" w:lineRule="exact"/>
        <w:rPr>
          <w:rFonts w:ascii="Times New Roman" w:cs="Times New Roman" w:eastAsia="Times New Roman" w:hAnsi="Times New Roman"/>
          <w:sz w:val="17"/>
          <w:szCs w:val="17"/>
          <w:color w:val="auto"/>
        </w:rPr>
      </w:pPr>
    </w:p>
    <w:p>
      <w:pPr>
        <w:ind w:left="1000" w:right="20" w:hanging="551"/>
        <w:spacing w:after="0" w:line="267" w:lineRule="auto"/>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Gynecologic Oncology, Frequencies of BRCA1 and BRCA2 Mutations Among 1,342 Unselected Patients with Invasive Ovarian Cancer, May 2011</w:t>
      </w:r>
    </w:p>
    <w:p>
      <w:pPr>
        <w:spacing w:after="0" w:line="318"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Journal of Oncology, BRCA Mutations in Prostate Cancer: Prognostic and Predictive Implications, 2020</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 Journal of Urology, Efficacy of Routine Follow-up After First-Line Treatment of Testicular Cancer, October 2004</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Economic Burden of Non-communicable Diseases, Harvard School of Public Health, World Economic Forum (September 2011)</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Mental Health and Substance Use, Mental Health in the Workplace, World Health Organization</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 Cancer Report 2014, International Agency for Research on Cancer, World Health Organization (2014)</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300"/>
          </w:cols>
          <w:pgMar w:left="320" w:top="446" w:right="2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hanging="551"/>
        <w:spacing w:after="0"/>
        <w:tabs>
          <w:tab w:leader="none" w:pos="10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CoronavirusUpdate: COVID-19 likely to cost economy $1 trillion during 2020, says UN trade agency, United Nations, UN News (March 9, 2020)</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American Cancer Society, Cancer Treatment &amp; Survivorship Facts &amp; Figures 2022-2024, 2022</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Cancer Atlas, The Burden of Cancer, 2019.</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1200"/>
          </w:cols>
          <w:pgMar w:left="320" w:top="446"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5"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estimate that we will receive net proceeds from this offering of approximately $361.1 million (or approximately $416.9 million if the underwriters’ over-allotment option is exercised in full) based on an assumed initial public offering price of $36.00 per share of Class A common stock, the midpoint of the estimated price range set forth on the cover page of this prospectus, after deducting estimated underwriting discounts and commissions and estimated offering expenses payable by us.</w:t>
      </w:r>
    </w:p>
    <w:p>
      <w:pPr>
        <w:spacing w:after="0" w:line="16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Each $1.00 increase (decrease) in the assumed initial public offering price of $36.00 per share of Class A common stock, the midpoint of the estimated price range set forth on the cover page of this prospectus, would increase (decrease) the net proceeds from this offering by approximately $10.3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net proceeds to us from this offering by approximately $33.5 million, assuming the assumed initial public offering price of $36.00 per share of Class A common stock remains the same, and after deducting estimated underwriting discounts and commissions.</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intend to use approximately $74.5 million of the net proceeds from this offering to pay federal and state tax withholding and remittance obligations related to the RSU Net Settlement, assuming an initial public offering price of $36.00 per share, the midpoint of the estimated price range set forth on the cover page of this prospectus. A $1.00 increase (decrease) in the assumed initial public offering price of $36.00 per share, which is the midpoint of the estimated price range set forth on the cover page of this prospectus, would increase or decrease, as applicable, the amount of net proceeds from this offering used to pay federal and state tax withholding and remittance obligations related to the RSU Net Settlement by approximately $2.1 million.</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As of the date of this prospectus, we cannot specify with certainty all of the particular uses for the remaining net proceeds of this offering. However, we currently intend to use the remaining net proceeds of this offering for general corporate purposes, including working capital, operating expenses, repayment of debt and capital expenditures. We may also use a portion of the net proceeds to acquire complementary businesses, products, services or technologies, or to pay down existing debt obligations. At this time, we do not have agreements or commitments to enter into any material acquisitions.</w:t>
      </w:r>
    </w:p>
    <w:p>
      <w:pPr>
        <w:spacing w:after="0" w:line="16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September 2022, we entered into a credit agreement with Ares Capital Corporation, or Ares, for a senior secured loan of up to $175 million, to provide working capital and for general corporate purposes, including to finance growth initiatives and pay for operating expenses. The aggregate principal amount under this loan was increased by an additional $50 million in April 2023 pursuant to a first amendment to the credit agreement, and by an additional $35 million in October 2023 pursuant to a second amendment to the credit agreement. Such term loan facility, as amended, is referred to as the Term Loan Facility. As of March 31, 2024, the interest rate on the Term Loan Facility was 10.33%. As of March 31, 2024, there was $265.8 million gross principal amount outstanding under the Term Loan Facility. We may use the net proceeds from this offering to pay down, in whole or in part, the Term Loan Facility.</w:t>
      </w:r>
    </w:p>
    <w:p>
      <w:pPr>
        <w:spacing w:after="0" w:line="17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will have broad discretion over how to use the net proceeds from this offering. We intend to invest the net proceeds to us from this offering that are not used as described above in investment-grade, interest-bearing instruments.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1300"/>
          </w:cols>
          <w:pgMar w:left="320" w:top="446" w:right="2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5"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Since our incorporation in 2015, we have paid an aggregate of $38.1 million in cash dividends and issued 114,246 shares of Series G-3 convertible preferred stock and 10,666 shares of Series G-4 convertible preferred stock as paid-in-kind dividends to holders of our preferred stock in satisfaction of dividend obligations accruing pursuant to our certificate of incorporation in effect prior to this offering. As of June 14, 2024, shares of our convertible preferred stock will have accrued approximately $187.7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1300"/>
          </w:cols>
          <w:pgMar w:left="320" w:top="446" w:right="2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our cash, cash equivalents and restricted cash and capitalization as of March 31, 2024:</w:t>
      </w:r>
    </w:p>
    <w:p>
      <w:pPr>
        <w:spacing w:after="0" w:line="131" w:lineRule="exact"/>
        <w:rPr>
          <w:sz w:val="20"/>
          <w:szCs w:val="20"/>
          <w:color w:val="auto"/>
        </w:rPr>
      </w:pPr>
    </w:p>
    <w:p>
      <w:pPr>
        <w:ind w:left="1000" w:hanging="551"/>
        <w:spacing w:after="0"/>
        <w:tabs>
          <w:tab w:leader="none" w:pos="10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actual basis;</w:t>
      </w:r>
    </w:p>
    <w:p>
      <w:pPr>
        <w:spacing w:after="0" w:line="131" w:lineRule="exact"/>
        <w:rPr>
          <w:rFonts w:ascii="Times New Roman" w:cs="Times New Roman" w:eastAsia="Times New Roman" w:hAnsi="Times New Roman"/>
          <w:sz w:val="17"/>
          <w:szCs w:val="17"/>
          <w:color w:val="auto"/>
        </w:rPr>
      </w:pPr>
    </w:p>
    <w:p>
      <w:pPr>
        <w:jc w:val="both"/>
        <w:ind w:left="1000" w:hanging="551"/>
        <w:spacing w:after="0" w:line="259" w:lineRule="auto"/>
        <w:tabs>
          <w:tab w:leader="none" w:pos="10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basis, giving effect to (1) the Series B Preferred Stock Conversion and Transfer resulting in 5,043,789 shares of Class B common stock outstanding immediately following the consummation of this offering; (2) the issuance and sale of 3,489,981 shares of Series G-5 convertible preferred stock in April 2024 as if such issuance and sale had occurred on March 31, 2024; (3) the Preferred Stock Conversion resulting in the issuance of 66,935,254 shares of Class A common stock upon the closing of this offering, assuming an initial public offering price of $36.00 per share, the midpoint of the estimated price range set forth on the cover page of this prospectus; (4) the Additional Class A Conversion Share Issuance resulting in the issuance of 5,227,001 Additional Class A Conversion Shares, assuming an initial public offering price of $36.00 per share, the midpoint of the estimated price range set forth on the cover page of this prospectus, upon the closing of this offering; (5) the payment of $5.6 million of accrued cash dividends on certain shares of our convertible preferred stock on June 4, 2024, as if such payment had occurred on March 31, 2024; (6) the automatic conversion of all of our nonvoting common stock into 5,069,477 shares of Class A common stock, which will occur upon the closing of this offering; (7) the net issuance of 2,527,923 shares of Class A common stock upon the RSU Net Settlement, the issuance of 10,724,524 shares of Class A common stock upon the Additional RSU Settlement and the recognition of stock-based compensation expense of approximately $478.9 million related to the vesting of RSUs outstanding as of March 31, 2024 for which the service-based condition will be satisfied on or before June 14, 2024 and for which the performance-based vesting condition will be satisfied in connection with this offering, as further described in Note 10 to our consolidated financial statements included elsewhere in this prospectus; (8) the Warrant Net Exercise; and (9) the filing and effectiveness of our amended and restated certificate of incorporation, which will occur upon the closing of this offering; and</w:t>
      </w:r>
    </w:p>
    <w:p>
      <w:pPr>
        <w:spacing w:after="0" w:line="298" w:lineRule="exact"/>
        <w:rPr>
          <w:rFonts w:ascii="Times New Roman" w:cs="Times New Roman" w:eastAsia="Times New Roman" w:hAnsi="Times New Roman"/>
          <w:sz w:val="17"/>
          <w:szCs w:val="17"/>
          <w:color w:val="auto"/>
        </w:rPr>
      </w:pPr>
    </w:p>
    <w:p>
      <w:pPr>
        <w:jc w:val="both"/>
        <w:ind w:left="1000" w:hanging="551"/>
        <w:spacing w:after="0" w:line="263" w:lineRule="auto"/>
        <w:tabs>
          <w:tab w:leader="none" w:pos="10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as adjusted basis, giving effect to (1) the pro forma adjustments set forth above, (2) the issuance and sale of 11,100,000 shares of Class A common stock and our receipt of $365.3 million in estimated net proceeds from such sale at an assumed initial public offering price of $36.00 per share, the midpoint of the estimated price range set forth on the cover page of this prospectus, after deducting the estimated underwriting discounts and commissions and estimated offering expenses payable by us (which offering expenses exclude $4.1 million of deferred offering costs that have been previously paid as of March 31, 2024, but include $4.1 million for deferred offering costs accrued and unpaid as of March 31, 2024 and $2.3 million of deferred offering costs not yet accrued or paid as of March 31, 2024) and (3) the use of approximately $74.5 million of the net proceeds from this offering to pay tax withholding and remittance obligations related to the RSU Net Settlement.</w:t>
      </w:r>
    </w:p>
    <w:p>
      <w:pPr>
        <w:spacing w:after="0" w:line="173"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147"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300"/>
          </w:cols>
          <w:pgMar w:left="320" w:top="446" w:right="2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As of March 31, 2024</w:t>
            </w: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7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9"/>
                <w:szCs w:val="9"/>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1040" w:type="dxa"/>
            <w:vAlign w:val="bottom"/>
          </w:tcPr>
          <w:p>
            <w:pPr>
              <w:jc w:val="right"/>
              <w:ind w:right="115"/>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12"/>
        </w:trPr>
        <w:tc>
          <w:tcPr>
            <w:tcW w:w="7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340" w:type="dxa"/>
            <w:vAlign w:val="bottom"/>
            <w:tcBorders>
              <w:top w:val="single" w:sz="8" w:color="auto"/>
            </w:tcBorders>
            <w:gridSpan w:val="6"/>
          </w:tcPr>
          <w:p>
            <w:pPr>
              <w:jc w:val="center"/>
              <w:ind w:right="75"/>
              <w:spacing w:after="0" w:line="113" w:lineRule="exact"/>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80,792</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275,167</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565,982</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Convertible Promissory Note</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186,733</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186,733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 term debt,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259,196</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259,196</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259,196</w:t>
            </w:r>
          </w:p>
        </w:tc>
        <w:tc>
          <w:tcPr>
            <w:tcW w:w="0" w:type="dxa"/>
            <w:vAlign w:val="bottom"/>
          </w:tcPr>
          <w:p>
            <w:pPr>
              <w:spacing w:after="0"/>
              <w:rPr>
                <w:sz w:val="1"/>
                <w:szCs w:val="1"/>
                <w:color w:val="auto"/>
              </w:rPr>
            </w:pPr>
          </w:p>
        </w:tc>
      </w:tr>
      <w:tr>
        <w:trPr>
          <w:trHeight w:val="191"/>
        </w:trPr>
        <w:tc>
          <w:tcPr>
            <w:tcW w:w="75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Redeemable convertible preferred stock, $0.0001 par value, 69,803,765 shares authorized, 63,603,084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 issued and outstanding, actual; no shares authorized, issued and outstanding, pro forma and pro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forma 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1,134,802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360"/>
              <w:spacing w:after="0" w:line="191" w:lineRule="exact"/>
              <w:rPr>
                <w:sz w:val="20"/>
                <w:szCs w:val="20"/>
                <w:color w:val="auto"/>
              </w:rPr>
            </w:pPr>
            <w:r>
              <w:rPr>
                <w:rFonts w:ascii="Times New Roman" w:cs="Times New Roman" w:eastAsia="Times New Roman" w:hAnsi="Times New Roman"/>
                <w:sz w:val="17"/>
                <w:szCs w:val="17"/>
                <w:color w:val="auto"/>
              </w:rPr>
              <w:t>Preferred stock, $0.0001 par value, no shares authorized, issued, and outstanding, actual; 20,000,000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shares authorized, no shares issued and outstanding, pro forma and pro forma 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1"/>
        </w:trPr>
        <w:tc>
          <w:tcPr>
            <w:tcW w:w="7560" w:type="dxa"/>
            <w:vAlign w:val="bottom"/>
            <w:shd w:val="clear" w:color="auto" w:fill="CCEEFF"/>
          </w:tcPr>
          <w:p>
            <w:pPr>
              <w:ind w:left="360"/>
              <w:spacing w:after="0" w:line="191" w:lineRule="exact"/>
              <w:rPr>
                <w:sz w:val="20"/>
                <w:szCs w:val="20"/>
                <w:color w:val="auto"/>
              </w:rPr>
            </w:pPr>
            <w:r>
              <w:rPr>
                <w:rFonts w:ascii="Times New Roman" w:cs="Times New Roman" w:eastAsia="Times New Roman" w:hAnsi="Times New Roman"/>
                <w:sz w:val="17"/>
                <w:szCs w:val="17"/>
                <w:color w:val="auto"/>
              </w:rPr>
              <w:t>Non-voting common Stock, $0.0001 par value, 66,946,627 shares authorized, 5,214,943 shares issued</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and 5,069,477 shares outstanding, actual; no shares authorized, issued and outstanding, pro forma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and pro forma as adjusted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1"/>
        </w:trPr>
        <w:tc>
          <w:tcPr>
            <w:tcW w:w="7560" w:type="dxa"/>
            <w:vAlign w:val="bottom"/>
          </w:tcPr>
          <w:p>
            <w:pPr>
              <w:ind w:left="360"/>
              <w:spacing w:after="0" w:line="191" w:lineRule="exact"/>
              <w:rPr>
                <w:sz w:val="20"/>
                <w:szCs w:val="20"/>
                <w:color w:val="auto"/>
              </w:rPr>
            </w:pPr>
            <w:r>
              <w:rPr>
                <w:rFonts w:ascii="Times New Roman" w:cs="Times New Roman" w:eastAsia="Times New Roman" w:hAnsi="Times New Roman"/>
                <w:sz w:val="17"/>
                <w:szCs w:val="17"/>
                <w:color w:val="auto"/>
              </w:rPr>
              <w:t>Class A common stock, $0.0001 par value, 200,228,024 shares authorized 58,367,961 shares issued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and outstanding, actual; 1,000,000,000 shares authorized, 148,960,473 shares issued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outstanding, pro forma; 1,000,000,000 shares authorized, 160,060,473 shares issued and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outstanding, pro forma 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560" w:type="dxa"/>
            <w:vAlign w:val="bottom"/>
            <w:shd w:val="clear" w:color="auto" w:fill="CCEEFF"/>
          </w:tcPr>
          <w:p>
            <w:pPr>
              <w:ind w:left="360"/>
              <w:spacing w:after="0" w:line="191" w:lineRule="exact"/>
              <w:rPr>
                <w:sz w:val="20"/>
                <w:szCs w:val="20"/>
                <w:color w:val="auto"/>
              </w:rPr>
            </w:pPr>
            <w:r>
              <w:rPr>
                <w:rFonts w:ascii="Times New Roman" w:cs="Times New Roman" w:eastAsia="Times New Roman" w:hAnsi="Times New Roman"/>
                <w:sz w:val="17"/>
                <w:szCs w:val="17"/>
                <w:color w:val="auto"/>
              </w:rPr>
              <w:t>Class B common stock, $0.0001 par value, 5,374,899 shares authorized no shares issued and</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outstanding, actual; 5,500,000 shares authorized, 5,043,789 shares issued and outstanding, pro</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forma and pro forma as adjusted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— </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9"/>
        </w:trPr>
        <w:tc>
          <w:tcPr>
            <w:tcW w:w="7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Treasury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(3,602)</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(3,602)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(3,602)</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Additional paid-in-capital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18,689</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1,846,167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2,206,971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(51)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(1,489,467)</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(1,979,434)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(2,053,570)</w:t>
            </w:r>
          </w:p>
        </w:tc>
        <w:tc>
          <w:tcPr>
            <w:tcW w:w="0" w:type="dxa"/>
            <w:vAlign w:val="bottom"/>
          </w:tcPr>
          <w:p>
            <w:pPr>
              <w:spacing w:after="0"/>
              <w:rPr>
                <w:sz w:val="1"/>
                <w:szCs w:val="1"/>
                <w:color w:val="auto"/>
              </w:rPr>
            </w:pPr>
          </w:p>
        </w:tc>
      </w:tr>
      <w:tr>
        <w:trPr>
          <w:trHeight w:val="221"/>
        </w:trPr>
        <w:tc>
          <w:tcPr>
            <w:tcW w:w="7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Stockholders’ (deficit) equity:</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(1,474,425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(136,905)</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Total capitalization</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106,306</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309,024</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595,693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firstLine="451"/>
        <w:spacing w:after="0" w:line="262" w:lineRule="auto"/>
        <w:rPr>
          <w:sz w:val="20"/>
          <w:szCs w:val="20"/>
          <w:color w:val="auto"/>
        </w:rPr>
      </w:pPr>
      <w:r>
        <w:rPr>
          <w:rFonts w:ascii="Times New Roman" w:cs="Times New Roman" w:eastAsia="Times New Roman" w:hAnsi="Times New Roman"/>
          <w:sz w:val="17"/>
          <w:szCs w:val="17"/>
          <w:color w:val="auto"/>
        </w:rPr>
        <w:t>A $1.00 increase (decrease) in the assumed initial public offering price of $36.00 per share of Class A common stock, the midpoint of the estimated price range set forth on the cover page of this prospectus, would increase (decrease) each of our pro forma as adjusted cash, cash equivalents and restricted cash, additional paid-in capital, total stockholders’ (deficit) equity and total capitalization by approximately $10.3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 $33.5 million, assuming the assumed initial public offering price of $36.00 per share of Class A common stock remains the same, and after deducting estimated underwriting discounts and commissions.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300"/>
          </w:cols>
          <w:pgMar w:left="320" w:top="446" w:right="2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number of shares of Class A common stock and Class B common stock that will be outstanding immediately after this offering as noted above is based on 160,060,473 shares of Class A common stock and 5,043,789 shares of Class B common stock outstanding as of March 31, 2024 (assuming the Preferred Stock Conversion), assuming an initial public offering price of $36.00 per share, the midpoint of the estimated price range set forth on the cover page of this prospectus, which will occur upon the closing of this offering, and the Series B Preferred Stock Conversion and Transfer, and excludes:</w:t>
      </w:r>
    </w:p>
    <w:p>
      <w:pPr>
        <w:spacing w:after="0" w:line="78" w:lineRule="exact"/>
        <w:rPr>
          <w:sz w:val="20"/>
          <w:szCs w:val="20"/>
          <w:color w:val="auto"/>
        </w:rPr>
      </w:pPr>
    </w:p>
    <w:p>
      <w:pPr>
        <w:jc w:val="both"/>
        <w:ind w:left="1000" w:hanging="551"/>
        <w:spacing w:after="0" w:line="276"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5,472,557 shares of Class A common stock issuable on the vesting and settlement of RSUs outstanding as of March 31, 2024 under our 2015 Plan, for which the performance-based vesting condition will be satisfied in connection with this offering, but for which the service-based vesting condition will not be satisfied on or before June 14, 2024;</w:t>
      </w:r>
    </w:p>
    <w:p>
      <w:pPr>
        <w:spacing w:after="0" w:line="70"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1,527,044 shares of Class A common stock issuable upon the settlement of RSUs granted after March 31, 2024 under the 2015 Plan;</w:t>
      </w:r>
    </w:p>
    <w:p>
      <w:pPr>
        <w:spacing w:after="0" w:line="131"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7,430,000 shares of Class A common stock reserved for future issuance under our 2024 Plan, as well as any future increases, including annual automatic evergreen increases (as described in the section of this prospectus titled “Executive Compensation—Equity Incentive Plans”), in the number of shares of Class A common stock reserved for issuance under the 2024 Plan;</w:t>
      </w:r>
    </w:p>
    <w:p>
      <w:pPr>
        <w:spacing w:after="0" w:line="70"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3,000,000 shares of Class A common stock reserved for future issuance under the ESPP, as well as any future increases, including annual automatic evergreen increases (as described in the section of this prospectus titled “Executive Compensation—Equity Incentive Plans”), in the number of shares of Class A common stock reserved for issuance under the ESPP;</w:t>
      </w:r>
    </w:p>
    <w:p>
      <w:pPr>
        <w:spacing w:after="0" w:line="70"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210,000 shares of Class A common stock issuable on the exercise of a stock option outstanding as of March 31, 2024 under the 2015 Plan, with an exercise price of $0.8542 per share;</w:t>
      </w:r>
    </w:p>
    <w:p>
      <w:pPr>
        <w:spacing w:after="0" w:line="55" w:lineRule="exact"/>
        <w:rPr>
          <w:rFonts w:ascii="Times New Roman" w:cs="Times New Roman" w:eastAsia="Times New Roman" w:hAnsi="Times New Roman"/>
          <w:sz w:val="17"/>
          <w:szCs w:val="17"/>
          <w:color w:val="auto"/>
        </w:rPr>
      </w:pPr>
    </w:p>
    <w:p>
      <w:pPr>
        <w:jc w:val="both"/>
        <w:ind w:left="1000" w:hanging="551"/>
        <w:spacing w:after="0" w:line="266"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Class A common stock issuable upon conversion of the Amended Note, which is convertible beginning in March 2026 into a number of shares determined by dividing (i) the then outstanding principal amount of such note (which was $186.7 million as of March 31, 2024) plus accrued and unpaid interest by (ii) the average of the last trading price of our Class A common stock on each trading day during the twenty day period ending immediately prior to March 22, 2026, as more fully described in the section of this prospectus titled “Description of Capital Stock— Convertible Promissory Note”;</w:t>
      </w:r>
    </w:p>
    <w:p>
      <w:pPr>
        <w:spacing w:after="0" w:line="79" w:lineRule="exact"/>
        <w:rPr>
          <w:rFonts w:ascii="Times New Roman" w:cs="Times New Roman" w:eastAsia="Times New Roman" w:hAnsi="Times New Roman"/>
          <w:sz w:val="17"/>
          <w:szCs w:val="17"/>
          <w:color w:val="auto"/>
        </w:rPr>
      </w:pPr>
    </w:p>
    <w:p>
      <w:pPr>
        <w:jc w:val="both"/>
        <w:ind w:left="1000" w:hanging="551"/>
        <w:spacing w:after="0" w:line="269"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2,777,778 shares of Class A common stock, assuming an initial public offering price of $36.00 per share, the midpoint of the estimated price range set forth on the cover page of this prospectus, issuable upon the exercise of the warrant issued to AstraZeneca with an exercise price equal to the initial public offering price, as more fully described in the section of this prospectus titled “Business—Operations—Our Strategic Collaboration— AstraZeneca Master Services Agreement”;</w:t>
      </w:r>
    </w:p>
    <w:p>
      <w:pPr>
        <w:spacing w:after="0" w:line="77"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$9.0 million in shares of Class A common stock, assuming an initial public offering price of $36.00 per share, the midpoint of the estimated price range set forth on the cover page of this prospectus, issuable to one of our stockholders pursuant to a contingent payment right, which payment may be made in cash or shares of Class A common stock, upon mutual agreement of us and such stockholder;</w:t>
      </w:r>
    </w:p>
    <w:p>
      <w:pPr>
        <w:spacing w:after="0" w:line="70"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35,000 shares of Class A common stock issuable to former stockholders of SEngine based on the average of the trading prices of our Class A common stock for the seven trading days immediately after the effective date of this offering; and</w:t>
      </w:r>
    </w:p>
    <w:p>
      <w:pPr>
        <w:spacing w:after="0" w:line="55" w:lineRule="exact"/>
        <w:rPr>
          <w:rFonts w:ascii="Times New Roman" w:cs="Times New Roman" w:eastAsia="Times New Roman" w:hAnsi="Times New Roman"/>
          <w:sz w:val="17"/>
          <w:szCs w:val="17"/>
          <w:color w:val="auto"/>
        </w:rPr>
      </w:pPr>
    </w:p>
    <w:p>
      <w:pPr>
        <w:jc w:val="both"/>
        <w:ind w:left="1000" w:hanging="551"/>
        <w:spacing w:after="0" w:line="269"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shares of our Class A common stock in an amount up to 15.0% of the total number of shares of our common stock outstanding immediately following this offering, which we may issue in connection with acquisitions, joint ventures, commercial agreements and after similar arrangements pursuant to an exception from our lock-up during the 180-day period following the date of this prospectus, as further described in the section entitled “Underwriting.”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300"/>
          </w:cols>
          <w:pgMar w:left="320" w:top="446" w:right="2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25"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4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Our historical net tangible book value (deficit) as of March 31, 2024 was $(1,575.0) million, or $(24.83)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63,437,438 shares of common stock outstanding as of March 31, 2024. Our pro forma net tangible book value as of March 31, 2024 was $(237.5) million, or $(1.54) per share. Our pro forma net tangible book value per share represents the amount of our total tangible assets less our total liabilities, divided by the number of our shares of common stock outstanding as of March 31, 2024, after giving effect to</w:t>
      </w:r>
    </w:p>
    <w:p>
      <w:pPr>
        <w:spacing w:after="0" w:line="1" w:lineRule="exact"/>
        <w:rPr>
          <w:sz w:val="20"/>
          <w:szCs w:val="20"/>
          <w:color w:val="auto"/>
        </w:rPr>
      </w:pPr>
    </w:p>
    <w:p>
      <w:pPr>
        <w:jc w:val="both"/>
        <w:ind w:firstLine="5"/>
        <w:spacing w:after="0" w:line="256" w:lineRule="auto"/>
        <w:tabs>
          <w:tab w:leader="none" w:pos="29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Series B Preferred Stock Conversion and Transfer resulting in 5,043,789 shares of Class B common stock outstanding immediately following the consummation of this offering; (2) the issuance and sale of 3,489,981 shares of Series G-5 convertible preferred stock in April 2024 as if such sale and issuance had occurred on March 31, 2024; (3) the Preferred Stock Conversion resulting in the issuance of 66,935,254 shares of Class A common stock upon the closing of this offering, assuming an initial public offering price of $36.00 per share, the midpoint of the estimated price range set forth on the cover page of this prospectus;</w:t>
      </w:r>
    </w:p>
    <w:p>
      <w:pPr>
        <w:spacing w:after="0" w:line="2" w:lineRule="exact"/>
        <w:rPr>
          <w:rFonts w:ascii="Times New Roman" w:cs="Times New Roman" w:eastAsia="Times New Roman" w:hAnsi="Times New Roman"/>
          <w:sz w:val="17"/>
          <w:szCs w:val="17"/>
          <w:color w:val="auto"/>
        </w:rPr>
      </w:pPr>
    </w:p>
    <w:p>
      <w:pPr>
        <w:jc w:val="both"/>
        <w:ind w:firstLine="5"/>
        <w:spacing w:after="0" w:line="256" w:lineRule="auto"/>
        <w:tabs>
          <w:tab w:leader="none" w:pos="25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Additional Class A Conversion Share Issuance resulting in the issuance of 5,227,001 Additional Class A Conversion Shares, assuming an initial public offering price of $36.00 per share, the midpoint of the estimated price range set forth on the cover page of this prospectus, upon the conversion of all outstanding shares of our redeemable convertible preferred stock upon the closing of this offering; (5) the payment of $5.6 million of accrued cash dividends on certain shares of our convertible preferred stock on June 4, 2024, as if such payment had occurred on March 31, 2024; (6) the automatic conversion of all of our nonvoting common stock into 5,069,477 shares of Class A common stock, which will occur upon the closing of this offering; (7) the net issuance of 2,527,923 shares of Class A common stock upon the RSU Net Settlement, the issuance of 10,724,524 shares of Class A common stock upon the Additional RSU Settlement and the recognition of stock-based compensation expense of approximately $478.9 million related to the vesting of RSUs outstanding as of March 31, 2024 for which the service-based vesting condition will be satisfied on or before June 14, 2024 and for which the performance-based vesting condition will be satisfied in connection with this offering as further described in Note 10 to our consolidated financial statements included elsewhere in this prospectus; (8) the Warrant Net Exercise; and</w:t>
      </w:r>
    </w:p>
    <w:p>
      <w:pPr>
        <w:spacing w:after="0" w:line="5" w:lineRule="exact"/>
        <w:rPr>
          <w:rFonts w:ascii="Times New Roman" w:cs="Times New Roman" w:eastAsia="Times New Roman" w:hAnsi="Times New Roman"/>
          <w:sz w:val="17"/>
          <w:szCs w:val="17"/>
          <w:color w:val="auto"/>
        </w:rPr>
      </w:pPr>
    </w:p>
    <w:p>
      <w:pPr>
        <w:jc w:val="both"/>
        <w:ind w:firstLine="5"/>
        <w:spacing w:after="0" w:line="265" w:lineRule="auto"/>
        <w:tabs>
          <w:tab w:leader="none" w:pos="26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and effectiveness of our amended and restated certificate of incorporation, which will occur upon the closing of this offering. 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171"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After giving effect to the sale by us of 11,100,000 shares of Class A common stock in this offering at an assumed initial public offering price of $36.00 per share, the midpoint of the estimated price range set forth on the cover page of this prospectus, after deducting estimated underwriting discounts and commissions and estimated offering expenses payable by us (which offering expenses exclude $4.1 million of deferred offering costs that have been previously paid as of March 31, 2024, but include $4.1 million for deferred offering costs accrued and unpaid as of March 31, 2024 and $2.3 million of deferred offering costs not yet accrued or paid as of March 31, 2024) and the use of approximately $74.5 million of the net proceeds from this offering to pay tax withholding and remittance obligations related to the RSU Net Settlement, our pro forma as adjusted net tangible book value as of March 31, 2024 would have been $57.4 million, or $0.35 per share. This amount represents an immediate increase in pro forma as adjusted net tangible book value of $1.89 per share to our existing stockholders and an immediate dilution of $35.65 per share to new investors purchasing Class A common stock</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1300"/>
          </w:cols>
          <w:pgMar w:left="320" w:top="446" w:right="2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in this offering. We determine dilution by subtracting the pro forma as adjusted net tangible book value per share after this offering from the initial public offering price per share paid by investors purchasing Class A common stock in this offering. The following table illustrates this dilution on a per share basis: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initial public offering price per share</w:t>
            </w:r>
          </w:p>
        </w:tc>
        <w:tc>
          <w:tcPr>
            <w:tcW w:w="1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$ 36.00</w:t>
            </w:r>
          </w:p>
        </w:tc>
      </w:tr>
      <w:tr>
        <w:trPr>
          <w:trHeight w:val="209"/>
        </w:trPr>
        <w:tc>
          <w:tcPr>
            <w:tcW w:w="9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Historical net tangible book value (deficit) per share as of March 31, 2024</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99"/>
              </w:rPr>
              <w:t>$ (24.83)</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9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Increase per share attributable to the pro forma adjustments described above</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23.29</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9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 forma net tangible book value per share as of March 31, 2024</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9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Increase in pro forma as adjusted net tangible book value per share attributable to new investors purchasing shares in this offering</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1.89</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9820" w:type="dxa"/>
            <w:vAlign w:val="bottom"/>
          </w:tcPr>
          <w:p>
            <w:pPr>
              <w:spacing w:after="0"/>
              <w:rPr>
                <w:sz w:val="20"/>
                <w:szCs w:val="20"/>
                <w:color w:val="auto"/>
              </w:rPr>
            </w:pPr>
            <w:r>
              <w:rPr>
                <w:rFonts w:ascii="Times New Roman" w:cs="Times New Roman" w:eastAsia="Times New Roman" w:hAnsi="Times New Roman"/>
                <w:sz w:val="17"/>
                <w:szCs w:val="17"/>
                <w:color w:val="auto"/>
              </w:rPr>
              <w:t>Pro forma as adjusted net tangible book value per share after giving effect to this offering</w:t>
            </w: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60" w:type="dxa"/>
            <w:vAlign w:val="bottom"/>
          </w:tcPr>
          <w:p>
            <w:pPr>
              <w:spacing w:after="0"/>
              <w:rPr>
                <w:sz w:val="19"/>
                <w:szCs w:val="19"/>
                <w:color w:val="auto"/>
              </w:rPr>
            </w:pPr>
          </w:p>
        </w:tc>
      </w:tr>
      <w:tr>
        <w:trPr>
          <w:trHeight w:val="209"/>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per share to new investors in this offering</w:t>
            </w:r>
          </w:p>
        </w:tc>
        <w:tc>
          <w:tcPr>
            <w:tcW w:w="1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$ 35.65</w:t>
            </w:r>
          </w:p>
        </w:tc>
      </w:tr>
      <w:tr>
        <w:trPr>
          <w:trHeight w:val="20"/>
        </w:trPr>
        <w:tc>
          <w:tcPr>
            <w:tcW w:w="9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dilution information discussed above is illustrative only and may change based on the actual initial public offering price and other terms of this offering. Each $1.00 increase (decrease) in the assumed initial public offering price of $36.00 per share of Class A common stock, the midpoint of the estimated price range set forth on the cover page of this prospectus, would increase (decrease) our pro forma as adjusted net tangible book value per share by $0.06 per share and increase (decrease) the dilution to new investors by $0.94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our pro forma as adjusted net tangible book value by approximately $0.20 per share and decrease (increase) the dilution to new investors by approximately $(0.20) per share, in each case assuming the assumed initial public offering price of $36.00 per share of Class A common stock remains the same, and after deducting estimated underwriting discounts and commissions.</w:t>
      </w:r>
    </w:p>
    <w:p>
      <w:pPr>
        <w:spacing w:after="0" w:line="39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following table summarizes, as of March 31, 2024, on a pro forma as adjusted basis as described above, the aggregate number of shares of our Class A common stock and Class B common stock, the total consideration and the average price per share (1) paid to us by existing stockholders, and (2) to be paid by new investors acquiring our Class A common stock in this offering at an assumed initial public offering price of $36.00 per share, the midpoint of the estimated price range set forth on the cover page of this prospectus, before deducting estimated underwriting discounts and commissions and estimated offering expenses payable by 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32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3"/>
                <w:szCs w:val="13"/>
                <w:color w:val="auto"/>
              </w:rPr>
            </w:pPr>
          </w:p>
        </w:tc>
        <w:tc>
          <w:tcPr>
            <w:tcW w:w="2280" w:type="dxa"/>
            <w:vAlign w:val="bottom"/>
            <w:gridSpan w:val="4"/>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8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8"/>
        </w:trPr>
        <w:tc>
          <w:tcPr>
            <w:tcW w:w="5540" w:type="dxa"/>
            <w:vAlign w:val="bottom"/>
          </w:tcPr>
          <w:p>
            <w:pPr>
              <w:spacing w:after="0"/>
              <w:rPr>
                <w:sz w:val="14"/>
                <w:szCs w:val="14"/>
                <w:color w:val="auto"/>
              </w:rPr>
            </w:pPr>
          </w:p>
        </w:tc>
        <w:tc>
          <w:tcPr>
            <w:tcW w:w="23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7"/>
        </w:trPr>
        <w:tc>
          <w:tcPr>
            <w:tcW w:w="554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5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3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Existing stockholders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$154,004,262</w:t>
            </w:r>
          </w:p>
        </w:tc>
        <w:tc>
          <w:tcPr>
            <w:tcW w:w="3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93.3%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1,846,182,000</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11.99</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7"/>
                <w:szCs w:val="17"/>
                <w:color w:val="auto"/>
              </w:rPr>
              <w:t>New investors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11,100,000</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399,600,000</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165,104,262</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2,245,782,000</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Each $1.00 increase (decrease) in the assumed initial public offering price of $36.00 per share, the midpoint of the estimated price range set forth on the cover page of this prospectus, would increase (decrease) the total consideration paid by new investors and total consideration paid by all stockholders by $10.3 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total consideration paid by new investors and total consideration paid by all stockholders by $33.5 million, assuming the assumed initial public offering price of $36.00 per share of Class A common stock remains the same, and after deducting estimated underwriting discounts and commissions. </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300"/>
          </w:cols>
          <w:pgMar w:left="320" w:top="446" w:right="2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number of shares of Class A common stock and Class B common stock that will be outstanding immediately after this offering as noted above is based on 160,060,473 shares of Class A common stock and 5,043,789 shares of Class B common stock outstanding as of March 31, 2024 (assuming the Preferred Stock Conversion), assuming an initial public offering price of $36.00 per share, the midpoint of the estimated price range set forth on the cover page of this prospectus, and the Series B Preferred Stock Conversion and Transfer, and excludes:</w:t>
      </w:r>
    </w:p>
    <w:p>
      <w:pPr>
        <w:spacing w:after="0" w:line="78" w:lineRule="exact"/>
        <w:rPr>
          <w:sz w:val="20"/>
          <w:szCs w:val="20"/>
          <w:color w:val="auto"/>
        </w:rPr>
      </w:pPr>
    </w:p>
    <w:p>
      <w:pPr>
        <w:jc w:val="both"/>
        <w:ind w:left="1000" w:hanging="551"/>
        <w:spacing w:after="0" w:line="276"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5,472,557 of Class A common stock issuable on the vesting and settlement of RSUs outstanding as of March 31, 2024 under our 2015 Plan, for which the performance-based vesting condition will be satisfied in connection with this offering, but for which the service-based vesting condition will not be satisfied on or before June 14, 2024;</w:t>
      </w:r>
    </w:p>
    <w:p>
      <w:pPr>
        <w:spacing w:after="0" w:line="70"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1,527,044 shares of Class A common stock issuable upon the settlement of RSUs granted after March 31, 2024 under the 2015 Plan;</w:t>
      </w:r>
    </w:p>
    <w:p>
      <w:pPr>
        <w:spacing w:after="0" w:line="131"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7,430,000 shares of Class A common stock reserved for future issuance under our 2024 Plan, as well as any future increases, including annual automatic evergreen increases (as described in the section of this prospectus titled “Executive Compensation—Equity Incentive Plans”), in the number of shares of Class A common stock reserved for issuance under the 2024 Plan;</w:t>
      </w:r>
    </w:p>
    <w:p>
      <w:pPr>
        <w:spacing w:after="0" w:line="70"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3,000,000 shares of Class A common stock reserved for future issuance under the ESPP, as well as any future increases, including annual automatic evergreen increases (as described in the section of this prospectus titled “Executive Compensation—Equity Incentive Plans”), in the number of shares of Class A common stock reserved for issuance under the ESPP;</w:t>
      </w:r>
    </w:p>
    <w:p>
      <w:pPr>
        <w:spacing w:after="0" w:line="70"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210,000 shares of Class A common stock issuable on the exercise of a stock option outstanding as of March 31, 2024 under the 2015 Plan, with an exercise price of $0.8542 per share;</w:t>
      </w:r>
    </w:p>
    <w:p>
      <w:pPr>
        <w:spacing w:after="0" w:line="55" w:lineRule="exact"/>
        <w:rPr>
          <w:rFonts w:ascii="Times New Roman" w:cs="Times New Roman" w:eastAsia="Times New Roman" w:hAnsi="Times New Roman"/>
          <w:sz w:val="17"/>
          <w:szCs w:val="17"/>
          <w:color w:val="auto"/>
        </w:rPr>
      </w:pPr>
    </w:p>
    <w:p>
      <w:pPr>
        <w:jc w:val="both"/>
        <w:ind w:left="1000" w:hanging="551"/>
        <w:spacing w:after="0" w:line="266"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Class A common stock issuable upon conversion of the Amended Note, which is convertible beginning in March 2026 into a number of shares determined by dividing (i) the then outstanding principal amount of such note (which was $186.7 million as of March 31, 2024) plus accrued and unpaid interest by (ii) the average of the last trading price of our Class A common stock on each trading day during the twenty day period ending immediately prior to March 22, 2026, as more fully described in the section of this prospectus titled “Description of Capital Stock— Convertible Promissory Note”;</w:t>
      </w:r>
    </w:p>
    <w:p>
      <w:pPr>
        <w:spacing w:after="0" w:line="79" w:lineRule="exact"/>
        <w:rPr>
          <w:rFonts w:ascii="Times New Roman" w:cs="Times New Roman" w:eastAsia="Times New Roman" w:hAnsi="Times New Roman"/>
          <w:sz w:val="17"/>
          <w:szCs w:val="17"/>
          <w:color w:val="auto"/>
        </w:rPr>
      </w:pPr>
    </w:p>
    <w:p>
      <w:pPr>
        <w:jc w:val="both"/>
        <w:ind w:left="1000" w:hanging="551"/>
        <w:spacing w:after="0" w:line="269"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2,777,778 shares of Class A common stock, assuming an initial public offering price of $36.00 per share, the midpoint of the estimated price range set forth on the cover page of this prospectus, issuable upon the exercise of the warrant issued to AstraZeneca with an exercise price equal to the initial public offering price, as more fully described in the section of this prospectus titled “Business—Operations—Our Strategic Collaboration— AstraZeneca Master Services Agreement”;</w:t>
      </w:r>
    </w:p>
    <w:p>
      <w:pPr>
        <w:spacing w:after="0" w:line="77"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$9.0 million in shares of Class A common stock, assuming an initial public offering price of $36.00 per share, the midpoint of the estimated price range set forth on the cover page of this prospectus, issuable to one of our stockholders pursuant to a contingent payment right, which payment may be made in cash or shares of Class A common stock, upon mutual agreement of us and such stockholder;</w:t>
      </w:r>
    </w:p>
    <w:p>
      <w:pPr>
        <w:spacing w:after="0" w:line="70"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35,000 shares of Class A common stock issuable to former stockholders of SEngine based on the average of the trading prices of our Class A common stock for the seven trading days immediately after the effective date of this offering; and</w:t>
      </w:r>
    </w:p>
    <w:p>
      <w:pPr>
        <w:spacing w:after="0" w:line="55" w:lineRule="exact"/>
        <w:rPr>
          <w:rFonts w:ascii="Times New Roman" w:cs="Times New Roman" w:eastAsia="Times New Roman" w:hAnsi="Times New Roman"/>
          <w:sz w:val="17"/>
          <w:szCs w:val="17"/>
          <w:color w:val="auto"/>
        </w:rPr>
      </w:pPr>
    </w:p>
    <w:p>
      <w:pPr>
        <w:jc w:val="both"/>
        <w:ind w:left="1000" w:hanging="551"/>
        <w:spacing w:after="0" w:line="269" w:lineRule="auto"/>
        <w:tabs>
          <w:tab w:leader="none" w:pos="10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shares of our Class A common stock in an amount up to 15.0% of the total number of shares of our common stock outstanding immediately following this offering, which we may issue in connection with acquisitions, joint ventures, commercial agreements and other similar arrangement pursuant to an exception from our lock-up during the 180-day period following the date of this prospectus, as further described in the section entitled “Underwriting.”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300"/>
          </w:cols>
          <w:pgMar w:left="320" w:top="446" w:right="2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and RSUs under the 2015 Plan as of March 31, 2024 were exercised or vested and settled, as applicable, then our existing stockholders, including the holders of these options and RSUs, would own approximately 94% and our new investors would own approximately 6% of the total number of shares of our Class A common stock and Class B common stock outstanding on the closing of this offering.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280"/>
          </w:cols>
          <w:pgMar w:left="320" w:top="446" w:right="2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w:t>
      </w:r>
    </w:p>
    <w:p>
      <w:pPr>
        <w:spacing w:after="0" w:line="20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7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39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primarily operate in the United States and generated total revenue of $320.7 million and $531.8 million in the years ended December 31, 2022 and 2023, respectively, and $115.6 million and $145.8 million in the three months ended March 31, 2023 and 2024, respectively. In the years ended December 31, 2022 and 2023 and the three months ended March 31, 2023 and 2024, revenue from one customer accounted for 8.3%, 8.3%, 6.3%, and 6.6%, respectively, of our total revenue. In the year ended December 31, 2023 and the three months ended March 31, 2023 and 2024, revenue from an additional customer accounted for 5.1%, 6.0%, and 5.7% of our total revenue, respectively. The same customer did not represent a significant portion of total revenue for the year ended December 31, 2022. We also incurred net losses of $289.8 million and $214.1 million in the years ended December 31, 2022 and 2023, respectively, and $54.4 million and $64.7 million in the three months ended March 31, 2023 and 2024, respectively. We generated adjusted EBITDA of $(238.8) million and $(154.2) million in the years ended December 31, 2022 and 2023, respectively, and $(45.9) million and $(43.9) million in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1300"/>
          </w:cols>
          <w:pgMar w:left="320" w:top="446" w:right="2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three months ended March 31, 2023 and 2024,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the section titled “—Non-GAAP Financial Measure” below.</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Business Model</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diagnostics companies that need to focus on maximizing gross profit when performing a test. At its 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7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70" w:lineRule="exact"/>
        <w:rPr>
          <w:sz w:val="20"/>
          <w:szCs w:val="20"/>
          <w:color w:val="auto"/>
        </w:rPr>
      </w:pPr>
    </w:p>
    <w:p>
      <w:pPr>
        <w:ind w:left="1000" w:hanging="551"/>
        <w:spacing w:after="0"/>
        <w:tabs>
          <w:tab w:leader="none" w:pos="10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 providers benefit from a tailored test result that provides information that can be used in routing patients to the most effective therapy.</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Pharmaceutical and biotechnology companies benefit by licensing deep molecular data and longitudinal clinical data that they can leverage in their drug development efforts.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benefit by leveraging the multimodal data to make our current tests more precise and/or to develop new algorithmic tests in the future.</w:t>
      </w:r>
    </w:p>
    <w:p>
      <w:pPr>
        <w:spacing w:after="0" w:line="223"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Although we are only eight years old, the network effects described above have already been demonstrated with the cohort of records that were added to our database from 2018 to 2023. 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300"/>
          </w:cols>
          <w:pgMar w:left="320" w:top="446" w:right="2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below charts, which illustrate the “Cohort Lifetime Values” from 2018 to 2023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6804660" cy="85807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4660" cy="8580755"/>
                    </a:xfrm>
                    <a:prstGeom prst="rect">
                      <a:avLst/>
                    </a:prstGeom>
                    <a:noFill/>
                  </pic:spPr>
                </pic:pic>
              </a:graphicData>
            </a:graphic>
          </wp:anchor>
        </w:drawing>
      </w:r>
    </w:p>
    <w:p>
      <w:pPr>
        <w:sectPr>
          <w:pgSz w:w="11900" w:h="16838" w:orient="portrait"/>
          <w:cols w:equalWidth="0" w:num="1">
            <w:col w:w="11280"/>
          </w:cols>
          <w:pgMar w:left="320" w:top="446" w:right="299" w:bottom="6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1280"/>
          </w:cols>
          <w:pgMar w:left="320" w:top="446" w:right="299" w:bottom="615"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203835</wp:posOffset>
            </wp:positionV>
            <wp:extent cx="6804660" cy="8165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4660" cy="816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Below is a description of each product line: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Genomics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ectPr>
          <w:pgSz w:w="11900" w:h="16838" w:orient="portrait"/>
          <w:cols w:equalWidth="0" w:num="1">
            <w:col w:w="11280"/>
          </w:cols>
          <w:pgMar w:left="320" w:top="446" w:right="299" w:bottom="667" w:gutter="0" w:footer="0" w:header="0"/>
        </w:sectPr>
      </w:pP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1280"/>
          </w:cols>
          <w:pgMar w:left="320" w:top="446" w:right="299" w:bottom="667"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69"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47"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Genomics revenue was $198.0 million and $363.0 million for the years ended December 31, 2022 and 2023, respectively, and $82.1 million and $102.6 million for the three months ended March 31, 2023 and 2024, respectively. Revenue generated from COVID-19 testing was $22.2 million, or 6.9% of our total revenue, for the year ended December 31, 2022. Revenue generated from COVID-19 testing was $2.6 million, or 2.3%, of our total revenue for the three months ended March 31, 2023. Revenue generated from COVID-19 testing was $2.7 million, or 0.5% of total revenue, for the year ended December 31, 2023 and $0 for the three months ended March 31, 2024, as we stopped offering COVID-19 PCR diagnostic tests in the first quarter of 2023.</w:t>
      </w:r>
    </w:p>
    <w:p>
      <w:pPr>
        <w:spacing w:after="0" w:line="171"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Inclusive of xR, oncology NGS tests delivered for the years ended December 31, 2019, 2020, 2021, 2022 and 2023 were approximately 40,600, 64,300, 97,000, 148,000 and 218,700, respectively.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Data and Services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w:t>
      </w:r>
    </w:p>
    <w:p>
      <w:pPr>
        <w:spacing w:after="0" w:line="162"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upon the completion of performance obligations for related services, or ratably over time in the case of subscriptions.</w:t>
      </w:r>
    </w:p>
    <w:p>
      <w:pPr>
        <w:spacing w:after="0" w:line="38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Our Trials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sites (hospitals), and clinical trial sponsors (life sciences companies). The fees charged to sponsors are typically fixed and based on a per match and/or per enrollment basis. Revenue from our Trials product is generally recognized upon a match between a patient and a trial in our network or upon enrollment of a patient that we matched to a trial in our network.</w:t>
      </w:r>
    </w:p>
    <w:p>
      <w:pPr>
        <w:spacing w:after="0" w:line="171" w:lineRule="exact"/>
        <w:rPr>
          <w:sz w:val="20"/>
          <w:szCs w:val="20"/>
          <w:color w:val="auto"/>
        </w:rPr>
      </w:pPr>
    </w:p>
    <w:p>
      <w:pPr>
        <w:jc w:val="both"/>
        <w:ind w:right="20" w:firstLine="451"/>
        <w:spacing w:after="0" w:line="264" w:lineRule="auto"/>
        <w:rPr>
          <w:sz w:val="20"/>
          <w:szCs w:val="20"/>
          <w:color w:val="auto"/>
        </w:rPr>
      </w:pPr>
      <w:r>
        <w:rPr>
          <w:rFonts w:ascii="Times New Roman" w:cs="Times New Roman" w:eastAsia="Times New Roman" w:hAnsi="Times New Roman"/>
          <w:sz w:val="17"/>
          <w:szCs w:val="17"/>
          <w:color w:val="auto"/>
        </w:rPr>
        <w:t>We also provide other clinical trial services and conduct our own studies as part of our Trials program, all with a goal of identifying new therapies and bringing them to market more efficiently. In January 2022, we acquired Highline Consulting, LLC, or Highline,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The products and services within our Trials program complement each other to create a suite of integrated solutions for life sciences companies from early discovery to commercialization.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1300"/>
          </w:cols>
          <w:pgMar w:left="320" w:top="446" w:right="2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Data and services revenue was $122.7 million and $168.8 million for the years ended December 31, 2022 and 2023, respectively, and $33.6 million and $43.3 million for the three months ended March 31, 2023 and 2024, respectively. Our Data and services revenue is typically back-weighted towards the second half of the year based on the budgeting cycles of our customers.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AI Applications</w:t>
      </w:r>
    </w:p>
    <w:p>
      <w:pPr>
        <w:spacing w:after="0" w:line="120" w:lineRule="exact"/>
        <w:rPr>
          <w:sz w:val="20"/>
          <w:szCs w:val="20"/>
          <w:color w:val="auto"/>
        </w:rPr>
      </w:pPr>
    </w:p>
    <w:p>
      <w:pPr>
        <w:jc w:val="both"/>
        <w:ind w:right="20" w:firstLine="451"/>
        <w:spacing w:after="0" w:line="266" w:lineRule="auto"/>
        <w:rPr>
          <w:sz w:val="20"/>
          <w:szCs w:val="20"/>
          <w:color w:val="auto"/>
        </w:rPr>
      </w:pPr>
      <w:r>
        <w:rPr>
          <w:rFonts w:ascii="Times New Roman" w:cs="Times New Roman" w:eastAsia="Times New Roman" w:hAnsi="Times New Roman"/>
          <w:sz w:val="17"/>
          <w:szCs w:val="17"/>
          <w:color w:val="auto"/>
        </w:rPr>
        <w:t>Our third product line, AI Applications,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71"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launched our Algos product line in the fourth quarter of 2020 and currently offer a suite of algorithmic tests in oncology: our Tumor Origin, TO, test, our Homologous Recombination Deficiency, HRD, test, and our Dihydropyrimidine Dehydrogenase Deficiency, DPYD, test. Prior to January 1, 2023, we would typically bill commercial payers or government-funded programs (i.e., Medicare and Medicaid) after delivering a test result, similar to our Genomics product line. The amount that we would charge varied depending on the algorithms being run, the party being billed and other information about the patient’s diagnosis. Revenue was generally recognized based on estimated cash receipts determined by historical and current payment trends. We reported our Algos revenue within our Data and services product line. Beginning January 1, 2023, these three Algos are no longer being billed as individual tests as there is now a dedicated current procedural terminology, or CPT, code associated with the underlying laboratory diagnostic. Instead, we submit claims for the diagnostic, and revenue associated with those claims will be reported in our Genomics product line.</w:t>
      </w:r>
    </w:p>
    <w:p>
      <w:pPr>
        <w:spacing w:after="0" w:line="175"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Through our acquisitions of Mpirik Inc., or Mpirik, and Arterys, Inc., we also have algorithmic solutions in market to identify potential care gaps and identify at-risk patients in cardiology. To date, revenue from these offerings are derived from the institution deploying the solutions.</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While our AI Applications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Strategic Collaborations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AstraZeneca</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2028, unless terminated sooner. The minimum commitment may increase to $320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75"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Under the warrant, AstraZeneca has the right to purchase $100 million in shares of our Class A common stock at an exercise price equal to the price per share at which our common stock is valued in connection with the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1300"/>
          </w:cols>
          <w:pgMar w:left="320" w:top="446" w:right="2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$320 million. See “Business—Operations—Our Strategic Collaboration—AstraZeneca Master Services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GlaxoSmithKline</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Recursion Master Agreement</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7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of Highline Consulting, LLC</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On January 4, 2022, we entered into a Unit Purchase Agreement with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62" w:lineRule="exact"/>
        <w:rPr>
          <w:sz w:val="20"/>
          <w:szCs w:val="20"/>
          <w:color w:val="auto"/>
        </w:rPr>
      </w:pPr>
    </w:p>
    <w:p>
      <w:pPr>
        <w:jc w:val="both"/>
        <w:ind w:right="20" w:firstLine="451"/>
        <w:spacing w:after="0" w:line="288" w:lineRule="auto"/>
        <w:rPr>
          <w:sz w:val="20"/>
          <w:szCs w:val="20"/>
          <w:color w:val="auto"/>
        </w:rPr>
      </w:pPr>
      <w:r>
        <w:rPr>
          <w:rFonts w:ascii="Times New Roman" w:cs="Times New Roman" w:eastAsia="Times New Roman" w:hAnsi="Times New Roman"/>
          <w:sz w:val="17"/>
          <w:szCs w:val="17"/>
          <w:color w:val="auto"/>
        </w:rPr>
        <w:t>We acquired Highline for a purchase price of $35.5 million, subject to customary cash and net working capital adjustments. The contingent payments have been, and will be, recorded pro rata over the two years following the closing within selling, general and administrative expense. In addition, the Sellers are entitled to</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1300"/>
          </w:cols>
          <w:pgMar w:left="320" w:top="446" w:right="2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RSUs with an aggregate value of $4.0 million to be allocated among Highline employees retained by us. The retention bonus pool will be recorded as compensation expense over the requisite service period.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and New Products</w:t>
      </w:r>
    </w:p>
    <w:p>
      <w:pPr>
        <w:spacing w:after="0" w:line="12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$83.2 million and $90.3 million during the years ended December 31, 2022 and 2023, respectively, and $20.9 million and $24.3 million during the three months ended March 31, 2023 and 2024,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Customer Acquisition and Expansion</w:t>
      </w:r>
    </w:p>
    <w:p>
      <w:pPr>
        <w:spacing w:after="0" w:line="12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7,000 physicians and we have worked with over 200 biotech companies, as well as 19 of the 20 largest public pharmaceutical companies based on 2023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Investments in Technology</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$79.1 million and $95.2 million during the years ended December 31, 2022 and 2023, respectively, and $22.9 million and $27.1 million during the three months ended March 31, 2023 and 2024,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1300"/>
          </w:cols>
          <w:pgMar w:left="320" w:top="446" w:right="2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Payer Coverage and Reimbursement</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2023, we had received payment on approximately 50% of our clinical oncology NGS tests across all payors performed from January 1, 2021 through December 31, 2022. We calculated this metric on a trailing basis based on payor adjudication timing. However, we continued to perform our NGS tests through December 31, 2023. For the years ended December 31, 2019, 2020, 2021, 2022 and 2023, our average reimbursement for NGS tests in oncology was approximately $633, $736, $714, $916 and $1,452,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COVID-19 Global Pandemic</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$22.2 million of revenue for the year ended December 31, 2022 and $2.6 million for the three months ended March 31, 2023.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from COVID-19 for the year ended December 31, 2023 and the three months ended March 31, 2024 was $2.7 million and $0 million, respectively, as we stopped offering COVID-19 PCR diagnostic tests in the first quarter of 2023, at which time we shifted resources from COVID-19 testing to other aspects of the business.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currently primarily derive our revenue from two product lines: (1) Genomics and (2) Data and services.</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Genomics</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Data and Services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1300"/>
          </w:cols>
          <w:pgMar w:left="320" w:top="446" w:right="2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Cost and Operating Expenses</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 Our total cost of revenues will also increase in the quarter in which this offering occurs due to stock-based compensation expenses of approximately $18.0 million related to RSUs for which the service-based vesting condition was satisfied and for which the performance-based vesting condition will be satisfied in connection with this offering.</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Revenues, Genomics</w:t>
      </w:r>
    </w:p>
    <w:p>
      <w:pPr>
        <w:spacing w:after="0" w:line="120"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Revenues, Data and Services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 quarter in which this offering occurs due to stock-based compensation expenses of approximately $44.2 million related to RSUs for which the service-based vesting condition was satisfied and for which the performance-based vesting condition will be satisfied in connection with this offering.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Technology Research and Development</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Our technology research and development expense will increase in the quarter in which this offering occurs due to stock-based compensation expenses of approximately $52.6 million related to RSUs for which the service-based vesting condition was satisfied and for which the performance-based vesting condition will be satisfied in connection with this offering.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1300"/>
          </w:cols>
          <w:pgMar w:left="320" w:top="446" w:right="2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47"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 stock-based compensation expenses of approximately $364.1 million related to RSUs for which the service-based vesting condition was satisfied and for which the performance-based vesting condition will be satisfied in connection with this offering and we will continue to record stock-based compensation expenses associated with the vesting of RSUs in the quarter in which such vestings occur following this offering.</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Interest income consists of interest earned on our cash and cash equivalents.</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2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Interest expense consists primarily of interest from our Amended Note and Term Loan Facility (each as defined in “Liquidity and Capital Resources” below), and finance leases. Interest expense related to our convertible debt will continue, but should decrease over time as the principal amount decreases.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Other income (expense), net consists of foreign currency exchange gains and losses, gains and losses on marketable equity securities,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Inc. The fair value of the warrant assets and liabilities are measured each reporting period.</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Earnings (Losses) from Equity Method Investments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Earnings (losses) from equity method investments consist of earnings from our joint venture entered during the third quarter of 2020.</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1300"/>
          </w:cols>
          <w:pgMar w:left="320" w:top="446" w:right="2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the significant components of our results of operations for the periods presented.</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gridSpan w:val="3"/>
          </w:tcPr>
          <w:p>
            <w:pPr>
              <w:jc w:val="right"/>
              <w:ind w:right="318"/>
              <w:spacing w:after="0" w:line="144"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2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880" w:type="dxa"/>
            <w:vAlign w:val="bottom"/>
            <w:gridSpan w:val="3"/>
          </w:tcPr>
          <w:p>
            <w:pPr>
              <w:jc w:val="right"/>
              <w:ind w:right="158"/>
              <w:spacing w:after="0" w:line="14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760" w:type="dxa"/>
            <w:vAlign w:val="bottom"/>
            <w:gridSpan w:val="2"/>
          </w:tcPr>
          <w:p>
            <w:pPr>
              <w:jc w:val="right"/>
              <w:ind w:right="38"/>
              <w:spacing w:after="0" w:line="14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4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Genomics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197,984</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363,022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82,058</w:t>
            </w:r>
          </w:p>
        </w:tc>
        <w:tc>
          <w:tcPr>
            <w:tcW w:w="940" w:type="dxa"/>
            <w:vAlign w:val="bottom"/>
            <w:gridSpan w:val="3"/>
          </w:tcPr>
          <w:p>
            <w:pPr>
              <w:jc w:val="right"/>
              <w:ind w:right="18"/>
              <w:spacing w:after="0"/>
              <w:rPr>
                <w:sz w:val="20"/>
                <w:szCs w:val="20"/>
                <w:color w:val="auto"/>
              </w:rPr>
            </w:pPr>
            <w:r>
              <w:rPr>
                <w:rFonts w:ascii="Times New Roman" w:cs="Times New Roman" w:eastAsia="Times New Roman" w:hAnsi="Times New Roman"/>
                <w:sz w:val="17"/>
                <w:szCs w:val="17"/>
                <w:color w:val="auto"/>
              </w:rPr>
              <w:t>$102,569</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Data and services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122,684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33,566</w:t>
            </w:r>
          </w:p>
        </w:tc>
        <w:tc>
          <w:tcPr>
            <w:tcW w:w="9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43,251</w:t>
            </w:r>
          </w:p>
        </w:tc>
        <w:tc>
          <w:tcPr>
            <w:tcW w:w="0" w:type="dxa"/>
            <w:vAlign w:val="bottom"/>
          </w:tcPr>
          <w:p>
            <w:pPr>
              <w:spacing w:after="0"/>
              <w:rPr>
                <w:sz w:val="1"/>
                <w:szCs w:val="1"/>
                <w:color w:val="auto"/>
              </w:rPr>
            </w:pPr>
          </w:p>
        </w:tc>
      </w:tr>
      <w:tr>
        <w:trPr>
          <w:trHeight w:val="220"/>
        </w:trPr>
        <w:tc>
          <w:tcPr>
            <w:tcW w:w="42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Total net revenue</w:t>
            </w:r>
          </w:p>
        </w:tc>
        <w:tc>
          <w:tcPr>
            <w:tcW w:w="1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320,668</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531,822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115,624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and operating expenses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 of revenues, genomics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150,255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45,280</w:t>
            </w:r>
          </w:p>
        </w:tc>
        <w:tc>
          <w:tcPr>
            <w:tcW w:w="940" w:type="dxa"/>
            <w:vAlign w:val="bottom"/>
            <w:gridSpan w:val="3"/>
          </w:tcPr>
          <w:p>
            <w:pPr>
              <w:jc w:val="right"/>
              <w:ind w:right="18"/>
              <w:spacing w:after="0"/>
              <w:rPr>
                <w:sz w:val="20"/>
                <w:szCs w:val="20"/>
                <w:color w:val="auto"/>
              </w:rPr>
            </w:pPr>
            <w:r>
              <w:rPr>
                <w:rFonts w:ascii="Times New Roman" w:cs="Times New Roman" w:eastAsia="Times New Roman" w:hAnsi="Times New Roman"/>
                <w:sz w:val="17"/>
                <w:szCs w:val="17"/>
                <w:color w:val="auto"/>
              </w:rPr>
              <w:t>52,835</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revenues, data and services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40,227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56,482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11,393</w:t>
            </w:r>
          </w:p>
        </w:tc>
        <w:tc>
          <w:tcPr>
            <w:tcW w:w="9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15,288</w:t>
            </w:r>
          </w:p>
        </w:tc>
        <w:tc>
          <w:tcPr>
            <w:tcW w:w="0" w:type="dxa"/>
            <w:vAlign w:val="bottom"/>
          </w:tcPr>
          <w:p>
            <w:pPr>
              <w:spacing w:after="0"/>
              <w:rPr>
                <w:sz w:val="1"/>
                <w:szCs w:val="1"/>
                <w:color w:val="auto"/>
              </w:rPr>
            </w:pPr>
          </w:p>
        </w:tc>
      </w:tr>
      <w:tr>
        <w:trPr>
          <w:trHeight w:val="209"/>
        </w:trPr>
        <w:tc>
          <w:tcPr>
            <w:tcW w:w="4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Technology research and development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79,093</w:t>
            </w:r>
          </w:p>
        </w:tc>
        <w:tc>
          <w:tcPr>
            <w:tcW w:w="16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95,155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22,902</w:t>
            </w:r>
          </w:p>
        </w:tc>
        <w:tc>
          <w:tcPr>
            <w:tcW w:w="940" w:type="dxa"/>
            <w:vAlign w:val="bottom"/>
            <w:gridSpan w:val="3"/>
          </w:tcPr>
          <w:p>
            <w:pPr>
              <w:jc w:val="right"/>
              <w:ind w:right="18"/>
              <w:spacing w:after="0"/>
              <w:rPr>
                <w:sz w:val="20"/>
                <w:szCs w:val="20"/>
                <w:color w:val="auto"/>
              </w:rPr>
            </w:pPr>
            <w:r>
              <w:rPr>
                <w:rFonts w:ascii="Times New Roman" w:cs="Times New Roman" w:eastAsia="Times New Roman" w:hAnsi="Times New Roman"/>
                <w:sz w:val="17"/>
                <w:szCs w:val="17"/>
                <w:color w:val="auto"/>
              </w:rPr>
              <w:t>27,067</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83,158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90,343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20,863</w:t>
            </w:r>
          </w:p>
        </w:tc>
        <w:tc>
          <w:tcPr>
            <w:tcW w:w="9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24,340</w:t>
            </w:r>
          </w:p>
        </w:tc>
        <w:tc>
          <w:tcPr>
            <w:tcW w:w="0" w:type="dxa"/>
            <w:vAlign w:val="bottom"/>
          </w:tcPr>
          <w:p>
            <w:pPr>
              <w:spacing w:after="0"/>
              <w:rPr>
                <w:sz w:val="1"/>
                <w:szCs w:val="1"/>
                <w:color w:val="auto"/>
              </w:rPr>
            </w:pPr>
          </w:p>
        </w:tc>
      </w:tr>
      <w:tr>
        <w:trPr>
          <w:trHeight w:val="209"/>
        </w:trPr>
        <w:tc>
          <w:tcPr>
            <w:tcW w:w="4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18"/>
              <w:spacing w:after="0"/>
              <w:rPr>
                <w:sz w:val="20"/>
                <w:szCs w:val="20"/>
                <w:color w:val="auto"/>
              </w:rPr>
            </w:pPr>
            <w:r>
              <w:rPr>
                <w:rFonts w:ascii="Times New Roman" w:cs="Times New Roman" w:eastAsia="Times New Roman" w:hAnsi="Times New Roman"/>
                <w:sz w:val="17"/>
                <w:szCs w:val="17"/>
                <w:color w:val="auto"/>
              </w:rPr>
              <w:t>233,377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69,047</w:t>
            </w:r>
          </w:p>
        </w:tc>
        <w:tc>
          <w:tcPr>
            <w:tcW w:w="940" w:type="dxa"/>
            <w:vAlign w:val="bottom"/>
            <w:gridSpan w:val="3"/>
          </w:tcPr>
          <w:p>
            <w:pPr>
              <w:jc w:val="right"/>
              <w:ind w:right="18"/>
              <w:spacing w:after="0"/>
              <w:rPr>
                <w:sz w:val="20"/>
                <w:szCs w:val="20"/>
                <w:color w:val="auto"/>
              </w:rPr>
            </w:pPr>
            <w:r>
              <w:rPr>
                <w:rFonts w:ascii="Times New Roman" w:cs="Times New Roman" w:eastAsia="Times New Roman" w:hAnsi="Times New Roman"/>
                <w:sz w:val="17"/>
                <w:szCs w:val="17"/>
                <w:color w:val="auto"/>
              </w:rPr>
              <w:t>79,564</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Total cost and operating expenses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586,110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7"/>
              </w:rPr>
              <w:t>169,485</w:t>
            </w:r>
          </w:p>
        </w:tc>
        <w:tc>
          <w:tcPr>
            <w:tcW w:w="9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199,094</w:t>
            </w:r>
          </w:p>
        </w:tc>
        <w:tc>
          <w:tcPr>
            <w:tcW w:w="0" w:type="dxa"/>
            <w:vAlign w:val="bottom"/>
          </w:tcPr>
          <w:p>
            <w:pPr>
              <w:spacing w:after="0"/>
              <w:rPr>
                <w:sz w:val="1"/>
                <w:szCs w:val="1"/>
                <w:color w:val="auto"/>
              </w:rPr>
            </w:pPr>
          </w:p>
        </w:tc>
      </w:tr>
      <w:tr>
        <w:trPr>
          <w:trHeight w:val="221"/>
        </w:trPr>
        <w:tc>
          <w:tcPr>
            <w:tcW w:w="4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from operations</w:t>
            </w:r>
          </w:p>
        </w:tc>
        <w:tc>
          <w:tcPr>
            <w:tcW w:w="1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(265,442</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(196,083</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(53,861</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 (53,274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7"/>
                <w:szCs w:val="17"/>
                <w:color w:val="auto"/>
              </w:rPr>
              <w:t>3,032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2,424</w:t>
            </w:r>
          </w:p>
        </w:tc>
        <w:tc>
          <w:tcPr>
            <w:tcW w:w="9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1,031</w:t>
            </w:r>
          </w:p>
        </w:tc>
        <w:tc>
          <w:tcPr>
            <w:tcW w:w="0" w:type="dxa"/>
            <w:vAlign w:val="bottom"/>
          </w:tcPr>
          <w:p>
            <w:pPr>
              <w:spacing w:after="0"/>
              <w:rPr>
                <w:sz w:val="1"/>
                <w:szCs w:val="1"/>
                <w:color w:val="auto"/>
              </w:rPr>
            </w:pPr>
          </w:p>
        </w:tc>
      </w:tr>
      <w:tr>
        <w:trPr>
          <w:trHeight w:val="209"/>
        </w:trPr>
        <w:tc>
          <w:tcPr>
            <w:tcW w:w="4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(21,894)</w:t>
            </w:r>
          </w:p>
        </w:tc>
        <w:tc>
          <w:tcPr>
            <w:tcW w:w="16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(46,869)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(9,191)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(13,238)</w:t>
            </w: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(4,846)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21,822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6,388</w:t>
            </w:r>
          </w:p>
        </w:tc>
        <w:tc>
          <w:tcPr>
            <w:tcW w:w="94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749</w:t>
            </w: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(289,150)</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(213,529)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2"/>
              </w:rPr>
              <w:t>(54,240)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 (64,732)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(66)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9"/>
        </w:trPr>
        <w:tc>
          <w:tcPr>
            <w:tcW w:w="4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Losses from equity method investments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(595)</w:t>
            </w:r>
          </w:p>
        </w:tc>
        <w:tc>
          <w:tcPr>
            <w:tcW w:w="16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(301)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(131)</w:t>
            </w:r>
          </w:p>
        </w:tc>
        <w:tc>
          <w:tcPr>
            <w:tcW w:w="18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rPr>
              <w:t>(289,811)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(214,118)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(54,377)</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(64,743)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March 31, 2023 and 2024</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Total revenue was $115.6 million for the three months ended March 31, 2023 compared to $145.8 million for the three months ended March 31, 2024, an increase of $30.2 million, or 26.1%. The increase in revenue is due to increased volume of clinical oncology tests performed in Genomics and increased data deliveries in our Data and Services product line.</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Genomics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Genomics revenue increased $20.5 million, or 25.0%, from $82.1 million for the three months ended March 31, 2023, compared to $102.6 million for the three months ended March 31, 2024. This increase is primarily due to the increase in the number of oncology NGS tests, which increased from approximately 48,400 tests for the three months ended March 31, 2023 to approximately 62,700 tests for the three months ended March 31, 2024.</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Data and Services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Data and services revenue increased $9.7 million, or 28.9%, from $33.6 million for the three months ended March 31, 2023, compared to $43.3 million for the three months ended March 31, 2024. This increase is driven primarily by approximately $1.0 million in clinical trial services revenue, and approximately $8.5 million from</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1300"/>
          </w:cols>
          <w:pgMar w:left="320" w:top="446" w:right="2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increased demand for our Insights products. Across all Data and services products, the increase in revenue for the three months ended March 31, 2024 is primarily attributable to the adoption of our services by a new customer that began services in the fourth quarter of 2023, as well as continued growth from within our existing customer base.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Cost and Operating Expenses</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Cost of revenues was $56.7 million for the three months ended March 31, 2023 compared to $68.1 million for the three months ended March 31, 2024, an increase of $11.5 million, or 20.2%. This increase was primarily due to an increase of $5.3 million in personnel costs, $2.7 million of material and service costs, and $1.7 million in cloud expenses.</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Cost of Revenues, Genomics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Cost of revenues, Genomics was $45.3 million for the three months ended March 31, 2023, compared to $52.8 million for the three months ended March 31, 2024, an increase of $7.6 million, or 16.7%. This increase was primarily due to an increase of $2.7 million in material and service costs and a $3.7 million increase in personnel costs.</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Cost of Revenues, Data and Services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Cost of revenues, Data and services was $11.4 million for the three months ended March 31, 2023 compared to $15.3 million for the three months ended March 31, 2024, an increase of $3.9 million, or 34.2%. This increase was primarily due to an increase of $1.6 million in personnel costs and an increase of $1.2 million in cloud expenses.</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were $20.9 million for the three months ended March 31, 2023 compared to $24.3 million for the three months ended March 31, 2024, an increase of $3.5 million, or 16.7%. This increase was primarily due to an increase of $2.3 million in personnel-related costs for employees in our research and development group, as we increased our spend and headcount to support continued investment in our technology.</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Technology Research and Development</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Technology research and development expenses were $22.9 million for the three months ended March 31, 2023 compared to $27.1 million for the three months ended March 31, 2024, an increase of $4.2 million, or 18.2%. This increase was primarily due to an increase in personnel-related costs associated with the investment in our cloud infrastructure and new lines of business.</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Selling, general and administrative expenses were $69.0 million for the three months ended March 31, 2023 compared to $79.6 million for the three months ended March 31, 2024, an increase of $10.5 million, or 15.2%. This increase was primarily due to an increase of $3.6 million in personnel-related costs, $1.9 million in software and tools costs, and $3.5 million in cloud storage costs.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22"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Interest income was $2.4 million for the three months ended March 31, 2023 compared to $1.0 million for the three months ended March 31, 2024, a decrease of $1.4 million, or 57.5%. This decrease was primarily due to lower cash on hand as of March 31, 2024 compared to March 31, 2023.</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1300"/>
          </w:cols>
          <w:pgMar w:left="320" w:top="446" w:right="2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22"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Interest expense was $9.2 million for the three months ended March 31, 2023 compared to $13.2 million for the three months ended March 31, 2024, an increase of $4.0 million, or 44.0%. This increase was primarily driven by compounding interest on our Amended Note.</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Other income, net was $6.4 million for the three months ended March 31, 2023, compared to other income, net of $0.7 million for the three months ended March 31, 2024, a decrease of $5.6 million, or 88.3%. This decrease was primarily driven by a decrease of $11.9 million in gains related to fair value adjustments related to our warrant liability and warrant asset, offset by an increase of $6.2 million due to gains on marketable equity securities.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Earnings (Losses) from Equity Method Investments</w:t>
      </w:r>
    </w:p>
    <w:p>
      <w:pPr>
        <w:spacing w:after="0" w:line="122"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We entered into a joint venture in September 2020, which had a loss of $0.1 million and $0 million for the three months ended March 31, 2023 and 2024, respectively. For the three months ended March 31, 2024, losses from equity method investments decreased by $0.1 million, or 100%, compared to the three months ended March 31, 2023. Losses from equity method investments consisted of earnings from our joint venture into which we entered during the third quarter of 2020. All losses from the joint venture have thus been exhausted.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December 31, 2022 and 2023</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2"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Total revenue was $320.7 million for the year ended December 31, 2022 compared to $531.8 million for the year ended December 31, 2023, an increase of $211.2 million, or 65.8%. Adjusted for the impact of COVID-19 PCR testing, revenue increased $230.6 million, or 77.3%, from $298.5 million for the year ended December 31, 2022, compared to $529.1 million for the year ended December 31, 2023. The increase in revenue is due to increased volume and reimbursement of clinical oncology tests performed in Genomics and increased data deliveries in our Data and Services product line.</w:t>
      </w:r>
    </w:p>
    <w:p>
      <w:pPr>
        <w:spacing w:after="0" w:line="2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Genomics</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Genomics revenue increased $165.0 million, or 83.4%, from $198.0 million for the year ended December 31, 2022, compared to $363.0 million for the year ended December 31, 2023. Revenue from COVID-19 PCR testing decreased $19.5 million. This decrease was offset by a $184.5 million increase in Genomics revenue primarily due to an increase in the number of oncology NGS tests, which increased from approximately 148,000 tests for the year ended December 31, 2022 to approximately 218,700 tests for the year ended December 31, 2023. 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prior to January 1, 2023. In the year ended December 31, 2023, we experienced greater success than estimated in prior years when appealing initial denials for claims for our services. Also contributing to the increase was revenue recognized as a result from cash collections in excess of revenue recognized in prior years, which resulted in an increase of $7.6 million to Genomics revenue. The increase in Genomics revenue was offset by an increase of $10.0 million in a revenue reserve recorded for risks of future reversal of consideration associated with certain government payors.</w:t>
      </w:r>
    </w:p>
    <w:p>
      <w:pPr>
        <w:spacing w:after="0" w:line="2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Data and Services</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Data and services increased $46.1 million, or 37.6%, from $122.7 million for the year ended December 31, 2022, compared to $168.8 million for the year ended December 31, 2023. This increase is driven primarily by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1300"/>
          </w:cols>
          <w:pgMar w:left="320" w:top="446" w:right="2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$14.4 million in clinical trial services revenue, and approximately $29.2 million from increased demand for our Insights products. Across all Data and services products, the increase in revenue in 2023 is primarily attributable to continued growth from within our existing customer base, as well continued adoption of our services by new customers that did not purchase services in 2022.</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Cost and Operating Expenses</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Cost of revenues was $190.5 million for the year ended December 31, 2022 compared to $245.6 million for the year ended December 31, 2023, an increase of $55.1 million, or 29.0%. Adjusted for the impact of COVID-19 PCR testing, cost of revenue increased $72.7 million, or 42.4%, from $171.5 million for the year ended December 31, 2022, compared to $244.2 million for the year ended December 31, 2023. This increase was primarily due to an increase of $25.1 million in personnel costs, $24.8 million of material and service costs, and $3.7 million in cloud expenses.</w:t>
      </w:r>
    </w:p>
    <w:p>
      <w:pPr>
        <w:spacing w:after="0" w:line="2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Cost of Revenues, Genomics</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Cost of revenues, Genomics was $150.3 million for the year ended December 31, 2022, compared to $189.2 million for the year ended December 31, 2023, an increase of $38.9 million, or 25.9%. Cost of revenues Genomics, adjusted for the impact of COVID-19 PCR testing, was $131.3 million for the year ended December 31, 2022, compared to $187.7 million for the year ended December 31, 2023, an increase of $56.4 million, or 43.0%. This increase was primarily due to an increase of $24.8 million in material and service costs and a $14.6 million increase in personnel costs. Cost of revenues, Genomics has not increased in line with Genomics revenue due to the change in billing for xR tests. Although billable oncology NGS testing volume increased by approximately 122,800, xR tests were being performed and incurring cost in both years. Inclusive of xR, oncology NGS testing volume would have been approximately 148,000 for the year ended December 31, 2022 compared to 218,700 for the year ended December 31, 2023, an increase of approximately 70,700, which more closely aligns to the increase in Cost of revenues, Genomics.</w:t>
      </w:r>
    </w:p>
    <w:p>
      <w:pPr>
        <w:spacing w:after="0" w:line="2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Cost of Revenues, Data and Services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Cost of revenues, Data and services was $40.2 million for the year ended December 31, 2022 compared to $56.5 million for the year ended December 31, 2023, an increase of $16.3 million, or 40.4%. This increase was primarily due to an increase of $10.5 million in personnel costs and an increase of $2.1 million in cloud expenses.</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were $83.2 million for the year ended December 31, 2022 compared to $90.3 million for the year ended December 31, 2023, an increase of $7.2 million, or 8.6%. This increase was primarily due to an increase in personnel-related costs for employees in our research and development group, as we increased our spend and headcount to support continued investment in our technology.</w:t>
      </w:r>
    </w:p>
    <w:p>
      <w:pPr>
        <w:spacing w:after="0" w:line="2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Technology Research and Development</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Technology research and development expenses were $79.1 million for the year ended December 31, 2022 compared to $95.2 million for the year ended December 31, 2023, an increase of $16.1 million, or 20.3%. This increase was primarily due to an increase in personnel-related costs associated with the investment in our cloud infrastructure and new lines of business.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1300"/>
          </w:cols>
          <w:pgMar w:left="320" w:top="446" w:right="2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120"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Selling, general and administrative expenses were $233.4 million for the year ended December 31, 2022 compared to $296.8 million for the year ended December 31, 2023, an increase of $63.4 million, or 27.2%. This increase was primarily due to an increase of $19.7 million in personnel-related costs, $12.6 million in software and tools costs, $8.8 million in cloud storage costs, $8.6 million in settlement costs, and $3.5 million due to change in fair value of contingent consideration.</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2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Interest income was $3.0 million for the year ended December 31, 2022 compared to $7.6 million for the year ended December 31, 2023, an increase of $4.6 million, or 150.7%. This increase was primarily due to the interest rate increases by the U.S. Federal Reserve.</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Interest expense was $21.9 million for the year ended December 31, 2022 compared to $46.9 million for the year ended December 31, 2023, an increase of $25.0 million, or 114.1%. This increase was primarily driven by compounding interest on our Amended Note and the commencement of interest on the Term Loan Facility in September 2022.</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(Expense) Income, net</w:t>
      </w:r>
    </w:p>
    <w:p>
      <w:pPr>
        <w:spacing w:after="0" w:line="122" w:lineRule="exact"/>
        <w:rPr>
          <w:sz w:val="20"/>
          <w:szCs w:val="20"/>
          <w:color w:val="auto"/>
        </w:rPr>
      </w:pPr>
    </w:p>
    <w:p>
      <w:pPr>
        <w:jc w:val="both"/>
        <w:ind w:right="20" w:firstLine="451"/>
        <w:spacing w:after="0" w:line="273" w:lineRule="auto"/>
        <w:rPr>
          <w:sz w:val="20"/>
          <w:szCs w:val="20"/>
          <w:color w:val="auto"/>
        </w:rPr>
      </w:pPr>
      <w:r>
        <w:rPr>
          <w:rFonts w:ascii="Times New Roman" w:cs="Times New Roman" w:eastAsia="Times New Roman" w:hAnsi="Times New Roman"/>
          <w:sz w:val="17"/>
          <w:szCs w:val="17"/>
          <w:color w:val="auto"/>
        </w:rPr>
        <w:t>Other (expense) income, net was ($4.8) million for the year ended December 31, 2022, compared to other (expense) income, net of $21.8 million for the year ended December 31, 2023, an increase in income of $26.7 million, or 550.3%. This increase was primarily driven by an increase of $12.1 million in gains related to fair value adjustments related to our warrant liability and warrant asset, and an increase of $9.8 million due to unrealized gains on marketable equity securities.</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Earnings (Losses) from Equity Method Investments</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entered into a joint venture in September 2020, which had a loss of $0.6 million and $0.3 million for the years ended December 31, 2022 and 2023, respectively. For the year ended December 31, 2023, losses from equity method investments decreased by an immaterial amount compared to the year ended December 31, 2023. Losses from equity method investments consist of earnings from our joint venture into which we entered during the third quarter of 2020.</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1300"/>
          </w:cols>
          <w:pgMar w:left="320" w:top="446" w:right="2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Quarterly Results of Operations</w:t>
      </w:r>
    </w:p>
    <w:p>
      <w:pPr>
        <w:spacing w:after="0" w:line="12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following table sets forth our unaudited quarterly consolidated statement of operations data for each of the eight quarters in the period ended March 31, 2024.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4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400" w:type="dxa"/>
            <w:vAlign w:val="bottom"/>
          </w:tcPr>
          <w:p>
            <w:pPr>
              <w:spacing w:after="0"/>
              <w:rPr>
                <w:sz w:val="9"/>
                <w:szCs w:val="9"/>
                <w:color w:val="auto"/>
              </w:rPr>
            </w:pPr>
          </w:p>
        </w:tc>
        <w:tc>
          <w:tcPr>
            <w:tcW w:w="760" w:type="dxa"/>
            <w:vAlign w:val="bottom"/>
            <w:gridSpan w:val="2"/>
          </w:tcPr>
          <w:p>
            <w:pPr>
              <w:jc w:val="right"/>
              <w:ind w:right="221"/>
              <w:spacing w:after="0" w:line="104" w:lineRule="exact"/>
              <w:rPr>
                <w:sz w:val="20"/>
                <w:szCs w:val="20"/>
                <w:color w:val="auto"/>
              </w:rPr>
            </w:pPr>
            <w:r>
              <w:rPr>
                <w:rFonts w:ascii="Times New Roman" w:cs="Times New Roman" w:eastAsia="Times New Roman" w:hAnsi="Times New Roman"/>
                <w:sz w:val="12"/>
                <w:szCs w:val="12"/>
                <w:b w:val="1"/>
                <w:bCs w:val="1"/>
                <w:color w:val="auto"/>
              </w:rPr>
              <w:t>June 30,</w:t>
            </w:r>
          </w:p>
        </w:tc>
        <w:tc>
          <w:tcPr>
            <w:tcW w:w="94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4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9"/>
                <w:szCs w:val="9"/>
                <w:color w:val="auto"/>
              </w:rPr>
            </w:pPr>
          </w:p>
        </w:tc>
        <w:tc>
          <w:tcPr>
            <w:tcW w:w="800" w:type="dxa"/>
            <w:vAlign w:val="bottom"/>
            <w:gridSpan w:val="3"/>
          </w:tcPr>
          <w:p>
            <w:pPr>
              <w:jc w:val="right"/>
              <w:ind w:right="201"/>
              <w:spacing w:after="0" w:line="104"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80" w:type="dxa"/>
            <w:vAlign w:val="bottom"/>
          </w:tcPr>
          <w:p>
            <w:pPr>
              <w:spacing w:after="0"/>
              <w:rPr>
                <w:sz w:val="9"/>
                <w:szCs w:val="9"/>
                <w:color w:val="auto"/>
              </w:rPr>
            </w:pPr>
          </w:p>
        </w:tc>
        <w:tc>
          <w:tcPr>
            <w:tcW w:w="640" w:type="dxa"/>
            <w:vAlign w:val="bottom"/>
            <w:gridSpan w:val="2"/>
          </w:tcPr>
          <w:p>
            <w:pPr>
              <w:jc w:val="right"/>
              <w:ind w:right="122"/>
              <w:spacing w:after="0" w:line="104"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80" w:type="dxa"/>
            <w:vAlign w:val="bottom"/>
          </w:tcPr>
          <w:p>
            <w:pPr>
              <w:spacing w:after="0"/>
              <w:rPr>
                <w:sz w:val="9"/>
                <w:szCs w:val="9"/>
                <w:color w:val="auto"/>
              </w:rPr>
            </w:pPr>
          </w:p>
        </w:tc>
        <w:tc>
          <w:tcPr>
            <w:tcW w:w="88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860" w:type="dxa"/>
            <w:vAlign w:val="bottom"/>
            <w:gridSpan w:val="3"/>
          </w:tcPr>
          <w:p>
            <w:pPr>
              <w:jc w:val="right"/>
              <w:ind w:right="101"/>
              <w:spacing w:after="0" w:line="104"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80" w:type="dxa"/>
            <w:vAlign w:val="bottom"/>
          </w:tcPr>
          <w:p>
            <w:pPr>
              <w:spacing w:after="0"/>
              <w:rPr>
                <w:sz w:val="9"/>
                <w:szCs w:val="9"/>
                <w:color w:val="auto"/>
              </w:rPr>
            </w:pPr>
          </w:p>
        </w:tc>
        <w:tc>
          <w:tcPr>
            <w:tcW w:w="720" w:type="dxa"/>
            <w:vAlign w:val="bottom"/>
            <w:gridSpan w:val="2"/>
          </w:tcPr>
          <w:p>
            <w:pPr>
              <w:jc w:val="right"/>
              <w:ind w:right="23"/>
              <w:spacing w:after="0" w:line="104"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4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revenue</w:t>
            </w: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320"/>
              <w:spacing w:after="0" w:line="196" w:lineRule="exact"/>
              <w:rPr>
                <w:sz w:val="20"/>
                <w:szCs w:val="20"/>
                <w:color w:val="auto"/>
              </w:rPr>
            </w:pPr>
            <w:r>
              <w:rPr>
                <w:rFonts w:ascii="Times New Roman" w:cs="Times New Roman" w:eastAsia="Times New Roman" w:hAnsi="Times New Roman"/>
                <w:sz w:val="15"/>
                <w:szCs w:val="15"/>
                <w:color w:val="auto"/>
              </w:rPr>
              <w:t>Genomics</w:t>
            </w:r>
            <w:r>
              <w:rPr>
                <w:rFonts w:ascii="Times New Roman" w:cs="Times New Roman" w:eastAsia="Times New Roman" w:hAnsi="Times New Roman"/>
                <w:sz w:val="22"/>
                <w:szCs w:val="22"/>
                <w:color w:val="auto"/>
                <w:vertAlign w:val="superscript"/>
              </w:rPr>
              <w:t>1</w:t>
            </w:r>
          </w:p>
        </w:tc>
        <w:tc>
          <w:tcPr>
            <w:tcW w:w="7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w w:val="96"/>
              </w:rPr>
              <w:t>$ 47,421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54,732</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57,929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82,058</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91,924</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96,815</w:t>
            </w:r>
          </w:p>
        </w:tc>
        <w:tc>
          <w:tcPr>
            <w:tcW w:w="120" w:type="dxa"/>
            <w:vAlign w:val="bottom"/>
          </w:tcPr>
          <w:p>
            <w:pPr>
              <w:spacing w:after="0"/>
              <w:rPr>
                <w:sz w:val="17"/>
                <w:szCs w:val="17"/>
                <w:color w:val="auto"/>
              </w:rPr>
            </w:pPr>
          </w:p>
        </w:tc>
        <w:tc>
          <w:tcPr>
            <w:tcW w:w="2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92,225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102,569</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Data and services</w:t>
            </w:r>
          </w:p>
        </w:tc>
        <w:tc>
          <w:tcPr>
            <w:tcW w:w="7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26,297</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30,840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42,697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55,499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43,251</w:t>
            </w:r>
          </w:p>
        </w:tc>
        <w:tc>
          <w:tcPr>
            <w:tcW w:w="0" w:type="dxa"/>
            <w:vAlign w:val="bottom"/>
          </w:tcPr>
          <w:p>
            <w:pPr>
              <w:spacing w:after="0"/>
              <w:rPr>
                <w:sz w:val="1"/>
                <w:szCs w:val="1"/>
                <w:color w:val="auto"/>
              </w:rPr>
            </w:pPr>
          </w:p>
        </w:tc>
      </w:tr>
      <w:tr>
        <w:trPr>
          <w:trHeight w:val="199"/>
        </w:trPr>
        <w:tc>
          <w:tcPr>
            <w:tcW w:w="44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net revenue</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$ 73,718</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85,572</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115,624</w:t>
            </w:r>
          </w:p>
        </w:tc>
        <w:tc>
          <w:tcPr>
            <w:tcW w:w="2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132,417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and operating expenses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320"/>
              <w:spacing w:after="0" w:line="196" w:lineRule="exact"/>
              <w:rPr>
                <w:sz w:val="20"/>
                <w:szCs w:val="20"/>
                <w:color w:val="auto"/>
              </w:rPr>
            </w:pPr>
            <w:r>
              <w:rPr>
                <w:rFonts w:ascii="Times New Roman" w:cs="Times New Roman" w:eastAsia="Times New Roman" w:hAnsi="Times New Roman"/>
                <w:sz w:val="15"/>
                <w:szCs w:val="15"/>
                <w:color w:val="auto"/>
              </w:rPr>
              <w:t>Cost of revenues, genomics</w:t>
            </w:r>
            <w:r>
              <w:rPr>
                <w:rFonts w:ascii="Times New Roman" w:cs="Times New Roman" w:eastAsia="Times New Roman" w:hAnsi="Times New Roman"/>
                <w:sz w:val="22"/>
                <w:szCs w:val="22"/>
                <w:color w:val="auto"/>
                <w:vertAlign w:val="superscript"/>
              </w:rPr>
              <w:t>1</w:t>
            </w:r>
          </w:p>
        </w:tc>
        <w:tc>
          <w:tcPr>
            <w:tcW w:w="7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34,266</w:t>
            </w:r>
          </w:p>
        </w:tc>
        <w:tc>
          <w:tcPr>
            <w:tcW w:w="140" w:type="dxa"/>
            <w:vAlign w:val="bottom"/>
          </w:tcPr>
          <w:p>
            <w:pPr>
              <w:spacing w:after="0"/>
              <w:rPr>
                <w:sz w:val="17"/>
                <w:szCs w:val="17"/>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35,402</w:t>
            </w:r>
          </w:p>
        </w:tc>
        <w:tc>
          <w:tcPr>
            <w:tcW w:w="160" w:type="dxa"/>
            <w:vAlign w:val="bottom"/>
          </w:tcPr>
          <w:p>
            <w:pPr>
              <w:spacing w:after="0"/>
              <w:rPr>
                <w:sz w:val="17"/>
                <w:szCs w:val="17"/>
                <w:color w:val="auto"/>
              </w:rPr>
            </w:pP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41,503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50,384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52,835</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revenues, data and services</w:t>
            </w:r>
          </w:p>
        </w:tc>
        <w:tc>
          <w:tcPr>
            <w:tcW w:w="7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10,613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11,102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10,724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11,393</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15,792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15,288</w:t>
            </w:r>
          </w:p>
        </w:tc>
        <w:tc>
          <w:tcPr>
            <w:tcW w:w="0" w:type="dxa"/>
            <w:vAlign w:val="bottom"/>
          </w:tcPr>
          <w:p>
            <w:pPr>
              <w:spacing w:after="0"/>
              <w:rPr>
                <w:sz w:val="1"/>
                <w:szCs w:val="1"/>
                <w:color w:val="auto"/>
              </w:rPr>
            </w:pPr>
          </w:p>
        </w:tc>
      </w:tr>
      <w:tr>
        <w:trPr>
          <w:trHeight w:val="208"/>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(66,557</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(63,178</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(53,861</w:t>
            </w:r>
          </w:p>
        </w:tc>
        <w:tc>
          <w:tcPr>
            <w:tcW w:w="200" w:type="dxa"/>
            <w:vAlign w:val="bottom"/>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(45,138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(44,789</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(52,295</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(53,274)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u w:val="single" w:color="auto"/>
                <w:color w:val="auto"/>
                <w:w w:val="92"/>
              </w:rPr>
              <w:t>$</w:t>
            </w:r>
            <w:r>
              <w:rPr>
                <w:rFonts w:ascii="Times New Roman" w:cs="Times New Roman" w:eastAsia="Times New Roman" w:hAnsi="Times New Roman"/>
                <w:sz w:val="16"/>
                <w:szCs w:val="16"/>
                <w:color w:val="auto"/>
                <w:w w:val="92"/>
              </w:rPr>
              <w:t>(73,691)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(68,545)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8"/>
              </w:rPr>
              <w:t>(54,377)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(55,832)</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(53,426)</w:t>
            </w:r>
          </w:p>
        </w:tc>
        <w:tc>
          <w:tcPr>
            <w:tcW w:w="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(50,483)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(64,743)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line="229" w:lineRule="exact"/>
              <w:rPr>
                <w:sz w:val="20"/>
                <w:szCs w:val="20"/>
                <w:color w:val="auto"/>
              </w:rPr>
            </w:pP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6"/>
                <w:szCs w:val="16"/>
                <w:b w:val="1"/>
                <w:bCs w:val="1"/>
                <w:color w:val="auto"/>
              </w:rPr>
              <w:t>Revenue and cost of revenue from COVID-19 testing</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Genomics</w:t>
            </w:r>
          </w:p>
        </w:tc>
        <w:tc>
          <w:tcPr>
            <w:tcW w:w="7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3,618</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4,891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4,674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4"/>
        </w:trPr>
        <w:tc>
          <w:tcPr>
            <w:tcW w:w="4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revenue, genomics</w:t>
            </w:r>
          </w:p>
        </w:tc>
        <w:tc>
          <w:tcPr>
            <w:tcW w:w="7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3,962</w:t>
            </w:r>
          </w:p>
        </w:tc>
        <w:tc>
          <w:tcPr>
            <w:tcW w:w="140" w:type="dxa"/>
            <w:vAlign w:val="bottom"/>
          </w:tcPr>
          <w:p>
            <w:pPr>
              <w:spacing w:after="0"/>
              <w:rPr>
                <w:sz w:val="17"/>
                <w:szCs w:val="17"/>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2,813</w:t>
            </w:r>
          </w:p>
        </w:tc>
        <w:tc>
          <w:tcPr>
            <w:tcW w:w="160" w:type="dxa"/>
            <w:vAlign w:val="bottom"/>
          </w:tcPr>
          <w:p>
            <w:pPr>
              <w:spacing w:after="0"/>
              <w:rPr>
                <w:sz w:val="17"/>
                <w:szCs w:val="17"/>
                <w:color w:val="auto"/>
              </w:rPr>
            </w:pP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2,169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20" w:right="20" w:hanging="215"/>
        <w:spacing w:after="0" w:line="295" w:lineRule="auto"/>
        <w:tabs>
          <w:tab w:leader="none" w:pos="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change in estimate, $3.1 million of Genomics revenue reflected in the three months ended September 30, 2022 was reclassified to the three months ended June 30, 2022.</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Quarterly Revenue Trends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Revenue from COVID-19 testing has impacted the Genomics revenue line as illustrated in the table above.</w:t>
      </w:r>
    </w:p>
    <w:p>
      <w:pPr>
        <w:spacing w:after="0" w:line="22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Beginning in the second quarter of 2022, we experienced a significant uptick in reimbursement rates from Medicare, which contributed to increased Genomics revenue relative to Cost of revenue, Genomics during the second half of the year.</w:t>
      </w:r>
    </w:p>
    <w:p>
      <w:pPr>
        <w:spacing w:after="0" w:line="147"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which has increased Genomics revenue relative to Cost of revenue, Genomics in 2023.</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Quarterly Costs and Operating Expense Trends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Costs associated with COVID-19 testing has impacted the Cost of revenues, genomics line as illustrated in the table above.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1300"/>
          </w:cols>
          <w:pgMar w:left="320" w:top="446" w:right="2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Cost of revenues, data and services has decreased relative to the increase in Data and services revenue due to continued growth of Insights products, which have a higher margin of approximately 76%, compared to Trials products, which had a margin of approximately 42%, for the year ended December 31, 2023. Insights products had a margin of approximately 73%, compared to Trials products, which had a margin of approximately 42% for the three months ended March 31, 2024.</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To supplement our consolidated financial statements prepared and presented in accordance with accounting principles generally accepted in the United States of America, or GAAP, we use adjusted EBITDA, as described below, to facilitate analysis of our financial and business trends and for internal planning and forecasting purposes.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EBITDA is defined as earnings before interest, taxes, depreciation and amortization. We define adjusted EBITDA as net income (loss), adjusted to exclude</w:t>
      </w:r>
    </w:p>
    <w:p>
      <w:pPr>
        <w:spacing w:after="0" w:line="32" w:lineRule="exact"/>
        <w:rPr>
          <w:sz w:val="20"/>
          <w:szCs w:val="20"/>
          <w:color w:val="auto"/>
        </w:rPr>
      </w:pPr>
    </w:p>
    <w:p>
      <w:pPr>
        <w:jc w:val="both"/>
        <w:ind w:firstLine="5"/>
        <w:spacing w:after="0" w:line="258" w:lineRule="auto"/>
        <w:tabs>
          <w:tab w:leader="none" w:pos="24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income, (ii) interest expense, (iii) depreciation and amortization, (iv) provision for (benefit from) income taxes, (v) losses on equity method investments, (vi) change in fair value of warrant liabilities, contingent consideration and warrant asset, (vii) acquisition-related expenses and (viii) non-capitalizable expenses related to the public listing of our Class A common stock and the settlement of certain historical and potential future disputes.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we have included adjusted EBITDA in this prospectus because it is a key measurement used by our management internally to make operating decisions, including those related to analyzing operating expenses, evaluating performance, and performing strategic planning and annual budgeting.</w:t>
      </w:r>
    </w:p>
    <w:p>
      <w:pPr>
        <w:spacing w:after="0" w:line="180"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55" w:lineRule="exact"/>
        <w:rPr>
          <w:sz w:val="20"/>
          <w:szCs w:val="20"/>
          <w:color w:val="auto"/>
        </w:rPr>
      </w:pPr>
    </w:p>
    <w:p>
      <w:pPr>
        <w:ind w:left="1000" w:hanging="551"/>
        <w:spacing w:after="0"/>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reflect interest income which increases cash available to us;</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depreciation and amortization expense, and although these are non-cash expenses, the assets being depreciated may have to be replaced in the future, increasing our cash requirements;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reflect provision for or benefit from income taxes that reduces cash available to us;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change in fair value of warrant liabilities, contingent consideration and warrant asset.</w:t>
      </w:r>
    </w:p>
    <w:p>
      <w:pPr>
        <w:spacing w:after="0" w:line="223"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pacing w:after="0" w:line="169" w:lineRule="exact"/>
        <w:rPr>
          <w:sz w:val="20"/>
          <w:szCs w:val="20"/>
          <w:color w:val="auto"/>
        </w:rPr>
      </w:pPr>
    </w:p>
    <w:p>
      <w:pPr>
        <w:jc w:val="both"/>
        <w:ind w:right="20" w:firstLine="451"/>
        <w:spacing w:after="0" w:line="267" w:lineRule="auto"/>
        <w:rPr>
          <w:sz w:val="20"/>
          <w:szCs w:val="20"/>
          <w:color w:val="auto"/>
        </w:rPr>
      </w:pPr>
      <w:r>
        <w:rPr>
          <w:rFonts w:ascii="Times New Roman" w:cs="Times New Roman" w:eastAsia="Times New Roman" w:hAnsi="Times New Roman"/>
          <w:sz w:val="17"/>
          <w:szCs w:val="17"/>
          <w:color w:val="auto"/>
        </w:rPr>
        <w:t>The following table summarizes our adjusted EBITDA, along with net loss, the most directly comparable GAAP measure, for each period presented below:</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68"/>
        </w:trPr>
        <w:tc>
          <w:tcPr>
            <w:tcW w:w="3620" w:type="dxa"/>
            <w:vAlign w:val="bottom"/>
          </w:tcPr>
          <w:p>
            <w:pPr>
              <w:spacing w:after="0"/>
              <w:rPr>
                <w:sz w:val="14"/>
                <w:szCs w:val="14"/>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37"/>
        </w:trPr>
        <w:tc>
          <w:tcPr>
            <w:tcW w:w="362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1"/>
              </w:rPr>
              <w:t>$(73,691)</w:t>
            </w: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(68,545)</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(66,285)</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6"/>
              </w:rPr>
              <w:t>$  (54,377)</w:t>
            </w: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87"/>
              </w:rPr>
              <w:t>$(55,832)</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(53,426)</w:t>
            </w: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(50,483)</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3"/>
              </w:rPr>
              <w:t>$  (64,743)</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36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Adjustments: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3620" w:type="dxa"/>
            <w:vAlign w:val="bottom"/>
            <w:shd w:val="clear" w:color="auto" w:fill="CCEEFF"/>
          </w:tcPr>
          <w:p>
            <w:pPr>
              <w:ind w:left="280"/>
              <w:spacing w:after="0" w:line="144" w:lineRule="exact"/>
              <w:rPr>
                <w:sz w:val="20"/>
                <w:szCs w:val="20"/>
                <w:color w:val="auto"/>
              </w:rPr>
            </w:pPr>
            <w:r>
              <w:rPr>
                <w:rFonts w:ascii="Times New Roman" w:cs="Times New Roman" w:eastAsia="Times New Roman" w:hAnsi="Times New Roman"/>
                <w:sz w:val="14"/>
                <w:szCs w:val="14"/>
                <w:color w:val="auto"/>
              </w:rPr>
              <w:t>Interest income</w:t>
            </w:r>
          </w:p>
        </w:tc>
        <w:tc>
          <w:tcPr>
            <w:tcW w:w="800" w:type="dxa"/>
            <w:vAlign w:val="bottom"/>
            <w:gridSpan w:val="2"/>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(147)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(668)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(2,143)</w:t>
            </w:r>
          </w:p>
        </w:tc>
        <w:tc>
          <w:tcPr>
            <w:tcW w:w="1020" w:type="dxa"/>
            <w:vAlign w:val="bottom"/>
            <w:gridSpan w:val="3"/>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(2,424)</w:t>
            </w:r>
          </w:p>
        </w:tc>
        <w:tc>
          <w:tcPr>
            <w:tcW w:w="800" w:type="dxa"/>
            <w:vAlign w:val="bottom"/>
            <w:gridSpan w:val="2"/>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(1,957)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(1,483)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(1,737)</w:t>
            </w:r>
          </w:p>
        </w:tc>
        <w:tc>
          <w:tcPr>
            <w:tcW w:w="84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(1,031)</w:t>
            </w:r>
          </w:p>
        </w:tc>
      </w:tr>
      <w:tr>
        <w:trPr>
          <w:trHeight w:val="144"/>
        </w:trPr>
        <w:tc>
          <w:tcPr>
            <w:tcW w:w="3620" w:type="dxa"/>
            <w:vAlign w:val="bottom"/>
          </w:tcPr>
          <w:p>
            <w:pPr>
              <w:ind w:left="280"/>
              <w:spacing w:after="0" w:line="144" w:lineRule="exact"/>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gridSpan w:val="2"/>
          </w:tcPr>
          <w:p>
            <w:pPr>
              <w:jc w:val="right"/>
              <w:ind w:right="280"/>
              <w:spacing w:after="0" w:line="144" w:lineRule="exact"/>
              <w:rPr>
                <w:sz w:val="20"/>
                <w:szCs w:val="20"/>
                <w:color w:val="auto"/>
              </w:rPr>
            </w:pPr>
            <w:r>
              <w:rPr>
                <w:rFonts w:ascii="Times New Roman" w:cs="Times New Roman" w:eastAsia="Times New Roman" w:hAnsi="Times New Roman"/>
                <w:sz w:val="14"/>
                <w:szCs w:val="14"/>
                <w:color w:val="auto"/>
              </w:rPr>
              <w:t>3,855</w:t>
            </w: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4" w:lineRule="exact"/>
              <w:rPr>
                <w:sz w:val="20"/>
                <w:szCs w:val="20"/>
                <w:color w:val="auto"/>
              </w:rPr>
            </w:pPr>
            <w:r>
              <w:rPr>
                <w:rFonts w:ascii="Times New Roman" w:cs="Times New Roman" w:eastAsia="Times New Roman" w:hAnsi="Times New Roman"/>
                <w:sz w:val="14"/>
                <w:szCs w:val="14"/>
                <w:color w:val="auto"/>
              </w:rPr>
              <w:t>4,526</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9,223</w:t>
            </w:r>
          </w:p>
        </w:tc>
        <w:tc>
          <w:tcPr>
            <w:tcW w:w="1020" w:type="dxa"/>
            <w:vAlign w:val="bottom"/>
            <w:gridSpan w:val="3"/>
          </w:tcPr>
          <w:p>
            <w:pPr>
              <w:jc w:val="right"/>
              <w:ind w:right="280"/>
              <w:spacing w:after="0" w:line="144" w:lineRule="exact"/>
              <w:rPr>
                <w:sz w:val="20"/>
                <w:szCs w:val="20"/>
                <w:color w:val="auto"/>
              </w:rPr>
            </w:pPr>
            <w:r>
              <w:rPr>
                <w:rFonts w:ascii="Times New Roman" w:cs="Times New Roman" w:eastAsia="Times New Roman" w:hAnsi="Times New Roman"/>
                <w:sz w:val="14"/>
                <w:szCs w:val="14"/>
                <w:color w:val="auto"/>
              </w:rPr>
              <w:t>9,191</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11,712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00"/>
              <w:spacing w:after="0" w:line="144" w:lineRule="exact"/>
              <w:rPr>
                <w:sz w:val="20"/>
                <w:szCs w:val="20"/>
                <w:color w:val="auto"/>
              </w:rPr>
            </w:pPr>
            <w:r>
              <w:rPr>
                <w:rFonts w:ascii="Times New Roman" w:cs="Times New Roman" w:eastAsia="Times New Roman" w:hAnsi="Times New Roman"/>
                <w:sz w:val="14"/>
                <w:szCs w:val="14"/>
                <w:color w:val="auto"/>
              </w:rPr>
              <w:t>12,342</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13,624</w:t>
            </w:r>
          </w:p>
        </w:tc>
        <w:tc>
          <w:tcPr>
            <w:tcW w:w="840" w:type="dxa"/>
            <w:vAlign w:val="bottom"/>
            <w:gridSpan w:val="3"/>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13,238</w:t>
            </w:r>
          </w:p>
        </w:tc>
      </w:tr>
      <w:tr>
        <w:trPr>
          <w:trHeight w:val="144"/>
        </w:trPr>
        <w:tc>
          <w:tcPr>
            <w:tcW w:w="3620" w:type="dxa"/>
            <w:vAlign w:val="bottom"/>
            <w:shd w:val="clear" w:color="auto" w:fill="CCEEFF"/>
          </w:tcPr>
          <w:p>
            <w:pPr>
              <w:ind w:left="280"/>
              <w:spacing w:after="0" w:line="144" w:lineRule="exact"/>
              <w:rPr>
                <w:sz w:val="20"/>
                <w:szCs w:val="20"/>
                <w:color w:val="auto"/>
              </w:rPr>
            </w:pPr>
            <w:r>
              <w:rPr>
                <w:rFonts w:ascii="Times New Roman" w:cs="Times New Roman" w:eastAsia="Times New Roman" w:hAnsi="Times New Roman"/>
                <w:sz w:val="14"/>
                <w:szCs w:val="14"/>
                <w:color w:val="auto"/>
              </w:rPr>
              <w:t>Depreciation</w:t>
            </w:r>
          </w:p>
        </w:tc>
        <w:tc>
          <w:tcPr>
            <w:tcW w:w="800" w:type="dxa"/>
            <w:vAlign w:val="bottom"/>
            <w:gridSpan w:val="2"/>
            <w:shd w:val="clear" w:color="auto" w:fill="CCEEFF"/>
          </w:tcPr>
          <w:p>
            <w:pPr>
              <w:jc w:val="right"/>
              <w:ind w:right="280"/>
              <w:spacing w:after="0" w:line="144" w:lineRule="exact"/>
              <w:rPr>
                <w:sz w:val="20"/>
                <w:szCs w:val="20"/>
                <w:color w:val="auto"/>
              </w:rPr>
            </w:pPr>
            <w:r>
              <w:rPr>
                <w:rFonts w:ascii="Times New Roman" w:cs="Times New Roman" w:eastAsia="Times New Roman" w:hAnsi="Times New Roman"/>
                <w:sz w:val="14"/>
                <w:szCs w:val="14"/>
                <w:color w:val="auto"/>
              </w:rPr>
              <w:t>3,891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4" w:lineRule="exact"/>
              <w:rPr>
                <w:sz w:val="20"/>
                <w:szCs w:val="20"/>
                <w:color w:val="auto"/>
              </w:rPr>
            </w:pPr>
            <w:r>
              <w:rPr>
                <w:rFonts w:ascii="Times New Roman" w:cs="Times New Roman" w:eastAsia="Times New Roman" w:hAnsi="Times New Roman"/>
                <w:sz w:val="14"/>
                <w:szCs w:val="14"/>
                <w:color w:val="auto"/>
              </w:rPr>
              <w:t>4,526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4,780</w:t>
            </w:r>
          </w:p>
        </w:tc>
        <w:tc>
          <w:tcPr>
            <w:tcW w:w="1020" w:type="dxa"/>
            <w:vAlign w:val="bottom"/>
            <w:gridSpan w:val="3"/>
            <w:shd w:val="clear" w:color="auto" w:fill="CCEEFF"/>
          </w:tcPr>
          <w:p>
            <w:pPr>
              <w:jc w:val="right"/>
              <w:ind w:right="280"/>
              <w:spacing w:after="0" w:line="144" w:lineRule="exact"/>
              <w:rPr>
                <w:sz w:val="20"/>
                <w:szCs w:val="20"/>
                <w:color w:val="auto"/>
              </w:rPr>
            </w:pPr>
            <w:r>
              <w:rPr>
                <w:rFonts w:ascii="Times New Roman" w:cs="Times New Roman" w:eastAsia="Times New Roman" w:hAnsi="Times New Roman"/>
                <w:sz w:val="14"/>
                <w:szCs w:val="14"/>
                <w:color w:val="auto"/>
              </w:rPr>
              <w:t>5,060</w:t>
            </w:r>
          </w:p>
        </w:tc>
        <w:tc>
          <w:tcPr>
            <w:tcW w:w="800" w:type="dxa"/>
            <w:vAlign w:val="bottom"/>
            <w:gridSpan w:val="2"/>
            <w:shd w:val="clear" w:color="auto" w:fill="CCEEFF"/>
          </w:tcPr>
          <w:p>
            <w:pPr>
              <w:jc w:val="right"/>
              <w:ind w:right="300"/>
              <w:spacing w:after="0" w:line="144" w:lineRule="exact"/>
              <w:rPr>
                <w:sz w:val="20"/>
                <w:szCs w:val="20"/>
                <w:color w:val="auto"/>
              </w:rPr>
            </w:pPr>
            <w:r>
              <w:rPr>
                <w:rFonts w:ascii="Times New Roman" w:cs="Times New Roman" w:eastAsia="Times New Roman" w:hAnsi="Times New Roman"/>
                <w:sz w:val="14"/>
                <w:szCs w:val="14"/>
                <w:color w:val="auto"/>
              </w:rPr>
              <w:t>5,194</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4" w:lineRule="exact"/>
              <w:rPr>
                <w:sz w:val="20"/>
                <w:szCs w:val="20"/>
                <w:color w:val="auto"/>
              </w:rPr>
            </w:pPr>
            <w:r>
              <w:rPr>
                <w:rFonts w:ascii="Times New Roman" w:cs="Times New Roman" w:eastAsia="Times New Roman" w:hAnsi="Times New Roman"/>
                <w:sz w:val="14"/>
                <w:szCs w:val="14"/>
                <w:color w:val="auto"/>
              </w:rPr>
              <w:t>5,404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5,621</w:t>
            </w:r>
          </w:p>
        </w:tc>
        <w:tc>
          <w:tcPr>
            <w:tcW w:w="840" w:type="dxa"/>
            <w:vAlign w:val="bottom"/>
            <w:gridSpan w:val="3"/>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6,269</w:t>
            </w:r>
          </w:p>
        </w:tc>
      </w:tr>
      <w:tr>
        <w:trPr>
          <w:trHeight w:val="182"/>
        </w:trPr>
        <w:tc>
          <w:tcPr>
            <w:tcW w:w="3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3,249</w:t>
            </w:r>
          </w:p>
        </w:tc>
        <w:tc>
          <w:tcPr>
            <w:tcW w:w="18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3,457</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3,469</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2,888</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3,043</w:t>
            </w:r>
          </w:p>
        </w:tc>
        <w:tc>
          <w:tcPr>
            <w:tcW w:w="1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2,920</w:t>
            </w: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2,919</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2,920</w:t>
            </w: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1300"/>
          </w:cols>
          <w:pgMar w:left="320" w:top="446" w:right="2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68"/>
        </w:trPr>
        <w:tc>
          <w:tcPr>
            <w:tcW w:w="362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37"/>
        </w:trPr>
        <w:tc>
          <w:tcPr>
            <w:tcW w:w="3620" w:type="dxa"/>
            <w:vAlign w:val="bottom"/>
            <w:tcBorders>
              <w:top w:val="single" w:sz="8" w:color="CCEEFF"/>
            </w:tcBorders>
            <w:shd w:val="clear" w:color="auto" w:fill="CCEEFF"/>
          </w:tcPr>
          <w:p>
            <w:pPr>
              <w:ind w:left="280"/>
              <w:spacing w:after="0" w:line="137" w:lineRule="exact"/>
              <w:rPr>
                <w:sz w:val="20"/>
                <w:szCs w:val="20"/>
                <w:color w:val="auto"/>
              </w:rPr>
            </w:pPr>
            <w:r>
              <w:rPr>
                <w:rFonts w:ascii="Times New Roman" w:cs="Times New Roman" w:eastAsia="Times New Roman" w:hAnsi="Times New Roman"/>
                <w:sz w:val="14"/>
                <w:szCs w:val="14"/>
                <w:color w:val="auto"/>
              </w:rPr>
              <w:t>Provision for income taxes</w:t>
            </w:r>
          </w:p>
        </w:tc>
        <w:tc>
          <w:tcPr>
            <w:tcW w:w="520" w:type="dxa"/>
            <w:vAlign w:val="bottom"/>
            <w:tcBorders>
              <w:top w:val="single" w:sz="8" w:color="auto"/>
            </w:tcBorders>
            <w:shd w:val="clear" w:color="auto" w:fill="CCEEFF"/>
          </w:tcPr>
          <w:p>
            <w:pPr>
              <w:ind w:left="300"/>
              <w:spacing w:after="0" w:line="137"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7"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500"/>
              <w:spacing w:after="0" w:line="137" w:lineRule="exact"/>
              <w:rPr>
                <w:sz w:val="20"/>
                <w:szCs w:val="20"/>
                <w:color w:val="auto"/>
              </w:rPr>
            </w:pPr>
            <w:r>
              <w:rPr>
                <w:rFonts w:ascii="Times New Roman" w:cs="Times New Roman" w:eastAsia="Times New Roman" w:hAnsi="Times New Roman"/>
                <w:sz w:val="14"/>
                <w:szCs w:val="14"/>
                <w:color w:val="auto"/>
                <w:w w:val="85"/>
              </w:rPr>
              <w:t>66</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w w:val="79"/>
              </w:rPr>
              <w:t>3</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65</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214</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3620" w:type="dxa"/>
            <w:vAlign w:val="bottom"/>
          </w:tcPr>
          <w:p>
            <w:pPr>
              <w:ind w:left="280"/>
              <w:spacing w:after="0" w:line="144" w:lineRule="exact"/>
              <w:rPr>
                <w:sz w:val="20"/>
                <w:szCs w:val="20"/>
                <w:color w:val="auto"/>
              </w:rPr>
            </w:pPr>
            <w:r>
              <w:rPr>
                <w:rFonts w:ascii="Times New Roman" w:cs="Times New Roman" w:eastAsia="Times New Roman" w:hAnsi="Times New Roman"/>
                <w:sz w:val="14"/>
                <w:szCs w:val="14"/>
                <w:color w:val="auto"/>
              </w:rPr>
              <w:t>Losses on equity method investments</w:t>
            </w:r>
          </w:p>
        </w:tc>
        <w:tc>
          <w:tcPr>
            <w:tcW w:w="680" w:type="dxa"/>
            <w:vAlign w:val="bottom"/>
            <w:gridSpan w:val="2"/>
          </w:tcPr>
          <w:p>
            <w:pPr>
              <w:ind w:left="300"/>
              <w:spacing w:after="0" w:line="144"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4" w:lineRule="exact"/>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440"/>
              <w:spacing w:after="0" w:line="144" w:lineRule="exact"/>
              <w:rPr>
                <w:sz w:val="20"/>
                <w:szCs w:val="20"/>
                <w:color w:val="auto"/>
              </w:rPr>
            </w:pPr>
            <w:r>
              <w:rPr>
                <w:rFonts w:ascii="Times New Roman" w:cs="Times New Roman" w:eastAsia="Times New Roman" w:hAnsi="Times New Roman"/>
                <w:sz w:val="14"/>
                <w:szCs w:val="14"/>
                <w:color w:val="auto"/>
              </w:rPr>
              <w:t>131</w:t>
            </w:r>
          </w:p>
        </w:tc>
        <w:tc>
          <w:tcPr>
            <w:tcW w:w="740" w:type="dxa"/>
            <w:vAlign w:val="bottom"/>
            <w:gridSpan w:val="2"/>
          </w:tcPr>
          <w:p>
            <w:pPr>
              <w:ind w:left="520"/>
              <w:spacing w:after="0" w:line="144" w:lineRule="exact"/>
              <w:rPr>
                <w:sz w:val="20"/>
                <w:szCs w:val="20"/>
                <w:color w:val="auto"/>
              </w:rPr>
            </w:pPr>
            <w:r>
              <w:rPr>
                <w:rFonts w:ascii="Times New Roman" w:cs="Times New Roman" w:eastAsia="Times New Roman" w:hAnsi="Times New Roman"/>
                <w:sz w:val="14"/>
                <w:szCs w:val="14"/>
                <w:color w:val="auto"/>
                <w:w w:val="95"/>
              </w:rPr>
              <w:t>131</w:t>
            </w:r>
          </w:p>
        </w:tc>
        <w:tc>
          <w:tcPr>
            <w:tcW w:w="280" w:type="dxa"/>
            <w:vAlign w:val="bottom"/>
          </w:tcPr>
          <w:p>
            <w:pPr>
              <w:spacing w:after="0"/>
              <w:rPr>
                <w:sz w:val="12"/>
                <w:szCs w:val="12"/>
                <w:color w:val="auto"/>
              </w:rPr>
            </w:pPr>
          </w:p>
        </w:tc>
        <w:tc>
          <w:tcPr>
            <w:tcW w:w="50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w w:val="85"/>
              </w:rPr>
              <w:t>170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r>
      <w:tr>
        <w:trPr>
          <w:trHeight w:val="144"/>
        </w:trPr>
        <w:tc>
          <w:tcPr>
            <w:tcW w:w="3620" w:type="dxa"/>
            <w:vAlign w:val="bottom"/>
            <w:shd w:val="clear" w:color="auto" w:fill="CCEEFF"/>
          </w:tcPr>
          <w:p>
            <w:pPr>
              <w:ind w:left="280"/>
              <w:spacing w:after="0" w:line="144"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6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3,200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1,200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line="144" w:lineRule="exact"/>
              <w:rPr>
                <w:sz w:val="20"/>
                <w:szCs w:val="20"/>
                <w:color w:val="auto"/>
              </w:rPr>
            </w:pPr>
            <w:r>
              <w:rPr>
                <w:rFonts w:ascii="Times New Roman" w:cs="Times New Roman" w:eastAsia="Times New Roman" w:hAnsi="Times New Roman"/>
                <w:sz w:val="14"/>
                <w:szCs w:val="14"/>
                <w:color w:val="auto"/>
              </w:rPr>
              <w:t>500</w:t>
            </w:r>
          </w:p>
        </w:tc>
        <w:tc>
          <w:tcPr>
            <w:tcW w:w="1020" w:type="dxa"/>
            <w:vAlign w:val="bottom"/>
            <w:gridSpan w:val="3"/>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(6,400)</w:t>
            </w:r>
          </w:p>
        </w:tc>
        <w:tc>
          <w:tcPr>
            <w:tcW w:w="500" w:type="dxa"/>
            <w:vAlign w:val="bottom"/>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w w:val="85"/>
              </w:rPr>
              <w:t>700</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(2,300)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CEEFF"/>
          </w:tcPr>
          <w:p>
            <w:pPr>
              <w:spacing w:after="0"/>
              <w:rPr>
                <w:sz w:val="12"/>
                <w:szCs w:val="12"/>
                <w:color w:val="auto"/>
              </w:rPr>
            </w:pPr>
          </w:p>
        </w:tc>
      </w:tr>
      <w:tr>
        <w:trPr>
          <w:trHeight w:val="144"/>
        </w:trPr>
        <w:tc>
          <w:tcPr>
            <w:tcW w:w="3620" w:type="dxa"/>
            <w:vAlign w:val="bottom"/>
          </w:tcPr>
          <w:p>
            <w:pPr>
              <w:ind w:left="280"/>
              <w:spacing w:after="0" w:line="144" w:lineRule="exact"/>
              <w:rPr>
                <w:sz w:val="20"/>
                <w:szCs w:val="20"/>
                <w:color w:val="auto"/>
              </w:rPr>
            </w:pPr>
            <w:r>
              <w:rPr>
                <w:rFonts w:ascii="Times New Roman" w:cs="Times New Roman" w:eastAsia="Times New Roman" w:hAnsi="Times New Roman"/>
                <w:sz w:val="14"/>
                <w:szCs w:val="14"/>
                <w:color w:val="auto"/>
              </w:rPr>
              <w:t>Gain on marketable equity securities</w:t>
            </w:r>
          </w:p>
        </w:tc>
        <w:tc>
          <w:tcPr>
            <w:tcW w:w="680" w:type="dxa"/>
            <w:vAlign w:val="bottom"/>
            <w:gridSpan w:val="2"/>
          </w:tcPr>
          <w:p>
            <w:pPr>
              <w:ind w:left="3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4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900" w:type="dxa"/>
            <w:vAlign w:val="bottom"/>
            <w:gridSpan w:val="2"/>
          </w:tcPr>
          <w:p>
            <w:pPr>
              <w:ind w:left="4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3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(9,807)</w:t>
            </w:r>
          </w:p>
        </w:tc>
        <w:tc>
          <w:tcPr>
            <w:tcW w:w="84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(6,246)</w:t>
            </w:r>
          </w:p>
        </w:tc>
      </w:tr>
      <w:tr>
        <w:trPr>
          <w:trHeight w:val="144"/>
        </w:trPr>
        <w:tc>
          <w:tcPr>
            <w:tcW w:w="3620" w:type="dxa"/>
            <w:vAlign w:val="bottom"/>
            <w:shd w:val="clear" w:color="auto" w:fill="CCEEFF"/>
          </w:tcPr>
          <w:p>
            <w:pPr>
              <w:ind w:left="280"/>
              <w:spacing w:after="0" w:line="144" w:lineRule="exact"/>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(1,612)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line="144" w:lineRule="exact"/>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2"/>
                <w:szCs w:val="12"/>
                <w:color w:val="auto"/>
              </w:rPr>
            </w:pPr>
          </w:p>
        </w:tc>
      </w:tr>
      <w:tr>
        <w:trPr>
          <w:trHeight w:val="144"/>
        </w:trPr>
        <w:tc>
          <w:tcPr>
            <w:tcW w:w="3620" w:type="dxa"/>
            <w:vAlign w:val="bottom"/>
          </w:tcPr>
          <w:p>
            <w:pPr>
              <w:ind w:left="280"/>
              <w:spacing w:after="0" w:line="144" w:lineRule="exact"/>
              <w:rPr>
                <w:sz w:val="20"/>
                <w:szCs w:val="20"/>
                <w:color w:val="auto"/>
              </w:rPr>
            </w:pPr>
            <w:r>
              <w:rPr>
                <w:rFonts w:ascii="Times New Roman" w:cs="Times New Roman" w:eastAsia="Times New Roman" w:hAnsi="Times New Roman"/>
                <w:sz w:val="14"/>
                <w:szCs w:val="14"/>
                <w:color w:val="auto"/>
              </w:rPr>
              <w:t>Change in fair value of warrant asset</w:t>
            </w:r>
          </w:p>
        </w:tc>
        <w:tc>
          <w:tcPr>
            <w:tcW w:w="680" w:type="dxa"/>
            <w:vAlign w:val="bottom"/>
            <w:gridSpan w:val="2"/>
          </w:tcPr>
          <w:p>
            <w:pPr>
              <w:ind w:left="3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4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900" w:type="dxa"/>
            <w:vAlign w:val="bottom"/>
            <w:gridSpan w:val="2"/>
          </w:tcPr>
          <w:p>
            <w:pPr>
              <w:ind w:left="4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3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(4,100)</w:t>
            </w:r>
          </w:p>
        </w:tc>
        <w:tc>
          <w:tcPr>
            <w:tcW w:w="840" w:type="dxa"/>
            <w:vAlign w:val="bottom"/>
            <w:gridSpan w:val="3"/>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4,700</w:t>
            </w:r>
          </w:p>
        </w:tc>
      </w:tr>
      <w:tr>
        <w:trPr>
          <w:trHeight w:val="144"/>
        </w:trPr>
        <w:tc>
          <w:tcPr>
            <w:tcW w:w="3620" w:type="dxa"/>
            <w:vAlign w:val="bottom"/>
            <w:shd w:val="clear" w:color="auto" w:fill="CCEEFF"/>
          </w:tcPr>
          <w:p>
            <w:pPr>
              <w:ind w:left="280"/>
              <w:spacing w:after="0" w:line="144" w:lineRule="exact"/>
              <w:rPr>
                <w:sz w:val="20"/>
                <w:szCs w:val="20"/>
                <w:color w:val="auto"/>
              </w:rPr>
            </w:pPr>
            <w:r>
              <w:rPr>
                <w:rFonts w:ascii="Times New Roman" w:cs="Times New Roman" w:eastAsia="Times New Roman" w:hAnsi="Times New Roman"/>
                <w:sz w:val="14"/>
                <w:szCs w:val="14"/>
                <w:color w:val="auto"/>
              </w:rPr>
              <w:t>Settlement costs</w:t>
            </w:r>
            <w:r>
              <w:rPr>
                <w:rFonts w:ascii="Times New Roman" w:cs="Times New Roman" w:eastAsia="Times New Roman" w:hAnsi="Times New Roman"/>
                <w:sz w:val="10"/>
                <w:szCs w:val="10"/>
                <w:color w:val="auto"/>
              </w:rPr>
              <w:t>(1)</w:t>
            </w:r>
          </w:p>
        </w:tc>
        <w:tc>
          <w:tcPr>
            <w:tcW w:w="680" w:type="dxa"/>
            <w:vAlign w:val="bottom"/>
            <w:gridSpan w:val="2"/>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3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8,625</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— </w:t>
            </w:r>
          </w:p>
        </w:tc>
      </w:tr>
      <w:tr>
        <w:trPr>
          <w:trHeight w:val="144"/>
        </w:trPr>
        <w:tc>
          <w:tcPr>
            <w:tcW w:w="3620" w:type="dxa"/>
            <w:vAlign w:val="bottom"/>
          </w:tcPr>
          <w:p>
            <w:pPr>
              <w:ind w:left="280"/>
              <w:spacing w:after="0" w:line="144" w:lineRule="exact"/>
              <w:rPr>
                <w:sz w:val="20"/>
                <w:szCs w:val="20"/>
                <w:color w:val="auto"/>
              </w:rPr>
            </w:pPr>
            <w:r>
              <w:rPr>
                <w:rFonts w:ascii="Times New Roman" w:cs="Times New Roman" w:eastAsia="Times New Roman" w:hAnsi="Times New Roman"/>
                <w:sz w:val="14"/>
                <w:szCs w:val="14"/>
                <w:color w:val="auto"/>
              </w:rPr>
              <w:t>Acquisition related expenses</w:t>
            </w:r>
            <w:r>
              <w:rPr>
                <w:rFonts w:ascii="Times New Roman" w:cs="Times New Roman" w:eastAsia="Times New Roman" w:hAnsi="Times New Roman"/>
                <w:sz w:val="10"/>
                <w:szCs w:val="10"/>
                <w:color w:val="auto"/>
              </w:rPr>
              <w:t>(2)</w:t>
            </w:r>
          </w:p>
        </w:tc>
        <w:tc>
          <w:tcPr>
            <w:tcW w:w="52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60"/>
              <w:spacing w:after="0" w:line="144" w:lineRule="exact"/>
              <w:rPr>
                <w:sz w:val="20"/>
                <w:szCs w:val="20"/>
                <w:color w:val="auto"/>
              </w:rPr>
            </w:pPr>
            <w:r>
              <w:rPr>
                <w:rFonts w:ascii="Times New Roman" w:cs="Times New Roman" w:eastAsia="Times New Roman" w:hAnsi="Times New Roman"/>
                <w:sz w:val="14"/>
                <w:szCs w:val="14"/>
                <w:color w:val="auto"/>
                <w:w w:val="95"/>
              </w:rPr>
              <w:t>475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44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280" w:type="dxa"/>
            <w:vAlign w:val="bottom"/>
          </w:tcPr>
          <w:p>
            <w:pPr>
              <w:spacing w:after="0"/>
              <w:rPr>
                <w:sz w:val="12"/>
                <w:szCs w:val="12"/>
                <w:color w:val="auto"/>
              </w:rPr>
            </w:pPr>
          </w:p>
        </w:tc>
        <w:tc>
          <w:tcPr>
            <w:tcW w:w="500" w:type="dxa"/>
            <w:vAlign w:val="bottom"/>
          </w:tcPr>
          <w:p>
            <w:pPr>
              <w:ind w:left="30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672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(38)</w:t>
            </w:r>
          </w:p>
        </w:tc>
      </w:tr>
      <w:tr>
        <w:trPr>
          <w:trHeight w:val="26"/>
        </w:trPr>
        <w:tc>
          <w:tcPr>
            <w:tcW w:w="36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4"/>
        </w:trPr>
        <w:tc>
          <w:tcPr>
            <w:tcW w:w="36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Adjusted EBITDA (non-GAAP)</w:t>
            </w:r>
          </w:p>
        </w:tc>
        <w:tc>
          <w:tcPr>
            <w:tcW w:w="68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(61,090)</w:t>
            </w:r>
          </w:p>
        </w:tc>
        <w:tc>
          <w:tcPr>
            <w:tcW w:w="30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(54,930)</w:t>
            </w:r>
          </w:p>
        </w:tc>
        <w:tc>
          <w:tcPr>
            <w:tcW w:w="28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220"/>
              <w:spacing w:after="0" w:line="144" w:lineRule="exact"/>
              <w:rPr>
                <w:sz w:val="20"/>
                <w:szCs w:val="20"/>
                <w:color w:val="auto"/>
              </w:rPr>
            </w:pPr>
            <w:r>
              <w:rPr>
                <w:rFonts w:ascii="Times New Roman" w:cs="Times New Roman" w:eastAsia="Times New Roman" w:hAnsi="Times New Roman"/>
                <w:sz w:val="14"/>
                <w:szCs w:val="14"/>
                <w:color w:val="auto"/>
              </w:rPr>
              <w:t>(50,079)</w:t>
            </w:r>
          </w:p>
        </w:tc>
        <w:tc>
          <w:tcPr>
            <w:tcW w:w="1020" w:type="dxa"/>
            <w:vAlign w:val="bottom"/>
            <w:gridSpan w:val="3"/>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  (45,925)</w:t>
            </w:r>
          </w:p>
        </w:tc>
        <w:tc>
          <w:tcPr>
            <w:tcW w:w="8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(36,967)</w:t>
            </w:r>
          </w:p>
        </w:tc>
        <w:tc>
          <w:tcPr>
            <w:tcW w:w="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(36,206)</w:t>
            </w:r>
          </w:p>
        </w:tc>
        <w:tc>
          <w:tcPr>
            <w:tcW w:w="28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(35,124)</w:t>
            </w:r>
          </w:p>
        </w:tc>
        <w:tc>
          <w:tcPr>
            <w:tcW w:w="84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  (43,926)</w:t>
            </w:r>
          </w:p>
        </w:tc>
      </w:tr>
      <w:tr>
        <w:trPr>
          <w:trHeight w:val="20"/>
        </w:trPr>
        <w:tc>
          <w:tcPr>
            <w:tcW w:w="3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0" w:hanging="435"/>
        <w:spacing w:after="0"/>
        <w:tabs>
          <w:tab w:leader="none" w:pos="440" w:val="left"/>
        </w:tabs>
        <w:numPr>
          <w:ilvl w:val="0"/>
          <w:numId w:val="63"/>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Settlement costs for the year ended December 31, 2023 include $0.2 million paid to settle a 2019 payment dispute and $8.5 million in costs accrued related to potential future settlements.</w:t>
      </w:r>
    </w:p>
    <w:p>
      <w:pPr>
        <w:ind w:left="440" w:right="20" w:hanging="435"/>
        <w:spacing w:after="0" w:line="230" w:lineRule="auto"/>
        <w:tabs>
          <w:tab w:leader="none" w:pos="440" w:val="left"/>
        </w:tabs>
        <w:numPr>
          <w:ilvl w:val="0"/>
          <w:numId w:val="63"/>
        </w:numPr>
        <w:rPr>
          <w:rFonts w:ascii="Times New Roman" w:cs="Times New Roman" w:eastAsia="Times New Roman" w:hAnsi="Times New Roman"/>
          <w:sz w:val="10"/>
          <w:szCs w:val="10"/>
          <w:color w:val="auto"/>
        </w:rPr>
      </w:pPr>
      <w:r>
        <w:rPr>
          <w:rFonts w:ascii="Times New Roman" w:cs="Times New Roman" w:eastAsia="Times New Roman" w:hAnsi="Times New Roman"/>
          <w:sz w:val="14"/>
          <w:szCs w:val="14"/>
          <w:color w:val="auto"/>
        </w:rPr>
        <w:t>Acquisition related expenses consist of legal and diligence costs incurred for the acquisitions of Highline and Arterys during the year ended December 31, 2022 and Mpirik and SEngine during the year ended December 31, 2023, as well as fair value impacts of indemnity-related equity for the three months ended March 31,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have incurred significant losses and negative cash flows from operations since our inception, and as of March 31, 2024, we had an accumulated deficit of $1.5 billion.</w:t>
      </w:r>
    </w:p>
    <w:p>
      <w:pPr>
        <w:spacing w:after="0" w:line="147" w:lineRule="exact"/>
        <w:rPr>
          <w:sz w:val="20"/>
          <w:szCs w:val="20"/>
          <w:color w:val="auto"/>
        </w:rPr>
      </w:pPr>
    </w:p>
    <w:p>
      <w:pPr>
        <w:jc w:val="both"/>
        <w:ind w:firstLine="451"/>
        <w:spacing w:after="0" w:line="273" w:lineRule="auto"/>
        <w:rPr>
          <w:sz w:val="20"/>
          <w:szCs w:val="20"/>
          <w:color w:val="auto"/>
        </w:rPr>
      </w:pPr>
      <w:r>
        <w:rPr>
          <w:rFonts w:ascii="Times New Roman" w:cs="Times New Roman" w:eastAsia="Times New Roman" w:hAnsi="Times New Roman"/>
          <w:sz w:val="17"/>
          <w:szCs w:val="17"/>
          <w:color w:val="auto"/>
        </w:rPr>
        <w:t>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37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have funded our operations to date principally from the sale of stock, convertible debt, term debt, and sales of our products. As of March 31, 2024, we had cash, cash equivalents and restricted cash of $80.8 million. On January 4, 2022, we funded through cash on hand, the $35.5 million acquisition of Highline Consulting, LLC (which purchase price was subject to customary cash and net working capital adjustments). From April 18 to April 22, 2022, we sold an aggregate of 1,614,114 shares of our Series G-3 convertible preferred stock at a price per share of $57.3069 for an aggregate purchase price of approximately $92.5 million in private placements to accredited investors. In August 2022, the Company entered into the GSK Agreement, under which GSK has committed to spend a minimum of $180 million, of which $70 million was paid upon execution. In October 2023, we sold an aggregate of 785,245 shares of our Series G-4 preferred stock at a price per share of $57.3069, for an aggregate purchase price of approximately $45.0 million in a private placement to accredited investors. In April 2024, we sold an aggregate of 3,489,981 shares of our Series G-5 convertible preferred stock at a price per share of $57.3069, for an aggregate purchase price of approximately $200.0 million in a private placement to an accredited investor.</w:t>
      </w:r>
    </w:p>
    <w:p>
      <w:pPr>
        <w:spacing w:after="0" w:line="178"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Based on our current business plan, we believe our current cash and cash equivalents, marketable equity securities and anticipated cash flows from operations, inclusive of the approximately $200.0 million proceeds from the sale and issuance of our series G-5 convertible preferred stock in April 2024, will be sufficient to meet our anticipated cash requirements for more than twelve months from the date of this prospectus. We plan to raise additional capital to expand our business, to pursue strategic investments, to take advantage of financing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1300"/>
          </w:cols>
          <w:pgMar w:left="320" w:top="446" w:right="2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47" w:lineRule="exact"/>
        <w:rPr>
          <w:sz w:val="20"/>
          <w:szCs w:val="20"/>
          <w:color w:val="auto"/>
        </w:rPr>
      </w:pPr>
    </w:p>
    <w:p>
      <w:pPr>
        <w:jc w:val="both"/>
        <w:ind w:right="20" w:firstLine="451"/>
        <w:spacing w:after="0" w:line="261" w:lineRule="auto"/>
        <w:rPr>
          <w:sz w:val="20"/>
          <w:szCs w:val="20"/>
          <w:color w:val="auto"/>
        </w:rPr>
      </w:pPr>
      <w:r>
        <w:rPr>
          <w:rFonts w:ascii="Times New Roman" w:cs="Times New Roman" w:eastAsia="Times New Roman" w:hAnsi="Times New Roman"/>
          <w:sz w:val="17"/>
          <w:szCs w:val="17"/>
          <w:color w:val="auto"/>
        </w:rPr>
        <w:t>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prospectus, we will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Series G-3 Financing</w:t>
      </w:r>
    </w:p>
    <w:p>
      <w:pPr>
        <w:spacing w:after="0" w:line="122"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On April 18, 2022, we entered into a stock purchase agreement with certain of our existing investors, including Mr. Lefkofsky, pursuant to which we issued and sold 1,614,114 shares of our Series G-3 preferred stock at a price per share of $57.3069, for an aggregate purchase price of approximately $92.5 million, or the Series G-3 Financing. The terms of our Series G-3 preferred stock provide that in the event of an initial public offering of our common stock, occurring after June 30, 2023, each share of Series G-3 preferred stock would be converted into a number of shares of our Class A common stock equal to (i) $57.3069 per share, plus any accrued and unpaid dividends on such share divided by (ii) the lesser of (a) $51.5762 and (b) 85% of the public offering price in this offering. Based on an assumed initial public offering price of $36.00 per share, which is the midpoint of the estimated price range set forth on the cover page of this prospectus, all of the shares of Series G-3 preferred stock will convert into an aggregate of 3,236,829 shares of our Class A common stock in connection with this offering. Each $1.00 increase in the assumed initial public offering price of $36.00 per share, which is the midpoint of the estimated price range set forth on the cover page of this prospectus, would decrease the number of shares of Class A common stock into which all shares of Series G-3 preferred stock would convert in connection with this offering by approximately 87,482 shares. Each $1.00 decrease in the assumed initial public offering price of $36.00 per share, which is the midpoint of the estimated price range set forth on the cover page of this prospectus would increase the number of shares of Class A common stock into which all shares of Series G-3 preferred stock would convert in connection with this offering by approximately 92,480 shares. In addition, in connection with the Series G-3 Financing, we agreed to issue to a stockholder a contingent payment of up to $9.0 million in shares of Class A common stock, assuming an initial public offering price of $36.00 per share, which is the midpoint of the estimated price range set forth on the cover page of this prospectus, which payment may be made in cash or shares of Class A common stock, upon mutual agreement of us and the stockholder.</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Series G-4 Financing</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On October 11, 2023, we entered into a stock purchase agreement with certain investors, pursuant to which we issued and sold 785,245 shares of our Series G-4 preferred stock at a price per share of $57.3069, for an aggregate purchase price of approximately $45.0 million, or the Series G-4 Financing. As part of the Series G-4 Financing, we may sell up to an additional 2,704,736 shares of Series G-4 preferred stock through January 9, 2024. The terms of our Series G-4 preferred stock provide that in the event of an initial public offering of our Class A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in this offering. Based on an assumed initial public offering price of $36.00 per share, which is the midpoint of the estimated price range set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1300"/>
          </w:cols>
          <w:pgMar w:left="320" w:top="446" w:right="2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forth on the cover page of this prospectus, all of the shares of Series G-4 preferred stock will convert into an aggregate of 1,490,562 shares of our Class A common stock in connection with this offering. Each $1.00 increase in the assumed initial public offering price of $36.00 per share, which is the midpoint of the estimated price range set forth on the cover page of this prospectus, would decrease the number of shares of Class A common stock into which all shares of Series G-4 preferred stock would convert in connection with this offering by approximately 40,286 shares. Each $1.00 decrease in the assumed public offering price of $36.00 per share, which is the midpoint of the estimated price range set forth on the cover page of this prospectus, would increase the number of shares of Class A common stock into which all shares of Series G-4 preferred stock would convert in connection with this offering by approximately 42,587 shares.</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addition, we agreed to pay to each purchaser in the Series G-4 Financing an amount equal to 5% of the per share price for each share of Series G-4 preferred stock purchased by such purchaser,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purchasers within 30 days following this offering.</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Series G-5 Financing</w:t>
      </w:r>
    </w:p>
    <w:p>
      <w:pPr>
        <w:spacing w:after="0" w:line="12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On April 30, 2024, we entered into a stock purchase agreement with an investor affiliated with SoftBank Group Corporation, or SoftBank, pursuant to which we issued and sold 3,489,981 shares of our Series G-5 convertible preferred stock at a price per share of $57.3069, for an aggregate purchase price of approximately $200.0 million. The terms of our Series G-5 convertible preferred stock provide that in the event of an initial public offering of our Class A common stock, each share of Series G-5 convertible preferred stock would be converted into a number of shares of our Class A common stock equal to (i) $57.3069 per share, plus any accrued and unpaid dividends on such share, divided by (ii) the lesser of (a) $51.5762 and (b) 90% of the public offering price in this offering. Based on an assumed initial public offering price of $36.00 per share, which is the midpoint of the estimated price range set forth on the cover page of this prospectus, all of the shares of Series G-5 convertible preferred stock will convert into an aggregate of 6,172,839 shares of our Class A common stock in connection with this offering. Each $1.00 increase in the assumed initial public offering price of $36.00 per share, which is the midpoint of the estimated price range set forth on the cover page of this prospectus, would decrease the number of shares of Class A common stock into which all shares of Series G-5 convertible preferred stock would convert in connection with this offering by approximately 166,833 shares. Each $1.00 decrease in the assumed public offering price of $36.00 per share, which is the midpoint of the estimated price range set forth on the cover page of this prospectus, would increase the number of shares of Class A common stock into which all shares of Series G-5 preferred stock would convert in connection with this offering by approximately 176,367 shares.</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Term Loan Facility</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On September 22, 2022, we entered into a Credit Agreement with Ares Capital Corporation, or Ares, for a senior secured loan, or Term Loan Facility, in the amount of $175 million, less original issue discount of $4.4 million and deferred financing fees of $2.6 million. On April 25, 2023, we entered into an amendment to the Credit Agreement, which increased the aggregate principal amount of the Term Loan Facility by an additional $50 million, less original issue discount of $1.3 million, and increased the interest rate on the Term Loan Facility by 25 basis points. On October 11, 2023, we entered into a second amendment to the Credit Agreement, which increased the aggregate principal amount of the Term Loan Facility by an additional $35 million, less original issue discount of $0.9 million. Terms of the second amendment are consistent with those of the first amendment. Interest on the Term Loan Facility is payable as follows: (i) for any interest period for which we elect to pay interest in cash, the cash interest rate for Base Rate and Term SOFR borrowings will be the Base Rate plus 6.25% and Term SOFR plus 7.25%, respectively, and (ii) for any interest period for which we elect to pay interest in kind, the cash interest rate for Base Rate and Term SOFR borrowings will be the Base Rate plus 4% and Term SOFR plus 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1300"/>
          </w:cols>
          <w:pgMar w:left="320" w:top="446" w:right="2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respectively, and the paid-in-kind interest rate will be 3.25%.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us and secured by substantially all of our assets. We have the right at any time and from time to time to prepay any Term Loan Facility in whole or in part.</w:t>
      </w:r>
    </w:p>
    <w:p>
      <w:pPr>
        <w:spacing w:after="0" w:line="16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we are required to generate consolidated revenues of $459.1 million and $594.1 million, respectively. We were in compliance with the covenants of the Credit Agreement as of March 31, 2024.</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Convertible Promissory Note</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69"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75"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20" w:type="dxa"/>
            <w:vAlign w:val="bottom"/>
          </w:tcPr>
          <w:p>
            <w:pPr>
              <w:spacing w:after="0"/>
              <w:rPr>
                <w:sz w:val="13"/>
                <w:szCs w:val="13"/>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37"/>
        </w:trPr>
        <w:tc>
          <w:tcPr>
            <w:tcW w:w="4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3"/>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3"/>
          </w:tcPr>
          <w:p>
            <w:pPr>
              <w:jc w:val="center"/>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97"/>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(168,204)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(214,339)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99"/>
              </w:rPr>
              <w:t>(66,262)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(101,378)</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(57,939)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(40,313)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7"/>
                <w:szCs w:val="17"/>
                <w:color w:val="auto"/>
              </w:rPr>
              <w:t>(9,095)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16,990</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251,391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117,547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(3,785)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(1,378)</w:t>
            </w:r>
          </w:p>
        </w:tc>
        <w:tc>
          <w:tcPr>
            <w:tcW w:w="0" w:type="dxa"/>
            <w:vAlign w:val="bottom"/>
          </w:tcPr>
          <w:p>
            <w:pPr>
              <w:spacing w:after="0"/>
              <w:rPr>
                <w:sz w:val="1"/>
                <w:szCs w:val="1"/>
                <w:color w:val="auto"/>
              </w:rPr>
            </w:pPr>
          </w:p>
        </w:tc>
      </w:tr>
      <w:tr>
        <w:trPr>
          <w:trHeight w:val="353"/>
        </w:trPr>
        <w:tc>
          <w:tcPr>
            <w:tcW w:w="4080" w:type="dxa"/>
            <w:vAlign w:val="bottom"/>
          </w:tcPr>
          <w:p>
            <w:pPr>
              <w:spacing w:after="0"/>
              <w:rPr>
                <w:sz w:val="24"/>
                <w:szCs w:val="24"/>
                <w:color w:val="auto"/>
              </w:rPr>
            </w:pPr>
          </w:p>
        </w:tc>
        <w:tc>
          <w:tcPr>
            <w:tcW w:w="166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446" w:right="2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Cash used in operating activities during the three months ended March 31, 2023 was $66.3 million, which resulted from a net loss of $54.4 million and a net change in our operating assets and liabilities of $25.7 million, offset by non-cash charges of $13.8 million. Non-cash charges primarily consisted of $7.9 million of depreciation and amortization, $7.4 million due to impairment of intangible assets, $1.7 million of non-cash operating lease costs, amortization of the warrant contract asset of $1.7 million, and a decrease in the fair value of the warrant liability of $6.4 million. The net change in our operating assets and liabilities was primarily the result of a $9.7 million increase in accounts receivable and a $3.8 million decrease in deferred revenue.</w:t>
      </w:r>
    </w:p>
    <w:p>
      <w:pPr>
        <w:spacing w:after="0" w:line="17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Cash used in operating activities during the three months ended March 31, 2024 was $101.4 million, which resulted from a net loss of $64.7 million and a net change in our operating assets and liabilities of $51.1 million, offset by non-cash charges of $14.5 million. Non-cash charges primarily consisted of $9.2 million of depreciation and amortization, $1.7 million of non-cash operating lease costs, amortization of the warrant contract asset of $1.2 million, $6.2 million due to gain on marketable equity securities, and a decrease in the fair value of the warrant asset of $4.7 million. The net change in our operating assets and liabilities was primarily the result of a $13.6 million increase in accounts receivable and a $16.0 million decrease in deferred revenue.</w:t>
      </w:r>
    </w:p>
    <w:p>
      <w:pPr>
        <w:spacing w:after="0" w:line="17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Cash used in operating activities during the year ended December 31, 2022 was $168.2 million, which resulted from a net loss of $289.8 million, offset by a net change in our operating assets and liabilities of $71.8 million and non-cash charges of $49.8 million. Non-cash charges primarily consisted of $30.0 million of depreciation and amortization, $6.4 million of non-cash operating lease costs, amortization of the warrant asset of $4.7 million, an increase in the fair value of the warrant liability of $4.7 million, and a decrease in the fair value of contingent consideration of $3.7 million. The net change in our operating assets and liabilities was primarily the result of a $67.6 million increase in deferred revenue.</w:t>
      </w:r>
    </w:p>
    <w:p>
      <w:pPr>
        <w:spacing w:after="0" w:line="17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Cash used in operating activities during the year ended December 31, 2023 was $214.3 million, which resulted from a net loss of $214.1 million and a net change in our operating assets and liabilities of $37.8 million, offset by non-cash charges of $37.6 million. Non-cash charges primarily consisted of $33.0 million of depreciation and amortization, $6.8 million of non-cash operating lease costs, $7.4 million due to impairment of intangible assets, amortization of the warrant contract asset of $5.2 million, $9.8 million due to unrealized gains on marketable equity securities, and a decrease in the fair value of the warrant liability of $8.0 million. The net change in our operating assets and liabilities was primarily the result of a $26.4 million decrease in deferred revenue.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during the three months ended March 31, 2023 was $9.1 million, which resulted from $2.9 million related to the cash paid for business combinations, and purchases of property and equipment of $6.2 million.</w:t>
      </w:r>
    </w:p>
    <w:p>
      <w:pPr>
        <w:spacing w:after="0" w:line="147"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Cash provided by investing activities during the three months ended March 31, 2024 was $17.0 million, which was the result of proceeds from sale of marketable equity securities of $23.1 million, offset by purchases of property and equipment of $6.1 million, which related primarily to the expansion of our Chicago office for additional laboratory space.</w:t>
      </w:r>
    </w:p>
    <w:p>
      <w:pPr>
        <w:spacing w:after="0" w:line="162"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during the year ended December 31, 2022 was $57.9 million, which resulted from $35.0 million related to the Highline Acquisition, and purchases of property and equipment of $18.4 million.</w:t>
      </w:r>
    </w:p>
    <w:p>
      <w:pPr>
        <w:spacing w:after="0" w:line="147" w:lineRule="exact"/>
        <w:rPr>
          <w:sz w:val="20"/>
          <w:szCs w:val="20"/>
          <w:color w:val="auto"/>
        </w:rPr>
      </w:pPr>
    </w:p>
    <w:p>
      <w:pPr>
        <w:jc w:val="both"/>
        <w:ind w:firstLine="451"/>
        <w:spacing w:after="0" w:line="288" w:lineRule="auto"/>
        <w:rPr>
          <w:sz w:val="20"/>
          <w:szCs w:val="20"/>
          <w:color w:val="auto"/>
        </w:rPr>
      </w:pPr>
      <w:r>
        <w:rPr>
          <w:rFonts w:ascii="Times New Roman" w:cs="Times New Roman" w:eastAsia="Times New Roman" w:hAnsi="Times New Roman"/>
          <w:sz w:val="17"/>
          <w:szCs w:val="17"/>
          <w:color w:val="auto"/>
        </w:rPr>
        <w:t>Cash used in investing activities during the year ended December 31, 2023 was $40.3 million, which was the result of purchases of property and equipment of $34.6 million, which related primarily to the expansion of the Chicago office for additional lab space, and $5.7 million related to cash paid for business combinations.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1300"/>
          </w:cols>
          <w:pgMar w:left="320" w:top="446" w:right="2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Cash used in financing activities during the three months ended March 31, 2023 was $3.8 million, which was primarily due to a $3.6 million in purchase of treasury stock.</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Cash used in financing activities during the three months ended March 31, 2024 was $1.4 million, which was primarily due to $0.8 million in payment for an indemnity holdback related to an acquisition and $0.6 million due to payments for deferred offering costs.</w:t>
      </w:r>
    </w:p>
    <w:p>
      <w:pPr>
        <w:spacing w:after="0" w:line="147"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Cash provided by financing activities during the year ended December 31, 2022 was $251.4 million which was primarily due to net proceeds of $170.6 million from the Term Loan Facility with Ares and $92.2 million in net proceeds from the issuance of convertible preferred stock, offset by $5.6 million of dividend payments, $2.9 million in payments for deferred offering costs, and $2.6 million in payments for deferred financing fees.</w:t>
      </w:r>
    </w:p>
    <w:p>
      <w:pPr>
        <w:spacing w:after="0" w:line="16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Cash provided by financing activities during the year ended December 31, 2023 was $117.5 million, which was primarily due to net proceeds of $82.9 million from the Term Loan Facility with Ares and $44.9 million in net proceeds from the issuance of convertible preferred stock, offset by $5.6 million of dividend payments and $3.6 million in purchase of treasury stock.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20"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our contractually committed future obligations as of December 31, 2023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4"/>
              </w:rPr>
              <w:t>Less than</w:t>
            </w: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More than 5 years</w:t>
            </w:r>
          </w:p>
        </w:tc>
        <w:tc>
          <w:tcPr>
            <w:tcW w:w="0" w:type="dxa"/>
            <w:vAlign w:val="bottom"/>
          </w:tcPr>
          <w:p>
            <w:pPr>
              <w:spacing w:after="0"/>
              <w:rPr>
                <w:sz w:val="1"/>
                <w:szCs w:val="1"/>
                <w:color w:val="auto"/>
              </w:rPr>
            </w:pPr>
          </w:p>
        </w:tc>
      </w:tr>
      <w:tr>
        <w:trPr>
          <w:trHeight w:val="168"/>
        </w:trPr>
        <w:tc>
          <w:tcPr>
            <w:tcW w:w="6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47,981</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6,774</w:t>
            </w: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16,705</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15,770</w:t>
            </w:r>
          </w:p>
        </w:tc>
        <w:tc>
          <w:tcPr>
            <w:tcW w:w="3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Purchase obligations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113,497</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42,080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67,588</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3,829</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Loan Facility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263,587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263,587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5"/>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Promissory Note*</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248,445</w:t>
            </w:r>
          </w:p>
        </w:tc>
        <w:tc>
          <w:tcPr>
            <w:tcW w:w="3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248,445</w:t>
            </w:r>
          </w:p>
        </w:tc>
        <w:tc>
          <w:tcPr>
            <w:tcW w:w="3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673,510</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48,854</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332,738</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283,186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8,732</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Includes $55,321 of interest payable.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1300"/>
          </w:cols>
          <w:pgMar w:left="320" w:top="446" w:right="2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2"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derive Genomics revenue from selling lab services to physicians, academic research institutions, and other parties. We also derive Data and services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60"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color w:val="auto"/>
        </w:rPr>
        <w:t xml:space="preserve">We account for our revenue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Genomics</w:t>
      </w:r>
    </w:p>
    <w:p>
      <w:pPr>
        <w:spacing w:after="0" w:line="12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47"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2"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47"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for the quarter in which this offering is consumated. As of March 31, 2024 there was $555.0 million of unrecognized stock-based compensation expense.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1300"/>
          </w:cols>
          <w:pgMar w:left="320" w:top="446" w:right="2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Common Stock Valuations</w:t>
      </w:r>
    </w:p>
    <w:p>
      <w:pPr>
        <w:spacing w:after="0" w:line="12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82" w:lineRule="exact"/>
        <w:rPr>
          <w:sz w:val="20"/>
          <w:szCs w:val="20"/>
          <w:color w:val="auto"/>
        </w:rPr>
      </w:pPr>
    </w:p>
    <w:p>
      <w:pPr>
        <w:ind w:left="1000" w:hanging="551"/>
        <w:spacing w:after="0"/>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contemporaneous valuations performed by independent third-party specialists;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rights, preferences and privileges of our redeemable convertible preferred stock relative to those of our common stock;</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of common or preferred stock sold to third-party investors by us and in secondary transactions or repurchased by us in arms-length transactions;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marketability of our common stock;</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operating and financial performance;</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business conditions and projections;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likelihood of achieving a liquidity event, such as an initial public offering or a merger or acquisition of our company given prevailing market conditions;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performance of comparable publicly traded companies;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and global capital market conditions.</w:t>
      </w:r>
    </w:p>
    <w:p>
      <w:pPr>
        <w:spacing w:after="0" w:line="22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69"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Following the formal approval by our board of directors of a plan for our company to pursue an initial public offering, from the second quarter of 2021 through the first quarter of 2022, we used a probability-weighted expected return method, or PWERM, which involves the estimation of multiple future potential outcomes, and estimates of the probability of each potential outcome. From the second quarter of 2022 through the second quarter of 2023, in response to volatile market conditions and the resulting uncertainty around the timing of a liquidity event, we changed our valuation methodology back to an OPM. Beginning in the third quarter of 2023, as a result of improving market conditions, we switched back to a PWERM. The per share value of our common stock is ultimately based upon probability-weighted per share values resulting from the various future scenarios, which include an initial public offering, merger or sale or continued operation as a private company.</w:t>
      </w:r>
    </w:p>
    <w:p>
      <w:pPr>
        <w:spacing w:after="0" w:line="178"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1300"/>
          </w:cols>
          <w:pgMar w:left="320" w:top="446" w:right="2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events. Changes in any or all of these estimates and assumptions or the relationships between those assumptions affect our valuations as of each valuation date and may have a material impact on the valuation of our common stock.</w:t>
      </w:r>
    </w:p>
    <w:p>
      <w:pPr>
        <w:spacing w:after="0" w:line="147"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For valuations after the completion of this offering,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62"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In connection with this offering, we expect to incur approximately $478.9 million of stock-based compensation expense related to RSUs granted through March 31, 2024, for which the service-based vesting condition will be satisfied as of June 14, 2024 and for which the performance-based vesting condition will be satisfied in connection with this offering. In addition, based on RSUs outstanding as of March 31, 2024, we expect to recognize approximately $46.0 million of additional stock-based compensation expense related to these awards during the next twelve months.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2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are exposed to market risk for changes in interest rates related primarily to our cash, cash equivalents and restricted cash, and our indebtedness. As of March 31, 2024, we had cash, cash equivalents and restricted cash of $80.8 million held primarily in cash deposits and money market funds.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12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majority of our revenue is generated in the United States. Through March 31, 2024,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March 31, 2024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122"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JOBS Act Accounting Election</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See the section titled “Summary of Significant Accounting Policies” in Note 2 to our consolidated financial statements included elsewhere in this prospectus for more information.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1300"/>
          </w:cols>
          <w:pgMar w:left="320" w:top="446" w:right="2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73"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6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7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neuropsychiatry,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7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73" w:lineRule="exact"/>
        <w:rPr>
          <w:sz w:val="20"/>
          <w:szCs w:val="20"/>
          <w:color w:val="auto"/>
        </w:rPr>
      </w:pPr>
    </w:p>
    <w:p>
      <w:pPr>
        <w:jc w:val="both"/>
        <w:ind w:firstLine="451"/>
        <w:spacing w:after="0" w:line="288" w:lineRule="auto"/>
        <w:rPr>
          <w:sz w:val="20"/>
          <w:szCs w:val="20"/>
          <w:color w:val="auto"/>
        </w:rPr>
      </w:pPr>
      <w:r>
        <w:rPr>
          <w:rFonts w:ascii="Times New Roman" w:cs="Times New Roman" w:eastAsia="Times New Roman" w:hAnsi="Times New Roman"/>
          <w:sz w:val="17"/>
          <w:szCs w:val="17"/>
          <w:color w:val="auto"/>
        </w:rPr>
        <w:t>Our Platform includes proprietary software and dedicated data pipelines that create a network of healthcare institutions through approximately 450 unique data connections, many of which supply us with complex multimodal data in near real time, across more than 2,000 healthcare institutions that order our products and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1300"/>
          </w:cols>
          <w:pgMar w:left="320" w:top="446" w:right="2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75"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7"/>
          <w:szCs w:val="17"/>
          <w:i w:val="1"/>
          <w:iCs w:val="1"/>
          <w:color w:val="auto"/>
        </w:rPr>
        <w:t>Genomics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Data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AI Applications or Algos.</w:t>
      </w:r>
      <w:r>
        <w:rPr>
          <w:rFonts w:ascii="Times New Roman" w:cs="Times New Roman" w:eastAsia="Times New Roman" w:hAnsi="Times New Roman"/>
          <w:sz w:val="17"/>
          <w:szCs w:val="17"/>
          <w:color w:val="auto"/>
        </w:rPr>
        <w:t xml:space="preserve">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138430</wp:posOffset>
            </wp:positionV>
            <wp:extent cx="6971030" cy="28549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71030" cy="285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i w:val="1"/>
          <w:iCs w:val="1"/>
          <w:color w:val="auto"/>
        </w:rPr>
        <w:t>Genomics</w:t>
      </w:r>
      <w:r>
        <w:rPr>
          <w:rFonts w:ascii="Times New Roman" w:cs="Times New Roman" w:eastAsia="Times New Roman" w:hAnsi="Times New Roman"/>
          <w:sz w:val="17"/>
          <w:szCs w:val="17"/>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7"/>
          <w:szCs w:val="17"/>
          <w:i w:val="1"/>
          <w:iCs w:val="1"/>
          <w:color w:val="auto"/>
        </w:rPr>
        <w:t>Data and Services</w:t>
      </w:r>
      <w:r>
        <w:rPr>
          <w:rFonts w:ascii="Times New Roman" w:cs="Times New Roman" w:eastAsia="Times New Roman" w:hAnsi="Times New Roman"/>
          <w:sz w:val="17"/>
          <w:szCs w:val="17"/>
          <w:color w:val="auto"/>
        </w:rPr>
        <w:t xml:space="preserve"> product line facilitates drug discovery and development for life sciences companies through two primary products, Insights and Trials. Through our Insights product, we license de-identified libraries of linked clinical, molecular, and imaging data and provide a suite of analytic and cloud-and-compute tools to pharmaceutical and biotechnology companies. Our second product within our Data and Services product line, </w:t>
      </w:r>
      <w:r>
        <w:rPr>
          <w:rFonts w:ascii="Times New Roman" w:cs="Times New Roman" w:eastAsia="Times New Roman" w:hAnsi="Times New Roman"/>
          <w:sz w:val="17"/>
          <w:szCs w:val="17"/>
          <w:i w:val="1"/>
          <w:iCs w:val="1"/>
          <w:color w:val="auto"/>
        </w:rPr>
        <w:t>Trials</w:t>
      </w:r>
      <w:r>
        <w:rPr>
          <w:rFonts w:ascii="Times New Roman" w:cs="Times New Roman" w:eastAsia="Times New Roman" w:hAnsi="Times New Roman"/>
          <w:sz w:val="17"/>
          <w:szCs w:val="17"/>
          <w:color w:val="auto"/>
        </w:rPr>
        <w:t xml:space="preserve">, leverages the broad network of physicians we work with in oncology to provide clinical trial support for pharmaceutical companies that are looking to reach hard-to-find and underserved patient populations. Our third product line, </w:t>
      </w:r>
      <w:r>
        <w:rPr>
          <w:rFonts w:ascii="Times New Roman" w:cs="Times New Roman" w:eastAsia="Times New Roman" w:hAnsi="Times New Roman"/>
          <w:sz w:val="17"/>
          <w:szCs w:val="17"/>
          <w:i w:val="1"/>
          <w:iCs w:val="1"/>
          <w:color w:val="auto"/>
        </w:rPr>
        <w:t>AI Applications,</w:t>
      </w:r>
      <w:r>
        <w:rPr>
          <w:rFonts w:ascii="Times New Roman" w:cs="Times New Roman" w:eastAsia="Times New Roman" w:hAnsi="Times New Roman"/>
          <w:sz w:val="17"/>
          <w:szCs w:val="17"/>
          <w:color w:val="auto"/>
        </w:rPr>
        <w:t xml:space="preserve"> is focused on developing and providing diagnostics that are algorithmic in nature, implementing new software as a medical device, and building and deploying clinical decision support tools. The primary product of AI Applications is currently “Next,” an AI platform that leverages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1300"/>
          </w:cols>
          <w:pgMar w:left="320" w:top="446" w:right="2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Limitations of Employing Technology, Data, and AI in Healthcare and Precision Medicine</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6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believe this is changing. Recent technological advancements have facilitated the deployment of modern computational methods, such as AI and machine learning, to improve healthcare. Breakthroughs in cloud computing, imaging technologies, large language models,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71"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73"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Our access to broad and diverse data serves as the basis for our ability to train generative AI models, and we believe our relationships with healthcare institutions provide us with proprietary data to deliver on the promise of AI in healthcare.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Importance of Multimodal Healthcare Data</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1300"/>
          </w:cols>
          <w:pgMar w:left="320" w:top="446" w:right="2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 New Industry: Intelligent Diagnostics to Advance Precision Medicine</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69"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The ability to leverage generative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generative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384"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right="20" w:firstLine="5"/>
        <w:spacing w:after="0" w:line="256" w:lineRule="auto"/>
        <w:tabs>
          <w:tab w:leader="none" w:pos="27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spacing w:after="0" w:line="1" w:lineRule="exact"/>
        <w:rPr>
          <w:rFonts w:ascii="Times New Roman" w:cs="Times New Roman" w:eastAsia="Times New Roman" w:hAnsi="Times New Roman"/>
          <w:sz w:val="17"/>
          <w:szCs w:val="17"/>
          <w:color w:val="auto"/>
        </w:rPr>
      </w:pPr>
    </w:p>
    <w:p>
      <w:pPr>
        <w:jc w:val="both"/>
        <w:ind w:right="20" w:firstLine="5"/>
        <w:spacing w:after="0" w:line="265" w:lineRule="auto"/>
        <w:tabs>
          <w:tab w:leader="none" w:pos="24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the outcome and response data of patients who are similarly situated to the patient for whom the test was ordered; and (vi) use generative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136525</wp:posOffset>
            </wp:positionV>
            <wp:extent cx="6971030" cy="43815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71030" cy="438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1300"/>
          </w:cols>
          <w:pgMar w:left="320" w:top="446" w:right="2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6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7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7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believe Intelligent Diagnostics, AI, and technology broadly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Tempus Platform</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1300"/>
          </w:cols>
          <w:pgMar w:left="320" w:top="446" w:right="2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203835</wp:posOffset>
            </wp:positionV>
            <wp:extent cx="6414770" cy="40493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4770" cy="404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7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same is true in neuropsychiatry.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neuropsychiatry,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ectPr>
          <w:pgSz w:w="11900" w:h="16838" w:orient="portrait"/>
          <w:cols w:equalWidth="0" w:num="1">
            <w:col w:w="11300"/>
          </w:cols>
          <w:pgMar w:left="320" w:top="446" w:right="2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neuropsychiatry, radiology,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137160</wp:posOffset>
            </wp:positionV>
            <wp:extent cx="5186680" cy="25971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8668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Core Elements of our Platform</w:t>
      </w:r>
    </w:p>
    <w:p>
      <w:pPr>
        <w:spacing w:after="0" w:line="12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full-stack, bi-directional integrations between a clinician’s desktop and our laboratory diagnostic capabilities, analytics platform, and repository of multimodal data. Our scaled, interconnected provider network covers more than 50%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represent a significant competitive advantage. The following diagram represents the different elements of our Platform.</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ectPr>
          <w:pgSz w:w="11900" w:h="16838" w:orient="portrait"/>
          <w:cols w:equalWidth="0" w:num="1">
            <w:col w:w="11300"/>
          </w:cols>
          <w:pgMar w:left="320" w:top="446" w:right="2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278130</wp:posOffset>
            </wp:positionV>
            <wp:extent cx="5003800" cy="2937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03800" cy="293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Ingestion and Generation of Data</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ingest healthcare data in near real time and at scale, including molecular, clinical, and imaging data. Between our sequencing and data collection efforts, we are connected in some way to more than 50% of all oncologists practicing in the United States, along with a growing number of patients in neuropsychiatry, cardiology, and infectious disease. Our methods for collecting and creating data include the following:</w:t>
      </w:r>
    </w:p>
    <w:p>
      <w:pPr>
        <w:spacing w:after="0" w:line="160" w:lineRule="exact"/>
        <w:rPr>
          <w:sz w:val="20"/>
          <w:szCs w:val="20"/>
          <w:color w:val="auto"/>
        </w:rPr>
      </w:pPr>
    </w:p>
    <w:p>
      <w:pPr>
        <w:jc w:val="both"/>
        <w:ind w:left="460" w:firstLine="434"/>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Ingesting data through our relationships and partnerships with healthcare providers. </w:t>
      </w:r>
      <w:r>
        <w:rPr>
          <w:rFonts w:ascii="Times New Roman" w:cs="Times New Roman" w:eastAsia="Times New Roman" w:hAnsi="Times New Roman"/>
          <w:sz w:val="17"/>
          <w:szCs w:val="17"/>
          <w:color w:val="auto"/>
        </w:rPr>
        <w:t>We have developed proprietary tools to establish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450 direct data connections, across more than 2,000 hospitals, many of which are bi-directional. We have established relationships with hundreds of provider networks, including more than 65%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third-party data provider to pull out relevant structured and unstructured data that the provider has agreed to provide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383" w:lineRule="exact"/>
        <w:rPr>
          <w:sz w:val="20"/>
          <w:szCs w:val="20"/>
          <w:color w:val="auto"/>
        </w:rPr>
      </w:pPr>
    </w:p>
    <w:p>
      <w:pPr>
        <w:jc w:val="both"/>
        <w:ind w:left="460" w:firstLine="434"/>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Relationships with industry associations. </w:t>
      </w:r>
      <w:r>
        <w:rPr>
          <w:rFonts w:ascii="Times New Roman" w:cs="Times New Roman" w:eastAsia="Times New Roman" w:hAnsi="Times New Roman"/>
          <w:sz w:val="17"/>
          <w:szCs w:val="17"/>
          <w:color w:val="auto"/>
        </w:rPr>
        <w:t>In addition to healthcare providers, we work with numerous industry associations in the United States,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ASCO. Under our collaboration with ASCO, we structure and distribute the oncology data ASCO collects as part of CancerLinq, which is their oncology data effort. We work with other large associations such as ONCare Alliance, LLC (surviving entity after merger of the National Cancer Care Alliance and the Quality Cancer Care Alliance), and have agreements in place with</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1300"/>
          </w:cols>
          <w:pgMar w:left="320" w:top="446" w:right="2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7"/>
          <w:szCs w:val="17"/>
          <w:color w:val="auto"/>
        </w:rPr>
        <w:t>large integrated community practices. While our relationships in oncology are widespread, we are making inroads in other disease areas. For example, we are working with a large hospital network to train algorithmic models based on a de-identified subset of approximately 3.5 million ECGs, across more than 700,000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neuropsychiatry, diabetes, and cardiology giving us access to additional clinical data.</w:t>
      </w:r>
    </w:p>
    <w:p>
      <w:pPr>
        <w:spacing w:after="0" w:line="169" w:lineRule="exact"/>
        <w:rPr>
          <w:sz w:val="20"/>
          <w:szCs w:val="20"/>
          <w:color w:val="auto"/>
        </w:rPr>
      </w:pPr>
    </w:p>
    <w:p>
      <w:pPr>
        <w:jc w:val="both"/>
        <w:ind w:left="460" w:firstLine="434"/>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Laboratory diagnostics. </w:t>
      </w:r>
      <w:r>
        <w:rPr>
          <w:rFonts w:ascii="Times New Roman" w:cs="Times New Roman" w:eastAsia="Times New Roman" w:hAnsi="Times New Roman"/>
          <w:sz w:val="17"/>
          <w:szCs w:val="17"/>
          <w:color w:val="auto"/>
        </w:rPr>
        <w:t>In addition to our dedicated data pipelines, we generate data for our Platform from our three high-throughput diagnostic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testing labs in Chicago, Atlanta, and Raleigh.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121285</wp:posOffset>
            </wp:positionV>
            <wp:extent cx="6971030" cy="43897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71030" cy="438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Proprietary Data Processing</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Once data is ingested,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1300"/>
          </w:cols>
          <w:pgMar w:left="320" w:top="447" w:right="2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Proprietary Multimodal Database</w:t>
      </w:r>
    </w:p>
    <w:p>
      <w:pPr>
        <w:spacing w:after="0" w:line="120"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near-real 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900 million documents, across more than 5.6 million de-identified patient records, including approximately 1.3 billion pages of rich clinical text that we use to train our large language models. The database also includes over 1,000,000 records with imaging data, more than 900,000 with matched clinical records linked with genomic information, and more than 220,000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 We also retain the rights to broadly commercialize de-identified data. As the amount of data in our cloud environment continues to grow from its current size of more than 200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203835</wp:posOffset>
            </wp:positionV>
            <wp:extent cx="6971030" cy="32943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71030" cy="329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1300"/>
          </w:cols>
          <w:pgMar w:left="320" w:top="446" w:right="2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March 31, 2024,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130810</wp:posOffset>
            </wp:positionV>
            <wp:extent cx="6539230" cy="41160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39230"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Proprietary Software Tools and Solutions</w:t>
      </w:r>
    </w:p>
    <w:p>
      <w:pPr>
        <w:spacing w:after="0" w:line="120" w:lineRule="exact"/>
        <w:rPr>
          <w:sz w:val="20"/>
          <w:szCs w:val="20"/>
          <w:color w:val="auto"/>
        </w:rPr>
      </w:pPr>
    </w:p>
    <w:p>
      <w:pPr>
        <w:jc w:val="both"/>
        <w:ind w:right="20" w:firstLine="451"/>
        <w:spacing w:after="0" w:line="264" w:lineRule="auto"/>
        <w:rPr>
          <w:sz w:val="20"/>
          <w:szCs w:val="20"/>
          <w:color w:val="auto"/>
        </w:rPr>
      </w:pPr>
      <w:r>
        <w:rPr>
          <w:rFonts w:ascii="Times New Roman" w:cs="Times New Roman" w:eastAsia="Times New Roman" w:hAnsi="Times New Roman"/>
          <w:sz w:val="17"/>
          <w:szCs w:val="17"/>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are both a healthcare company and a technology company, which we believe allows us to more quickly and effectively develop and deploy AI techniques within our proprietary software systems. To do so, we rely on employees with expertise spanning multiple disciplines, including those with PhDs and other advanced degrees in the scientific fields of machine learning, data science and computational biology, as well as Medical Doctors practicing disciplines such as pathology and oncology. In addition to our diverse employee base, we are able to train AI models using our proprietary and expansive multimodal, de-identified dataset. We leverage our varied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1300"/>
          </w:cols>
          <w:pgMar w:left="320" w:top="447" w:right="2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expertise and extensive resources to continuously monitor and review the statistical performance of the models used across our Platform to ensure performance and prevent degradation.</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We describe below some of the core software applications that form part of our Platform, including examples where we have developed and deployed AI techniques.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External Facing Applications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 Lens is aligned with Insights, one of our products within Data, and allows users to identify, license, and ultimately analyze cohorts of data for research purposes. We typically enable our customers to access free or charge certain software applications (like Hub) and certain features of other applications (like Lens). However, in some cases we may charge for access to Lens when a customer is interested in some form of customization or access to Lens’ full suite of capabilities.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Hub</w:t>
      </w:r>
    </w:p>
    <w:p>
      <w:pPr>
        <w:spacing w:after="0" w:line="120" w:lineRule="exact"/>
        <w:rPr>
          <w:sz w:val="20"/>
          <w:szCs w:val="20"/>
          <w:color w:val="auto"/>
        </w:rPr>
      </w:pPr>
    </w:p>
    <w:p>
      <w:pPr>
        <w:jc w:val="both"/>
        <w:ind w:firstLine="451"/>
        <w:spacing w:after="0" w:line="273" w:lineRule="auto"/>
        <w:rPr>
          <w:sz w:val="20"/>
          <w:szCs w:val="20"/>
          <w:color w:val="auto"/>
        </w:rPr>
      </w:pPr>
      <w:r>
        <w:rPr>
          <w:rFonts w:ascii="Times New Roman" w:cs="Times New Roman" w:eastAsia="Times New Roman" w:hAnsi="Times New Roman"/>
          <w:sz w:val="17"/>
          <w:szCs w:val="17"/>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378"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388"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38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One example of an AI model whose results are available within Hub, and which illustrates a typical development and validation process for our AI models, is our Tumor Origin, or TO, algorithm. Our TO algorithm predicts the site of origin for cancer patients whose primary tumor site is unknown using machine learning models trained on tumor RNA expression results from our de-identified multimodal database. We began developing our TO</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1300"/>
          </w:cols>
          <w:pgMar w:left="320" w:top="446" w:right="2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algorithm in 2019, and it was first deployed in a clinical setting in 2021. We developed and trained the TO algorithm, like other machine learning models, by adopting current best practices for AI model development. For example, in developing the TO algorithm, we explored distinct model architectures (logistic regression, random forests and neural networks) and feature selection methods, and we utilized multiple cross validation techniques using both our own and independent third-party datasets. After its launch, we continue to monitor the performance of the TO algorithm by using advanced statistical methods to detect potential model drift or degradation over time. Each TO prediction is reviewed by our board certified pathologists for consistency with underlying data, and the distribution of expected cases is reviewed and assessed against the expected distribution of diagnoses.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169545</wp:posOffset>
            </wp:positionV>
            <wp:extent cx="6971030" cy="75514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71030" cy="7551420"/>
                    </a:xfrm>
                    <a:prstGeom prst="rect">
                      <a:avLst/>
                    </a:prstGeom>
                    <a:noFill/>
                  </pic:spPr>
                </pic:pic>
              </a:graphicData>
            </a:graphic>
          </wp:anchor>
        </w:drawing>
      </w:r>
    </w:p>
    <w:p>
      <w:pPr>
        <w:sectPr>
          <w:pgSz w:w="11900" w:h="16838" w:orient="portrait"/>
          <w:cols w:equalWidth="0" w:num="1">
            <w:col w:w="11300"/>
          </w:cols>
          <w:pgMar w:left="320" w:top="44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1300"/>
          </w:cols>
          <w:pgMar w:left="320" w:top="446" w:right="27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203835</wp:posOffset>
            </wp:positionV>
            <wp:extent cx="6971030" cy="75514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71030"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0139"/>
          </w:cols>
          <w:pgMar w:left="320" w:top="446"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203835</wp:posOffset>
            </wp:positionV>
            <wp:extent cx="6971030" cy="75514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71030"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7"/>
          <w:szCs w:val="17"/>
          <w:color w:val="auto"/>
        </w:rPr>
        <w:t>158</w:t>
      </w:r>
    </w:p>
    <w:p>
      <w:pPr>
        <w:sectPr>
          <w:pgSz w:w="11900" w:h="16838" w:orient="portrait"/>
          <w:cols w:equalWidth="0" w:num="1">
            <w:col w:w="10139"/>
          </w:cols>
          <w:pgMar w:left="320" w:top="446"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203835</wp:posOffset>
            </wp:positionV>
            <wp:extent cx="6971030" cy="3701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71030" cy="370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Lens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169" w:lineRule="exact"/>
        <w:rPr>
          <w:sz w:val="20"/>
          <w:szCs w:val="20"/>
          <w:color w:val="auto"/>
        </w:rPr>
      </w:pPr>
    </w:p>
    <w:p>
      <w:pPr>
        <w:jc w:val="both"/>
        <w:ind w:firstLine="451"/>
        <w:spacing w:after="0" w:line="273" w:lineRule="auto"/>
        <w:rPr>
          <w:sz w:val="20"/>
          <w:szCs w:val="20"/>
          <w:color w:val="auto"/>
        </w:rPr>
      </w:pPr>
      <w:r>
        <w:rPr>
          <w:rFonts w:ascii="Times New Roman" w:cs="Times New Roman" w:eastAsia="Times New Roman" w:hAnsi="Times New Roman"/>
          <w:sz w:val="17"/>
          <w:szCs w:val="17"/>
          <w:color w:val="auto"/>
        </w:rPr>
        <w:t>For clinicians,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37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7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ectPr>
          <w:pgSz w:w="11900" w:h="16838" w:orient="portrait"/>
          <w:cols w:equalWidth="0" w:num="1">
            <w:col w:w="11300"/>
          </w:cols>
          <w:pgMar w:left="320" w:top="447" w:right="2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169545</wp:posOffset>
            </wp:positionV>
            <wp:extent cx="6971030" cy="75514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71030" cy="7551420"/>
                    </a:xfrm>
                    <a:prstGeom prst="rect">
                      <a:avLst/>
                    </a:prstGeom>
                    <a:noFill/>
                  </pic:spPr>
                </pic:pic>
              </a:graphicData>
            </a:graphic>
          </wp:anchor>
        </w:drawing>
      </w:r>
    </w:p>
    <w:p>
      <w:pPr>
        <w:sectPr>
          <w:pgSz w:w="11900" w:h="16838" w:orient="portrait"/>
          <w:cols w:equalWidth="0" w:num="1">
            <w:col w:w="10560"/>
          </w:cols>
          <w:pgMar w:left="320" w:top="446"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160</w:t>
      </w:r>
    </w:p>
    <w:p>
      <w:pPr>
        <w:sectPr>
          <w:pgSz w:w="11900" w:h="16838" w:orient="portrait"/>
          <w:cols w:equalWidth="0" w:num="1">
            <w:col w:w="10560"/>
          </w:cols>
          <w:pgMar w:left="320" w:top="446" w:right="101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203835</wp:posOffset>
            </wp:positionV>
            <wp:extent cx="6971030" cy="75514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71030"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Software Applications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ectPr>
          <w:pgSz w:w="11900" w:h="16838" w:orient="portrait"/>
          <w:cols w:equalWidth="0" w:num="1">
            <w:col w:w="11300"/>
          </w:cols>
          <w:pgMar w:left="320" w:top="447" w:right="27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ectPr>
          <w:pgSz w:w="11900" w:h="16838" w:orient="portrait"/>
          <w:cols w:equalWidth="0" w:num="1">
            <w:col w:w="11300"/>
          </w:cols>
          <w:pgMar w:left="320" w:top="447" w:right="27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Three Product Lines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and Services product line monetizes de-identified data that we collect and facilitates enrollment in clinical trials, and which at scale has allowed us to provide a series of data related services to our life sciences customers, such as clinical trial matching. Our AI Applications product line leverages our database to provide diagnostics entirely driven by data, which helps route patients to the optimal therapy and advance research more broadly.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213360</wp:posOffset>
            </wp:positionV>
            <wp:extent cx="6971030" cy="38588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71030" cy="385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Genomics</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launched our Genomics product line to provide a comprehensive suite of Intelligent Diagnostics to healthcare providers, and to generate a steady stream of molecular data to help fuel growth in our Data and AI Applications product lines. As we run more tests through our laboratories, and as those tests are linked to patient records and clinical outcomes, we 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NGS provider broadly serving the market. However, unlike other laboratory diagnostic testing providers, many of our tests are connected to clinical data, in some manner, which allows our suite of tests to be self-learning, becoming more accurate and precise with each new test that we run. Furthermore, rather than providing a result based on a single data modality, such as a DNA mutation, our Platform leverages data from other modalities and other patients in an effort to be more comprehensive.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ectPr>
          <w:pgSz w:w="11900" w:h="16838" w:orient="portrait"/>
          <w:cols w:equalWidth="0" w:num="1">
            <w:col w:w="11300"/>
          </w:cols>
          <w:pgMar w:left="320" w:top="446" w:right="2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121285</wp:posOffset>
            </wp:positionV>
            <wp:extent cx="6563995" cy="46056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63995" cy="460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163</w:t>
      </w:r>
    </w:p>
    <w:p>
      <w:pPr>
        <w:sectPr>
          <w:pgSz w:w="11900" w:h="16838" w:orient="portrait"/>
          <w:cols w:equalWidth="0" w:num="1">
            <w:col w:w="11280"/>
          </w:cols>
          <w:pgMar w:left="320" w:top="446" w:right="2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Oncology Tests</w:t>
      </w:r>
    </w:p>
    <w:p>
      <w:pPr>
        <w:spacing w:after="0" w:line="120"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Our Platform’s first application was in oncology, where we have built a versatile portfolio of cancer tests spanning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and xR) offering large panel DNA, RNA full transcriptome, and incidental germline findings through normal blood or saliva analyses. Our current offerings also include liquid biopsy (xF), whole exome (xE), and hereditary cancer risk (xG). We are also currently validating a treatment response monitoring assay.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Lab Tests</w:t>
            </w:r>
          </w:p>
        </w:tc>
        <w:tc>
          <w:tcPr>
            <w:tcW w:w="20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02"/>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Oncology tests</w:t>
            </w:r>
          </w:p>
        </w:tc>
        <w:tc>
          <w:tcPr>
            <w:tcW w:w="1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r>
      <w:tr>
        <w:trPr>
          <w:trHeight w:val="256"/>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Tempus|xT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48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 Designed to detect actionable oncologic targets by sequencing tumor tissue</w:t>
            </w:r>
          </w:p>
        </w:tc>
      </w:tr>
      <w:tr>
        <w:trPr>
          <w:trHeight w:val="227"/>
        </w:trPr>
        <w:tc>
          <w:tcPr>
            <w:tcW w:w="5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samples</w:t>
            </w:r>
          </w:p>
        </w:tc>
      </w:tr>
      <w:tr>
        <w:trPr>
          <w:trHeight w:val="309"/>
        </w:trPr>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 Typically associated with incidental germline testing for matched normal</w:t>
            </w:r>
          </w:p>
        </w:tc>
      </w:tr>
      <w:tr>
        <w:trPr>
          <w:trHeight w:val="227"/>
        </w:trPr>
        <w:tc>
          <w:tcPr>
            <w:tcW w:w="5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saliva or blood samples, when available</w:t>
            </w:r>
          </w:p>
        </w:tc>
      </w:tr>
      <w:tr>
        <w:trPr>
          <w:trHeight w:val="309"/>
        </w:trPr>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 Fourth generation test that covers 648 genes at 500x coverage spanning</w:t>
            </w:r>
          </w:p>
        </w:tc>
      </w:tr>
      <w:tr>
        <w:trPr>
          <w:trHeight w:val="227"/>
        </w:trPr>
        <w:tc>
          <w:tcPr>
            <w:tcW w:w="5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approximately 3.6 Mb of genomic space</w:t>
            </w:r>
          </w:p>
        </w:tc>
      </w:tr>
      <w:tr>
        <w:trPr>
          <w:trHeight w:val="309"/>
        </w:trPr>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 Includes full TCR, BCR, and HLA typing for immuno-oncology, or IO,</w:t>
            </w:r>
          </w:p>
        </w:tc>
      </w:tr>
      <w:tr>
        <w:trPr>
          <w:trHeight w:val="227"/>
        </w:trPr>
        <w:tc>
          <w:tcPr>
            <w:tcW w:w="5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signatures</w:t>
            </w:r>
          </w:p>
        </w:tc>
      </w:tr>
      <w:tr>
        <w:trPr>
          <w:trHeight w:val="327"/>
        </w:trPr>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 Detects TMB, MSI, and fusions</w:t>
            </w:r>
          </w:p>
        </w:tc>
      </w:tr>
      <w:tr>
        <w:trPr>
          <w:trHeight w:val="327"/>
        </w:trPr>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 The test has an approximately 10-day quoted turnaround time.</w:t>
            </w:r>
          </w:p>
        </w:tc>
      </w:tr>
      <w:tr>
        <w:trPr>
          <w:trHeight w:val="309"/>
        </w:trPr>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 In our analytical validation, we demonstrated sensitivities &gt;98% for SNVs,</w:t>
            </w:r>
          </w:p>
        </w:tc>
      </w:tr>
      <w:tr>
        <w:trPr>
          <w:trHeight w:val="209"/>
        </w:trPr>
        <w:tc>
          <w:tcPr>
            <w:tcW w:w="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&gt;92% for rearrangements / fusions, &gt;92% for CNVs and indels, and 99.9%</w:t>
            </w:r>
          </w:p>
        </w:tc>
      </w:tr>
      <w:tr>
        <w:trPr>
          <w:trHeight w:val="227"/>
        </w:trPr>
        <w:tc>
          <w:tcPr>
            <w:tcW w:w="5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 MSI.</w:t>
            </w:r>
          </w:p>
        </w:tc>
      </w:tr>
      <w:tr>
        <w:trPr>
          <w:trHeight w:val="327"/>
        </w:trPr>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 Premarket approval (PMA) obtained from the FDA in April 2023</w:t>
            </w:r>
          </w:p>
        </w:tc>
      </w:tr>
      <w:tr>
        <w:trPr>
          <w:trHeight w:val="118"/>
        </w:trPr>
        <w:tc>
          <w:tcPr>
            <w:tcW w:w="5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00" w:type="dxa"/>
            <w:vAlign w:val="bottom"/>
          </w:tcPr>
          <w:p>
            <w:pPr>
              <w:spacing w:after="0"/>
              <w:rPr>
                <w:sz w:val="10"/>
                <w:szCs w:val="10"/>
                <w:color w:val="auto"/>
              </w:rPr>
            </w:pPr>
          </w:p>
        </w:tc>
      </w:tr>
      <w:tr>
        <w:trPr>
          <w:trHeight w:val="191"/>
        </w:trPr>
        <w:tc>
          <w:tcPr>
            <w:tcW w:w="26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Tempus|xE</w:t>
            </w:r>
          </w:p>
        </w:tc>
        <w:tc>
          <w:tcPr>
            <w:tcW w:w="2360" w:type="dxa"/>
            <w:vAlign w:val="bottom"/>
            <w:gridSpan w:val="2"/>
            <w:shd w:val="clear" w:color="auto" w:fill="CCEEFF"/>
          </w:tcPr>
          <w:p>
            <w:pPr>
              <w:jc w:val="right"/>
              <w:ind w:right="320"/>
              <w:spacing w:after="0" w:line="191" w:lineRule="exact"/>
              <w:rPr>
                <w:sz w:val="20"/>
                <w:szCs w:val="20"/>
                <w:color w:val="auto"/>
              </w:rPr>
            </w:pPr>
            <w:r>
              <w:rPr>
                <w:rFonts w:ascii="Times New Roman" w:cs="Times New Roman" w:eastAsia="Times New Roman" w:hAnsi="Times New Roman"/>
                <w:sz w:val="17"/>
                <w:szCs w:val="17"/>
                <w:color w:val="auto"/>
              </w:rPr>
              <w:t>2018</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ind w:left="60"/>
              <w:spacing w:after="0" w:line="191" w:lineRule="exact"/>
              <w:rPr>
                <w:sz w:val="20"/>
                <w:szCs w:val="20"/>
                <w:color w:val="auto"/>
              </w:rPr>
            </w:pPr>
            <w:r>
              <w:rPr>
                <w:rFonts w:ascii="Times New Roman" w:cs="Times New Roman" w:eastAsia="Times New Roman" w:hAnsi="Times New Roman"/>
                <w:sz w:val="17"/>
                <w:szCs w:val="17"/>
                <w:color w:val="auto"/>
              </w:rPr>
              <w:t>   A whole exome cancer assay designed to identify actionable oncologic</w:t>
            </w:r>
          </w:p>
        </w:tc>
      </w:tr>
      <w:tr>
        <w:trPr>
          <w:trHeight w:val="209"/>
        </w:trPr>
        <w:tc>
          <w:tcPr>
            <w:tcW w:w="5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variants as well as neoantigens across the exome from tissue samples, thus</w:t>
            </w:r>
          </w:p>
        </w:tc>
      </w:tr>
      <w:tr>
        <w:trPr>
          <w:trHeight w:val="227"/>
        </w:trPr>
        <w:tc>
          <w:tcPr>
            <w:tcW w:w="5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enabling IO applications</w:t>
            </w:r>
          </w:p>
        </w:tc>
      </w:tr>
      <w:tr>
        <w:trPr>
          <w:trHeight w:val="309"/>
        </w:trPr>
        <w:tc>
          <w:tcPr>
            <w:tcW w:w="5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 Run at ~150-250x median coverage for approximately 650 of the most</w:t>
            </w:r>
          </w:p>
        </w:tc>
      </w:tr>
      <w:tr>
        <w:trPr>
          <w:trHeight w:val="209"/>
        </w:trPr>
        <w:tc>
          <w:tcPr>
            <w:tcW w:w="5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significant onco-driving mutations and ~150-200x median coverage for more</w:t>
            </w:r>
          </w:p>
        </w:tc>
      </w:tr>
      <w:tr>
        <w:trPr>
          <w:trHeight w:val="227"/>
        </w:trPr>
        <w:tc>
          <w:tcPr>
            <w:tcW w:w="5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than 19,000 genes on the panel</w:t>
            </w:r>
          </w:p>
        </w:tc>
      </w:tr>
      <w:tr>
        <w:trPr>
          <w:trHeight w:val="340"/>
        </w:trPr>
        <w:tc>
          <w:tcPr>
            <w:tcW w:w="5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 Detects TMB, MSI, and fusions</w:t>
            </w:r>
          </w:p>
        </w:tc>
      </w:tr>
      <w:tr>
        <w:trPr>
          <w:trHeight w:val="353"/>
        </w:trPr>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164</w:t>
            </w:r>
          </w:p>
        </w:tc>
        <w:tc>
          <w:tcPr>
            <w:tcW w:w="5100" w:type="dxa"/>
            <w:vAlign w:val="bottom"/>
          </w:tcPr>
          <w:p>
            <w:pPr>
              <w:spacing w:after="0"/>
              <w:rPr>
                <w:sz w:val="24"/>
                <w:szCs w:val="24"/>
                <w:color w:val="auto"/>
              </w:rPr>
            </w:pPr>
          </w:p>
        </w:tc>
      </w:tr>
    </w:tbl>
    <w:p>
      <w:pPr>
        <w:sectPr>
          <w:pgSz w:w="11900" w:h="16838" w:orient="portrait"/>
          <w:cols w:equalWidth="0" w:num="1">
            <w:col w:w="11300"/>
          </w:cols>
          <w:pgMar w:left="320" w:top="447" w:right="2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98"/>
        </w:trPr>
        <w:tc>
          <w:tcPr>
            <w:tcW w:w="580" w:type="dxa"/>
            <w:vAlign w:val="bottom"/>
            <w:tcBorders>
              <w:top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Tempus|xF</w:t>
            </w:r>
          </w:p>
        </w:tc>
        <w:tc>
          <w:tcPr>
            <w:tcW w:w="1260" w:type="dxa"/>
            <w:vAlign w:val="bottom"/>
            <w:gridSpan w:val="2"/>
            <w:shd w:val="clear" w:color="auto" w:fill="CCEEFF"/>
          </w:tcPr>
          <w:p>
            <w:pPr>
              <w:jc w:val="right"/>
              <w:ind w:right="500"/>
              <w:spacing w:after="0" w:line="191" w:lineRule="exact"/>
              <w:rPr>
                <w:sz w:val="20"/>
                <w:szCs w:val="20"/>
                <w:color w:val="auto"/>
              </w:rPr>
            </w:pPr>
            <w:r>
              <w:rPr>
                <w:rFonts w:ascii="Times New Roman" w:cs="Times New Roman" w:eastAsia="Times New Roman" w:hAnsi="Times New Roman"/>
                <w:sz w:val="17"/>
                <w:szCs w:val="17"/>
                <w:color w:val="auto"/>
              </w:rPr>
              <w:t>2018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1" w:lineRule="exact"/>
              <w:rPr>
                <w:sz w:val="20"/>
                <w:szCs w:val="20"/>
                <w:color w:val="auto"/>
              </w:rPr>
            </w:pPr>
            <w:r>
              <w:rPr>
                <w:rFonts w:ascii="Times New Roman" w:cs="Times New Roman" w:eastAsia="Times New Roman" w:hAnsi="Times New Roman"/>
                <w:sz w:val="17"/>
                <w:szCs w:val="17"/>
                <w:color w:val="auto"/>
              </w:rPr>
              <w:t>   Next-generation liquid biopsy assay covering 105 genes at approximately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8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20,000x coverage from peripheral blood samples for solid tumors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58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 Typically used for oncogenic and resistance mutations that can be detected 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cell free DNA, or cfDNA, from a peripheral blood draw</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58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•      In  our  analytical  validation,  for  0.5%  VAF  and  30ng  of  DNA,  we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demonstrated &gt;99.9% sensitivity for SNVs, 98.8% for indels, &gt;99.9%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CNVs, and 97.4% for rearrangements and fusions. xF also demonstrated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100% sensitivity concordance with Roche AVENIO ctDNA Expanded Kit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indels, CNVs, and rearrangements. We also demonstrated &gt;99.9% specificity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 SNVs, indels, and fusions, and 96.2% specificity for CNVs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58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 The xF+ version is a 523 gene panel that includes bTMB, MSI, additional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fusions and CNVs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Tempus|xG</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2021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   52 gene inherited cancer germline panel run off whole exome platform at 75x</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depth of coverage</w:t>
            </w:r>
          </w:p>
        </w:tc>
        <w:tc>
          <w:tcPr>
            <w:tcW w:w="0" w:type="dxa"/>
            <w:vAlign w:val="bottom"/>
          </w:tcPr>
          <w:p>
            <w:pPr>
              <w:spacing w:after="0"/>
              <w:rPr>
                <w:sz w:val="1"/>
                <w:szCs w:val="1"/>
                <w:color w:val="auto"/>
              </w:rPr>
            </w:pPr>
          </w:p>
        </w:tc>
      </w:tr>
      <w:tr>
        <w:trPr>
          <w:trHeight w:val="307"/>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   Tests hereditary predisposition across common and well-described cancer</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syndromes  such  as  breast,  ovarian,  prostate  cancer  (</w:t>
            </w:r>
            <w:r>
              <w:rPr>
                <w:rFonts w:ascii="Times New Roman" w:cs="Times New Roman" w:eastAsia="Times New Roman" w:hAnsi="Times New Roman"/>
                <w:sz w:val="17"/>
                <w:szCs w:val="17"/>
                <w:i w:val="1"/>
                <w:iCs w:val="1"/>
                <w:color w:val="auto"/>
              </w:rPr>
              <w:t>BRCA1,  BRCA2</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pancreatic cancer (</w:t>
            </w:r>
            <w:r>
              <w:rPr>
                <w:rFonts w:ascii="Times New Roman" w:cs="Times New Roman" w:eastAsia="Times New Roman" w:hAnsi="Times New Roman"/>
                <w:sz w:val="17"/>
                <w:szCs w:val="17"/>
                <w:i w:val="1"/>
                <w:iCs w:val="1"/>
                <w:color w:val="auto"/>
              </w:rPr>
              <w:t>CDKN2A, PALB2</w:t>
            </w:r>
            <w:r>
              <w:rPr>
                <w:rFonts w:ascii="Times New Roman" w:cs="Times New Roman" w:eastAsia="Times New Roman" w:hAnsi="Times New Roman"/>
                <w:sz w:val="17"/>
                <w:szCs w:val="17"/>
                <w:color w:val="auto"/>
              </w:rPr>
              <w:t>), colorectal cancer (</w:t>
            </w:r>
            <w:r>
              <w:rPr>
                <w:rFonts w:ascii="Times New Roman" w:cs="Times New Roman" w:eastAsia="Times New Roman" w:hAnsi="Times New Roman"/>
                <w:sz w:val="17"/>
                <w:szCs w:val="17"/>
                <w:i w:val="1"/>
                <w:iCs w:val="1"/>
                <w:color w:val="auto"/>
              </w:rPr>
              <w:t>APC, BMPR1A</w:t>
            </w:r>
            <w:r>
              <w:rPr>
                <w:rFonts w:ascii="Times New Roman" w:cs="Times New Roman" w:eastAsia="Times New Roman" w:hAnsi="Times New Roman"/>
                <w:sz w:val="17"/>
                <w:szCs w:val="17"/>
                <w:color w:val="auto"/>
              </w:rPr>
              <w:t>), and</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Lynch Syndrome (</w:t>
            </w:r>
            <w:r>
              <w:rPr>
                <w:rFonts w:ascii="Times New Roman" w:cs="Times New Roman" w:eastAsia="Times New Roman" w:hAnsi="Times New Roman"/>
                <w:sz w:val="17"/>
                <w:szCs w:val="17"/>
                <w:i w:val="1"/>
                <w:iCs w:val="1"/>
                <w:color w:val="auto"/>
              </w:rPr>
              <w:t>MLH1, MSH2, MSH6, PMS2, EPCAM</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   Typically used in patients with a personal and / or family history suggestive of</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hereditary predisposition to cancer and can guide future diagnostic decisions</w:t>
            </w:r>
          </w:p>
        </w:tc>
        <w:tc>
          <w:tcPr>
            <w:tcW w:w="0" w:type="dxa"/>
            <w:vAlign w:val="bottom"/>
          </w:tcPr>
          <w:p>
            <w:pPr>
              <w:spacing w:after="0"/>
              <w:rPr>
                <w:sz w:val="1"/>
                <w:szCs w:val="1"/>
                <w:color w:val="auto"/>
              </w:rPr>
            </w:pPr>
          </w:p>
        </w:tc>
      </w:tr>
      <w:tr>
        <w:trPr>
          <w:trHeight w:val="309"/>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   The xG+ version is an 88 gene panel covering genes associated with both</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common and rare hereditary cancers</w:t>
            </w:r>
          </w:p>
        </w:tc>
        <w:tc>
          <w:tcPr>
            <w:tcW w:w="0" w:type="dxa"/>
            <w:vAlign w:val="bottom"/>
          </w:tcPr>
          <w:p>
            <w:pPr>
              <w:spacing w:after="0"/>
              <w:rPr>
                <w:sz w:val="1"/>
                <w:szCs w:val="1"/>
                <w:color w:val="auto"/>
              </w:rPr>
            </w:pPr>
          </w:p>
        </w:tc>
      </w:tr>
      <w:tr>
        <w:trPr>
          <w:trHeight w:val="79"/>
        </w:trPr>
        <w:tc>
          <w:tcPr>
            <w:tcW w:w="580" w:type="dxa"/>
            <w:vAlign w:val="bottom"/>
          </w:tcPr>
          <w:p>
            <w:pPr>
              <w:spacing w:after="0"/>
              <w:rPr>
                <w:sz w:val="6"/>
                <w:szCs w:val="6"/>
                <w:color w:val="auto"/>
              </w:rPr>
            </w:pPr>
          </w:p>
        </w:tc>
        <w:tc>
          <w:tcPr>
            <w:tcW w:w="3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Tempus|xR</w:t>
            </w:r>
          </w:p>
        </w:tc>
        <w:tc>
          <w:tcPr>
            <w:tcW w:w="1260" w:type="dxa"/>
            <w:vAlign w:val="bottom"/>
            <w:gridSpan w:val="2"/>
            <w:shd w:val="clear" w:color="auto" w:fill="CCEEFF"/>
          </w:tcPr>
          <w:p>
            <w:pPr>
              <w:jc w:val="right"/>
              <w:ind w:right="500"/>
              <w:spacing w:after="0" w:line="191" w:lineRule="exact"/>
              <w:rPr>
                <w:sz w:val="20"/>
                <w:szCs w:val="20"/>
                <w:color w:val="auto"/>
              </w:rPr>
            </w:pPr>
            <w:r>
              <w:rPr>
                <w:rFonts w:ascii="Times New Roman" w:cs="Times New Roman" w:eastAsia="Times New Roman" w:hAnsi="Times New Roman"/>
                <w:sz w:val="17"/>
                <w:szCs w:val="17"/>
                <w:color w:val="auto"/>
              </w:rPr>
              <w:t>2023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1" w:lineRule="exact"/>
              <w:rPr>
                <w:sz w:val="20"/>
                <w:szCs w:val="20"/>
                <w:color w:val="auto"/>
              </w:rPr>
            </w:pPr>
            <w:r>
              <w:rPr>
                <w:rFonts w:ascii="Times New Roman" w:cs="Times New Roman" w:eastAsia="Times New Roman" w:hAnsi="Times New Roman"/>
                <w:sz w:val="17"/>
                <w:szCs w:val="17"/>
                <w:color w:val="auto"/>
              </w:rPr>
              <w:t>   Full  transcriptomic  profiling  assay  for  solid  tumors  and  hematologic</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malignancies at 50 million paired end reads, offered as a separate test as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January 2023 (previous paired with xT and xE)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58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 Reports clinically relevant fusions for more than 100 targeted genes, as well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 altered splicing events for MET exon 14 and EGFRvIII, in an unbiased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comprehensive manner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58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 43.4% of patients were matched to a targeted therapy when DNA seq, RNA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seq, and immune biomarker assessment were combined, compared to 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 patients who had a therapy match using DNA seq alone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ectPr>
          <w:pgSz w:w="11900" w:h="16838" w:orient="portrait"/>
          <w:cols w:equalWidth="0" w:num="1">
            <w:col w:w="11300"/>
          </w:cols>
          <w:pgMar w:left="320" w:top="446" w:right="2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6" w:lineRule="exact"/>
        <w:rPr>
          <w:sz w:val="20"/>
          <w:szCs w:val="20"/>
          <w:color w:val="auto"/>
        </w:rPr>
      </w:pPr>
    </w:p>
    <w:p>
      <w:pPr>
        <w:spacing w:after="0"/>
        <w:tabs>
          <w:tab w:leader="none" w:pos="4240" w:val="left"/>
          <w:tab w:leader="none" w:pos="5480" w:val="left"/>
        </w:tabs>
        <w:rPr>
          <w:sz w:val="20"/>
          <w:szCs w:val="20"/>
          <w:color w:val="auto"/>
        </w:rPr>
      </w:pPr>
      <w:r>
        <w:rPr>
          <w:rFonts w:ascii="Times New Roman" w:cs="Times New Roman" w:eastAsia="Times New Roman" w:hAnsi="Times New Roman"/>
          <w:sz w:val="14"/>
          <w:szCs w:val="14"/>
          <w:b w:val="1"/>
          <w:bCs w:val="1"/>
          <w:u w:val="single" w:color="auto"/>
          <w:color w:val="auto"/>
        </w:rPr>
        <w:t>Lab Tests</w:t>
      </w:r>
      <w:r>
        <w:rPr>
          <w:sz w:val="20"/>
          <w:szCs w:val="20"/>
          <w:color w:val="auto"/>
        </w:rPr>
        <w:tab/>
      </w:r>
      <w:r>
        <w:rPr>
          <w:rFonts w:ascii="Times New Roman" w:cs="Times New Roman" w:eastAsia="Times New Roman" w:hAnsi="Times New Roman"/>
          <w:sz w:val="14"/>
          <w:szCs w:val="14"/>
          <w:b w:val="1"/>
          <w:bCs w:val="1"/>
          <w:u w:val="single" w:color="auto"/>
          <w:color w:val="auto"/>
        </w:rPr>
        <w:t>Launch Year</w:t>
      </w:r>
      <w:r>
        <w:rPr>
          <w:sz w:val="20"/>
          <w:szCs w:val="20"/>
          <w:color w:val="auto"/>
        </w:rPr>
        <w:tab/>
      </w:r>
      <w:r>
        <w:rPr>
          <w:rFonts w:ascii="Times New Roman" w:cs="Times New Roman" w:eastAsia="Times New Roman" w:hAnsi="Times New Roman"/>
          <w:sz w:val="13"/>
          <w:szCs w:val="13"/>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9785" cy="6889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9785" cy="688975"/>
                    </a:xfrm>
                    <a:prstGeom prst="rect">
                      <a:avLst/>
                    </a:prstGeom>
                    <a:noFill/>
                  </pic:spPr>
                </pic:pic>
              </a:graphicData>
            </a:graphic>
          </wp:anchor>
        </w:drawing>
      </w:r>
    </w:p>
    <w:p>
      <w:pPr>
        <w:spacing w:after="0" w:line="100" w:lineRule="exact"/>
        <w:rPr>
          <w:sz w:val="20"/>
          <w:szCs w:val="20"/>
          <w:color w:val="auto"/>
        </w:rPr>
      </w:pPr>
    </w:p>
    <w:p>
      <w:pPr>
        <w:jc w:val="both"/>
        <w:ind w:left="5840" w:right="20" w:hanging="347"/>
        <w:spacing w:after="0" w:line="276" w:lineRule="auto"/>
        <w:rPr>
          <w:sz w:val="20"/>
          <w:szCs w:val="20"/>
          <w:color w:val="auto"/>
        </w:rPr>
      </w:pPr>
      <w:r>
        <w:rPr>
          <w:rFonts w:ascii="Times New Roman" w:cs="Times New Roman" w:eastAsia="Times New Roman" w:hAnsi="Times New Roman"/>
          <w:sz w:val="17"/>
          <w:szCs w:val="17"/>
          <w:color w:val="auto"/>
        </w:rPr>
        <w:t>•     Among patients with identified fusions, 29% more patients were identified with a unique clinically actionable fusion that could be matched to a targeted therapy when RNA seq was incorporated, compared to DNA seq alone</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•      The test has an approximately 10-day quoted turnaround time</w:t>
      </w:r>
    </w:p>
    <w:p>
      <w:pPr>
        <w:spacing w:after="0" w:line="236"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launched xM, a high coverage methylation sequencing assay for monitoring for cancer recurrence and minimal residual disease on June 1, 2024, initially covering colorectal cancer with the potential to expand into additional indications. In November 2023, we entered into a Commercialization and Reference Laboratory Agreement with Personalis, Inc., or Personalis, pursuant to which we began marketing Personalis’ Personal Dx test in the United States initially in non-small cell lung cancer and breast cancer, as well as IO treatment response monitoring. Personalis will conduct additional development activities to further analytically validate the test in other indications. Personalis will perform tests ordered by patients through us and will bill such patients or payors.</w:t>
      </w:r>
    </w:p>
    <w:p>
      <w:pPr>
        <w:spacing w:after="0" w:line="17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137160</wp:posOffset>
            </wp:positionV>
            <wp:extent cx="6971030" cy="3236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71030" cy="323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ectPr>
          <w:pgSz w:w="11900" w:h="16838" w:orient="portrait"/>
          <w:cols w:equalWidth="0" w:num="1">
            <w:col w:w="11300"/>
          </w:cols>
          <w:pgMar w:left="320" w:top="447" w:right="2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288,000 samples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135890</wp:posOffset>
            </wp:positionV>
            <wp:extent cx="6804660" cy="40328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4660" cy="403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Neuropsychiatry Tests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entered neuropsychiatry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ectPr>
          <w:pgSz w:w="11900" w:h="16838" w:orient="portrait"/>
          <w:cols w:equalWidth="0" w:num="1">
            <w:col w:w="11300"/>
          </w:cols>
          <w:pgMar w:left="320" w:top="446" w:right="27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95"/>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0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372"/>
        </w:trPr>
        <w:tc>
          <w:tcPr>
            <w:tcW w:w="130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9"/>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Neuropsychiatry Test</w:t>
            </w:r>
          </w:p>
        </w:tc>
        <w:tc>
          <w:tcPr>
            <w:tcW w:w="200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r>
      <w:tr>
        <w:trPr>
          <w:trHeight w:val="295"/>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Tempus|nP</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   • </w:t>
            </w:r>
          </w:p>
        </w:tc>
        <w:tc>
          <w:tcPr>
            <w:tcW w:w="6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 Pharmacogenomic profiling for patients with psychiatric conditions; primarily used for</w:t>
            </w:r>
          </w:p>
        </w:tc>
      </w:tr>
      <w:tr>
        <w:trPr>
          <w:trHeight w:val="227"/>
        </w:trPr>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depression</w:t>
            </w:r>
          </w:p>
        </w:tc>
      </w:tr>
      <w:tr>
        <w:trPr>
          <w:trHeight w:val="309"/>
        </w:trPr>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 Covers 13 validated genes with known roles in pharmacokinetics, pharmacodynamics, and</w:t>
            </w:r>
          </w:p>
        </w:tc>
      </w:tr>
      <w:tr>
        <w:trPr>
          <w:trHeight w:val="209"/>
        </w:trPr>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immune  response  to  FDA  approved  medications  that  may  be  prescribed  in  the</w:t>
            </w:r>
          </w:p>
        </w:tc>
      </w:tr>
      <w:tr>
        <w:trPr>
          <w:trHeight w:val="227"/>
        </w:trPr>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neuropsychiatric space</w:t>
            </w:r>
          </w:p>
        </w:tc>
      </w:tr>
      <w:tr>
        <w:trPr>
          <w:trHeight w:val="309"/>
        </w:trPr>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 Uses matrix-assisted laser desorption ionization-time of flight (MALDI-TOF) mass</w:t>
            </w:r>
          </w:p>
        </w:tc>
      </w:tr>
      <w:tr>
        <w:trPr>
          <w:trHeight w:val="209"/>
        </w:trPr>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spectrometry to analyze 80 single nucleotide and small insertion-deletion (indel) variants</w:t>
            </w:r>
          </w:p>
        </w:tc>
      </w:tr>
      <w:tr>
        <w:trPr>
          <w:trHeight w:val="209"/>
        </w:trPr>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 the 13 genes. Concurrently, DNA fragment analysis is used to analyze copy number</w:t>
            </w:r>
          </w:p>
        </w:tc>
      </w:tr>
      <w:tr>
        <w:trPr>
          <w:trHeight w:val="227"/>
        </w:trPr>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variants in CYP2D6 and a large indel in the SLC6A4 promoter</w:t>
            </w: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7"/>
          <w:szCs w:val="17"/>
          <w:color w:val="auto"/>
        </w:rPr>
        <w:t>In an effort to bring AI to this field, we are not only performing pharmacogenomic profiling, we also regularly collect two additional data modalities:</w:t>
      </w:r>
    </w:p>
    <w:p>
      <w:pPr>
        <w:spacing w:after="0" w:line="32" w:lineRule="exact"/>
        <w:rPr>
          <w:sz w:val="20"/>
          <w:szCs w:val="20"/>
          <w:color w:val="auto"/>
        </w:rPr>
      </w:pPr>
    </w:p>
    <w:p>
      <w:pPr>
        <w:ind w:right="20" w:firstLine="5"/>
        <w:spacing w:after="0" w:line="273" w:lineRule="auto"/>
        <w:tabs>
          <w:tab w:leader="none" w:pos="24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on therapy data from the patient’s EHR (or directly from the ordering physician), and (ii) patient reported outcome, or PRO, data through our TempusPRO mobile application.</w:t>
      </w:r>
    </w:p>
    <w:p>
      <w:pPr>
        <w:spacing w:after="0" w:line="164"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Infectious Disease Tests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expanded into infectious diseases in 2020 due to the onset of the COVID-19 pandemic and launched PCR and NGS tests to detect the rapidly spreading virus. Our laboratory testing infrastructure and our relationships with a broad customer base enabled us to rapidly scale operations and deliver approximately 2.8 million COVID-19 clinical tests through March 31, 2023, after which we stopped offering such tests. We entered into clinical testing agreements with various clients, including pharmacies, urgent care centers, state departments of health, primary care providers, universities and schools, and corporate clients.</w:t>
      </w:r>
    </w:p>
    <w:p>
      <w:pPr>
        <w:spacing w:after="0" w:line="16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As COVID-19 testing has materially decreased in the United States in light of the broadly distributed vaccines and changes in CDC guidance as to whom should be tested, we have shifted resources away from COVID-19 testing and stopped offering COVID-19 PCR diagnostic tests in the first quarter of 2023. As such, we are focusing our efforts on other infectious diseases areas and on broader respiratory pathogen testing.</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Data and Services</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Data and Services product line facilitates drug discovery and development for life sciences companies through two primary products: Insights and Trials. We also maintain a growing tumor-derived biological modeling (or organoid) laboratory, which allows us to provide modeling and screening services to our pharmaceutical and biotech clients.</w:t>
      </w:r>
    </w:p>
    <w:p>
      <w:pPr>
        <w:spacing w:after="0" w:line="16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One way we measure our data business is based on the remaining total contract value (the “Remaining TCV”) that is contractually committed to be delivered in the future. As of December 31, 2023, we have signed contracts with a Remaining TCV of more than $920.0 million, which includes approximately $300.0 million in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168</w:t>
      </w:r>
    </w:p>
    <w:p>
      <w:pPr>
        <w:sectPr>
          <w:pgSz w:w="11900" w:h="16838" w:orient="portrait"/>
          <w:cols w:equalWidth="0" w:num="1">
            <w:col w:w="11300"/>
          </w:cols>
          <w:pgMar w:left="320" w:top="441" w:right="2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additional potential future contractual opt-ins.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and GSK, which, although listed under the Data and Services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Insights</w:t>
      </w:r>
    </w:p>
    <w:p>
      <w:pPr>
        <w:spacing w:after="0" w:line="120"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near-real time across multiple modalities and multiple disease areas, allowing us to work with pharmaceutical and biotechnology companies across the drug lifecycle—from discovery, research and development, and, ultimately, commercialization.</w:t>
      </w:r>
    </w:p>
    <w:p>
      <w:pPr>
        <w:spacing w:after="0" w:line="384"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19 of the 20 largest public pharmaceutical companies based on 2023 revenue.</w:t>
      </w:r>
    </w:p>
    <w:p>
      <w:pPr>
        <w:spacing w:after="0" w:line="169"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2023, Net Revenue Retention was approximately 125% compared to the same cohort of customers for the period ended December 31, 2022.</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ectPr>
          <w:pgSz w:w="11900" w:h="16838" w:orient="portrait"/>
          <w:cols w:equalWidth="0" w:num="1">
            <w:col w:w="11300"/>
          </w:cols>
          <w:pgMar w:left="320" w:top="446" w:right="2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203835</wp:posOffset>
            </wp:positionV>
            <wp:extent cx="6547485" cy="30206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47485" cy="302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71"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and services revenue is a component of data and services revenue in our Consolidated Statement of Operations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services in the Consolidated Statement of Operations. Cost of revenues, data and services were $40.2 million and $56.5 million for the years ended December 31, 2022 and 2023, respectively. These costs represented 32.8% and 33.5% of data and services revenue for the years ended December 31, 2022 and 2023, respectively.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ectPr>
          <w:pgSz w:w="11900" w:h="16838" w:orient="portrait"/>
          <w:cols w:equalWidth="0" w:num="1">
            <w:col w:w="11300"/>
          </w:cols>
          <w:pgMar w:left="320" w:top="446" w:right="2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“Cohort Lifetime Value” for the 2018 to 2023 data cohorts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169545</wp:posOffset>
            </wp:positionV>
            <wp:extent cx="6804660" cy="5734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0466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ectPr>
          <w:pgSz w:w="11900" w:h="16838" w:orient="portrait"/>
          <w:cols w:equalWidth="0" w:num="1">
            <w:col w:w="11300"/>
          </w:cols>
          <w:pgMar w:left="320" w:top="447" w:right="2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203835</wp:posOffset>
            </wp:positionV>
            <wp:extent cx="6804660" cy="8007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4660" cy="8007985"/>
                    </a:xfrm>
                    <a:prstGeom prst="rect">
                      <a:avLst/>
                    </a:prstGeom>
                    <a:noFill/>
                  </pic:spPr>
                </pic:pic>
              </a:graphicData>
            </a:graphic>
          </wp:anchor>
        </w:drawing>
      </w:r>
    </w:p>
    <w:p>
      <w:pPr>
        <w:sectPr>
          <w:pgSz w:w="11900" w:h="16838" w:orient="portrait"/>
          <w:cols w:equalWidth="0" w:num="1">
            <w:col w:w="10139"/>
          </w:cols>
          <w:pgMar w:left="320" w:top="4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172</w:t>
      </w:r>
    </w:p>
    <w:p>
      <w:pPr>
        <w:sectPr>
          <w:pgSz w:w="11900" w:h="16838" w:orient="portrait"/>
          <w:cols w:equalWidth="0" w:num="1">
            <w:col w:w="10139"/>
          </w:cols>
          <w:pgMar w:left="320" w:top="446" w:right="1440"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203835</wp:posOffset>
            </wp:positionV>
            <wp:extent cx="6804660" cy="26142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466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Trials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Trials is our second offering within our Data and Services product line and leverages our broad network of physicians we work with in oncology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w:t>
      </w:r>
    </w:p>
    <w:p>
      <w:pPr>
        <w:spacing w:after="0" w:line="17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78" w:lineRule="exact"/>
        <w:rPr>
          <w:sz w:val="20"/>
          <w:szCs w:val="20"/>
          <w:color w:val="auto"/>
        </w:rPr>
      </w:pPr>
    </w:p>
    <w:p>
      <w:pPr>
        <w:jc w:val="both"/>
        <w:ind w:firstLine="451"/>
        <w:spacing w:after="0" w:line="236" w:lineRule="auto"/>
        <w:rPr>
          <w:sz w:val="20"/>
          <w:szCs w:val="20"/>
          <w:color w:val="auto"/>
        </w:rPr>
      </w:pPr>
      <w:r>
        <w:rPr>
          <w:rFonts w:ascii="Times New Roman" w:cs="Times New Roman" w:eastAsia="Times New Roman" w:hAnsi="Times New Roman"/>
          <w:sz w:val="17"/>
          <w:szCs w:val="17"/>
          <w:color w:val="auto"/>
        </w:rPr>
        <w:t>Our clinical trial matching offering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7"/>
          <w:szCs w:val="17"/>
          <w:color w:val="auto"/>
        </w:rPr>
        <w:t xml:space="preserve"> program, which we launched in June of 2019. Since its introduction, this program has gained significant traction with more than 230 clinical trials signed into the network. More than 30,000 patients were identified for potential enrollment into clinical trials in our network as of March 31, 2024.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173</w:t>
      </w:r>
    </w:p>
    <w:p>
      <w:pPr>
        <w:sectPr>
          <w:pgSz w:w="11900" w:h="16838" w:orient="portrait"/>
          <w:cols w:equalWidth="0" w:num="1">
            <w:col w:w="11300"/>
          </w:cols>
          <w:pgMar w:left="320" w:top="446" w:right="2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203835</wp:posOffset>
            </wp:positionV>
            <wp:extent cx="6480810" cy="40163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480810" cy="401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two weeks on average in 2023.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135890</wp:posOffset>
            </wp:positionV>
            <wp:extent cx="6414770" cy="34270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14770" cy="3427095"/>
                    </a:xfrm>
                    <a:prstGeom prst="rect">
                      <a:avLst/>
                    </a:prstGeom>
                    <a:noFill/>
                  </pic:spPr>
                </pic:pic>
              </a:graphicData>
            </a:graphic>
          </wp:anchor>
        </w:drawing>
      </w:r>
    </w:p>
    <w:p>
      <w:pPr>
        <w:sectPr>
          <w:pgSz w:w="11900" w:h="16838" w:orient="portrait"/>
          <w:cols w:equalWidth="0" w:num="1">
            <w:col w:w="11300"/>
          </w:cols>
          <w:pgMar w:left="320" w:top="44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174</w:t>
      </w:r>
    </w:p>
    <w:p>
      <w:pPr>
        <w:sectPr>
          <w:pgSz w:w="11900" w:h="16838" w:orient="portrait"/>
          <w:cols w:equalWidth="0" w:num="1">
            <w:col w:w="11300"/>
          </w:cols>
          <w:pgMar w:left="320" w:top="446" w:right="27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firstLine="451"/>
        <w:spacing w:after="0" w:line="264" w:lineRule="auto"/>
        <w:rPr>
          <w:sz w:val="20"/>
          <w:szCs w:val="20"/>
          <w:color w:val="auto"/>
        </w:rPr>
      </w:pPr>
      <w:r>
        <w:rPr>
          <w:rFonts w:ascii="Times New Roman" w:cs="Times New Roman" w:eastAsia="Times New Roman" w:hAnsi="Times New Roman"/>
          <w:sz w:val="17"/>
          <w:szCs w:val="17"/>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Tumor Derived Biological Modeling—Organoids</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approximately 4,000 tumor samples to date.</w:t>
      </w:r>
    </w:p>
    <w:p>
      <w:pPr>
        <w:spacing w:after="0" w:line="175"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62"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AI Applications</w:t>
      </w:r>
    </w:p>
    <w:p>
      <w:pPr>
        <w:spacing w:after="0" w:line="12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The vastness of our dataset, along with our connected platform, creates an opportunity to use data to algorithmically diagnose and treat patients. 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 While we plan to continue developing our own proprietary software and algorithms, from time to time, we also utilize open source technologies or in-license technologies from third parties.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175</w:t>
      </w:r>
    </w:p>
    <w:p>
      <w:pPr>
        <w:sectPr>
          <w:pgSz w:w="11900" w:h="16838" w:orient="portrait"/>
          <w:cols w:equalWidth="0" w:num="1">
            <w:col w:w="11300"/>
          </w:cols>
          <w:pgMar w:left="320" w:top="446" w:right="2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169545</wp:posOffset>
            </wp:positionV>
            <wp:extent cx="6971030" cy="59004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71030" cy="590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176</w:t>
      </w:r>
    </w:p>
    <w:p>
      <w:pPr>
        <w:sectPr>
          <w:pgSz w:w="11900" w:h="16838" w:orient="portrait"/>
          <w:cols w:equalWidth="0" w:num="1">
            <w:col w:w="11280"/>
          </w:cols>
          <w:pgMar w:left="320" w:top="447" w:right="2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Oncology Algos Portfolio</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believe our robust, multimodal dataset creates an opportunity for Algos that otherwise would not be possible and allows us to build AI models at scale, clinically validate them, and deploy the resulting Algos into clinical practice. We currently offer a suite of Algos in oncology, and have more in various stages of development. As of March 31, 2024, more than 58,000 molecular oncology Algos have been ordered with our various genomic assays. Most of the Algos we currently offer are part of our xR assay, and we do not bill separately for them.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Algo</w:t>
            </w:r>
          </w:p>
        </w:tc>
        <w:tc>
          <w:tcPr>
            <w:tcW w:w="35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02"/>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Oncology</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r>
      <w:tr>
        <w:trPr>
          <w:trHeight w:val="256"/>
        </w:trPr>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Tumor Origin (“TO”) Test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48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   Predicts the site of origin for cancer patients whose primary tumor site is</w:t>
            </w:r>
          </w:p>
        </w:tc>
      </w:tr>
      <w:tr>
        <w:trPr>
          <w:trHeight w:val="227"/>
        </w:trPr>
        <w:tc>
          <w:tcPr>
            <w:tcW w:w="3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unknown using tumor RNA expression results</w:t>
            </w:r>
          </w:p>
        </w:tc>
      </w:tr>
      <w:tr>
        <w:trPr>
          <w:trHeight w:val="309"/>
        </w:trPr>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   Intended use of the TO test is for cancers of unknown primary, or CUPs, and</w:t>
            </w:r>
          </w:p>
        </w:tc>
      </w:tr>
      <w:tr>
        <w:trPr>
          <w:trHeight w:val="209"/>
        </w:trPr>
        <w:tc>
          <w:tcPr>
            <w:tcW w:w="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may help clinicians make more informed decisions where other clinical</w:t>
            </w:r>
          </w:p>
        </w:tc>
      </w:tr>
      <w:tr>
        <w:trPr>
          <w:trHeight w:val="209"/>
        </w:trPr>
        <w:tc>
          <w:tcPr>
            <w:tcW w:w="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information like imaging and immunohistochemistry results do not provide a</w:t>
            </w:r>
          </w:p>
        </w:tc>
      </w:tr>
      <w:tr>
        <w:trPr>
          <w:trHeight w:val="227"/>
        </w:trPr>
        <w:tc>
          <w:tcPr>
            <w:tcW w:w="3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definitive diagnosis</w:t>
            </w:r>
          </w:p>
        </w:tc>
      </w:tr>
      <w:tr>
        <w:trPr>
          <w:trHeight w:val="309"/>
        </w:trPr>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 Uses information from analysis of nucleic acids by NGS performed as part of</w:t>
            </w:r>
          </w:p>
        </w:tc>
      </w:tr>
      <w:tr>
        <w:trPr>
          <w:trHeight w:val="227"/>
        </w:trPr>
        <w:tc>
          <w:tcPr>
            <w:tcW w:w="3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 separately ordered genomic or transcriptomic test</w:t>
            </w:r>
          </w:p>
        </w:tc>
      </w:tr>
      <w:tr>
        <w:trPr>
          <w:trHeight w:val="309"/>
        </w:trPr>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   Built using a large internal database of more than 20,000 annotated tumors</w:t>
            </w:r>
          </w:p>
        </w:tc>
      </w:tr>
      <w:tr>
        <w:trPr>
          <w:trHeight w:val="209"/>
        </w:trPr>
        <w:tc>
          <w:tcPr>
            <w:tcW w:w="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with transcriptomic molecular data. By comparing the molecular profile</w:t>
            </w:r>
          </w:p>
        </w:tc>
      </w:tr>
      <w:tr>
        <w:trPr>
          <w:trHeight w:val="209"/>
        </w:trPr>
        <w:tc>
          <w:tcPr>
            <w:tcW w:w="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(transcriptome) of the patient’s cancer with profiles of other cancers in our</w:t>
            </w:r>
          </w:p>
        </w:tc>
      </w:tr>
      <w:tr>
        <w:trPr>
          <w:trHeight w:val="209"/>
        </w:trPr>
        <w:tc>
          <w:tcPr>
            <w:tcW w:w="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database, we can help pinpoint the origin of the patient’s cancer, potentially</w:t>
            </w:r>
          </w:p>
        </w:tc>
      </w:tr>
      <w:tr>
        <w:trPr>
          <w:trHeight w:val="227"/>
        </w:trPr>
        <w:tc>
          <w:tcPr>
            <w:tcW w:w="3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helping to inform the course of therapy</w:t>
            </w:r>
          </w:p>
        </w:tc>
      </w:tr>
      <w:tr>
        <w:trPr>
          <w:trHeight w:val="309"/>
        </w:trPr>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 For the year ended December 31, 2023, ordered on approximately 10% of our</w:t>
            </w:r>
          </w:p>
        </w:tc>
      </w:tr>
      <w:tr>
        <w:trPr>
          <w:trHeight w:val="227"/>
        </w:trPr>
        <w:tc>
          <w:tcPr>
            <w:tcW w:w="3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solid tumor profiles</w:t>
            </w:r>
          </w:p>
        </w:tc>
      </w:tr>
      <w:tr>
        <w:trPr>
          <w:trHeight w:val="79"/>
        </w:trPr>
        <w:tc>
          <w:tcPr>
            <w:tcW w:w="300" w:type="dxa"/>
            <w:vAlign w:val="bottom"/>
          </w:tcPr>
          <w:p>
            <w:pPr>
              <w:spacing w:after="0"/>
              <w:rPr>
                <w:sz w:val="6"/>
                <w:szCs w:val="6"/>
                <w:color w:val="auto"/>
              </w:rPr>
            </w:pPr>
          </w:p>
        </w:tc>
        <w:tc>
          <w:tcPr>
            <w:tcW w:w="3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100" w:type="dxa"/>
            <w:vAlign w:val="bottom"/>
          </w:tcPr>
          <w:p>
            <w:pPr>
              <w:spacing w:after="0"/>
              <w:rPr>
                <w:sz w:val="6"/>
                <w:szCs w:val="6"/>
                <w:color w:val="auto"/>
              </w:rPr>
            </w:pPr>
          </w:p>
        </w:tc>
      </w:tr>
      <w:tr>
        <w:trPr>
          <w:trHeight w:val="191"/>
        </w:trPr>
        <w:tc>
          <w:tcPr>
            <w:tcW w:w="38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Homologous Recombination Deficiency (“HRD”)</w:t>
            </w:r>
          </w:p>
        </w:tc>
        <w:tc>
          <w:tcPr>
            <w:tcW w:w="114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2020</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   A DNA-based algorithmic test that helps identify if a patient has HRD,</w:t>
            </w:r>
          </w:p>
        </w:tc>
      </w:tr>
      <w:tr>
        <w:trPr>
          <w:trHeight w:val="209"/>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Test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providing a comprehensive view into a patient’s ability to repair double-</w:t>
            </w:r>
          </w:p>
        </w:tc>
      </w:tr>
      <w:tr>
        <w:trPr>
          <w:trHeight w:val="227"/>
        </w:trPr>
        <w:tc>
          <w:tcPr>
            <w:tcW w:w="30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stranded DNA breaks</w:t>
            </w:r>
          </w:p>
        </w:tc>
      </w:tr>
      <w:tr>
        <w:trPr>
          <w:trHeight w:val="309"/>
        </w:trPr>
        <w:tc>
          <w:tcPr>
            <w:tcW w:w="30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 HRD status can be used to identify patients who may be sensitive to PARP</w:t>
            </w:r>
          </w:p>
        </w:tc>
      </w:tr>
      <w:tr>
        <w:trPr>
          <w:trHeight w:val="227"/>
        </w:trPr>
        <w:tc>
          <w:tcPr>
            <w:tcW w:w="30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inhibitors and/or platinum-based chemotherapy</w:t>
            </w:r>
          </w:p>
        </w:tc>
      </w:tr>
      <w:tr>
        <w:trPr>
          <w:trHeight w:val="309"/>
        </w:trPr>
        <w:tc>
          <w:tcPr>
            <w:tcW w:w="30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 Takes into account results from our solid tumor profiling, giving a full view</w:t>
            </w:r>
          </w:p>
        </w:tc>
      </w:tr>
      <w:tr>
        <w:trPr>
          <w:trHeight w:val="209"/>
        </w:trPr>
        <w:tc>
          <w:tcPr>
            <w:tcW w:w="3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into commonly mutated genes in the HR-pathway, along with a genome wide</w:t>
            </w:r>
          </w:p>
        </w:tc>
      </w:tr>
      <w:tr>
        <w:trPr>
          <w:trHeight w:val="227"/>
        </w:trPr>
        <w:tc>
          <w:tcPr>
            <w:tcW w:w="30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 LOH score, giving a clinician a complete view of HRD status</w:t>
            </w:r>
          </w:p>
        </w:tc>
      </w:tr>
      <w:tr>
        <w:trPr>
          <w:trHeight w:val="309"/>
        </w:trPr>
        <w:tc>
          <w:tcPr>
            <w:tcW w:w="30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 Can be ordered across all major cancer subtypes and does not require</w:t>
            </w:r>
          </w:p>
        </w:tc>
      </w:tr>
      <w:tr>
        <w:trPr>
          <w:trHeight w:val="227"/>
        </w:trPr>
        <w:tc>
          <w:tcPr>
            <w:tcW w:w="30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tissue from the patient</w:t>
            </w:r>
          </w:p>
        </w:tc>
      </w:tr>
      <w:tr>
        <w:trPr>
          <w:trHeight w:val="309"/>
        </w:trPr>
        <w:tc>
          <w:tcPr>
            <w:tcW w:w="30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   Currently incorporating RNA into a second version of the algorithm, which is</w:t>
            </w:r>
          </w:p>
        </w:tc>
      </w:tr>
      <w:tr>
        <w:trPr>
          <w:trHeight w:val="241"/>
        </w:trPr>
        <w:tc>
          <w:tcPr>
            <w:tcW w:w="30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intended to improve prediction</w:t>
            </w:r>
          </w:p>
        </w:tc>
      </w:tr>
      <w:tr>
        <w:trPr>
          <w:trHeight w:val="353"/>
        </w:trPr>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177</w:t>
            </w:r>
          </w:p>
        </w:tc>
        <w:tc>
          <w:tcPr>
            <w:tcW w:w="5100" w:type="dxa"/>
            <w:vAlign w:val="bottom"/>
          </w:tcPr>
          <w:p>
            <w:pPr>
              <w:spacing w:after="0"/>
              <w:rPr>
                <w:sz w:val="24"/>
                <w:szCs w:val="24"/>
                <w:color w:val="auto"/>
              </w:rPr>
            </w:pPr>
          </w:p>
        </w:tc>
      </w:tr>
    </w:tbl>
    <w:p>
      <w:pPr>
        <w:sectPr>
          <w:pgSz w:w="11900" w:h="16838" w:orient="portrait"/>
          <w:cols w:equalWidth="0" w:num="1">
            <w:col w:w="11300"/>
          </w:cols>
          <w:pgMar w:left="320" w:top="446" w:right="2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58"/>
        </w:trPr>
        <w:tc>
          <w:tcPr>
            <w:tcW w:w="300" w:type="dxa"/>
            <w:vAlign w:val="bottom"/>
            <w:tcBorders>
              <w:top w:val="single" w:sz="8" w:color="auto"/>
            </w:tcBorders>
          </w:tcPr>
          <w:p>
            <w:pPr>
              <w:spacing w:after="0"/>
              <w:rPr>
                <w:sz w:val="5"/>
                <w:szCs w:val="5"/>
                <w:color w:val="auto"/>
              </w:rPr>
            </w:pPr>
          </w:p>
        </w:tc>
        <w:tc>
          <w:tcPr>
            <w:tcW w:w="3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76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Dihydropyrimidine Dehydrogenase Deficiency</w:t>
            </w: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ind w:left="80"/>
              <w:spacing w:after="0" w:line="191" w:lineRule="exact"/>
              <w:rPr>
                <w:sz w:val="20"/>
                <w:szCs w:val="20"/>
                <w:color w:val="auto"/>
              </w:rPr>
            </w:pPr>
            <w:r>
              <w:rPr>
                <w:rFonts w:ascii="Times New Roman" w:cs="Times New Roman" w:eastAsia="Times New Roman" w:hAnsi="Times New Roman"/>
                <w:sz w:val="17"/>
                <w:szCs w:val="17"/>
                <w:color w:val="auto"/>
              </w:rPr>
              <w:t> </w:t>
            </w: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w w:val="93"/>
              </w:rPr>
              <w:t> </w:t>
            </w:r>
          </w:p>
        </w:tc>
        <w:tc>
          <w:tcPr>
            <w:tcW w:w="56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xml:space="preserve">   Identifies certain alterations in the </w:t>
            </w:r>
            <w:r>
              <w:rPr>
                <w:rFonts w:ascii="Times New Roman" w:cs="Times New Roman" w:eastAsia="Times New Roman" w:hAnsi="Times New Roman"/>
                <w:sz w:val="17"/>
                <w:szCs w:val="17"/>
                <w:i w:val="1"/>
                <w:iCs w:val="1"/>
                <w:color w:val="auto"/>
              </w:rPr>
              <w:t>DPYD</w:t>
            </w:r>
            <w:r>
              <w:rPr>
                <w:rFonts w:ascii="Times New Roman" w:cs="Times New Roman" w:eastAsia="Times New Roman" w:hAnsi="Times New Roman"/>
                <w:sz w:val="17"/>
                <w:szCs w:val="17"/>
                <w:color w:val="auto"/>
              </w:rPr>
              <w:t xml:space="preserve"> gene, which may be associated with</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(“DPYD”) Test</w:t>
            </w:r>
          </w:p>
        </w:tc>
        <w:tc>
          <w:tcPr>
            <w:tcW w:w="12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2021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 patient’s potential toxicity to 5-FU/Capecitabine chemotherapy based on the</w:t>
            </w: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associated drug labeling and guidelines from the Clinical Pharmacogenomics</w:t>
            </w:r>
          </w:p>
        </w:tc>
        <w:tc>
          <w:tcPr>
            <w:tcW w:w="0" w:type="dxa"/>
            <w:vAlign w:val="bottom"/>
          </w:tcPr>
          <w:p>
            <w:pPr>
              <w:spacing w:after="0"/>
              <w:rPr>
                <w:sz w:val="1"/>
                <w:szCs w:val="1"/>
                <w:color w:val="auto"/>
              </w:rPr>
            </w:pPr>
          </w:p>
        </w:tc>
      </w:tr>
      <w:tr>
        <w:trPr>
          <w:trHeight w:val="227"/>
        </w:trPr>
        <w:tc>
          <w:tcPr>
            <w:tcW w:w="3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Implementation Consortium, or CPIC.</w:t>
            </w:r>
          </w:p>
        </w:tc>
        <w:tc>
          <w:tcPr>
            <w:tcW w:w="0" w:type="dxa"/>
            <w:vAlign w:val="bottom"/>
          </w:tcPr>
          <w:p>
            <w:pPr>
              <w:spacing w:after="0"/>
              <w:rPr>
                <w:sz w:val="1"/>
                <w:szCs w:val="1"/>
                <w:color w:val="auto"/>
              </w:rPr>
            </w:pPr>
          </w:p>
        </w:tc>
      </w:tr>
      <w:tr>
        <w:trPr>
          <w:trHeight w:val="309"/>
        </w:trPr>
        <w:tc>
          <w:tcPr>
            <w:tcW w:w="30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 Provides insight into the potential likelihood of a patient developing severe or</w:t>
            </w:r>
          </w:p>
        </w:tc>
        <w:tc>
          <w:tcPr>
            <w:tcW w:w="0" w:type="dxa"/>
            <w:vAlign w:val="bottom"/>
          </w:tcPr>
          <w:p>
            <w:pPr>
              <w:spacing w:after="0"/>
              <w:rPr>
                <w:sz w:val="1"/>
                <w:szCs w:val="1"/>
                <w:color w:val="auto"/>
              </w:rPr>
            </w:pPr>
          </w:p>
        </w:tc>
      </w:tr>
      <w:tr>
        <w:trPr>
          <w:trHeight w:val="207"/>
        </w:trPr>
        <w:tc>
          <w:tcPr>
            <w:tcW w:w="3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even fatal toxicity of 5-FU/Capecitabine chemotherapy by covering five</w:t>
            </w:r>
          </w:p>
        </w:tc>
        <w:tc>
          <w:tcPr>
            <w:tcW w:w="0" w:type="dxa"/>
            <w:vAlign w:val="bottom"/>
          </w:tcPr>
          <w:p>
            <w:pPr>
              <w:spacing w:after="0"/>
              <w:rPr>
                <w:sz w:val="1"/>
                <w:szCs w:val="1"/>
                <w:color w:val="auto"/>
              </w:rPr>
            </w:pPr>
          </w:p>
        </w:tc>
      </w:tr>
      <w:tr>
        <w:trPr>
          <w:trHeight w:val="211"/>
        </w:trPr>
        <w:tc>
          <w:tcPr>
            <w:tcW w:w="3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 xml:space="preserve">SNVs in </w:t>
            </w:r>
            <w:r>
              <w:rPr>
                <w:rFonts w:ascii="Times New Roman" w:cs="Times New Roman" w:eastAsia="Times New Roman" w:hAnsi="Times New Roman"/>
                <w:sz w:val="17"/>
                <w:szCs w:val="17"/>
                <w:i w:val="1"/>
                <w:iCs w:val="1"/>
                <w:color w:val="auto"/>
              </w:rPr>
              <w:t>DPYD</w:t>
            </w:r>
            <w:r>
              <w:rPr>
                <w:rFonts w:ascii="Times New Roman" w:cs="Times New Roman" w:eastAsia="Times New Roman" w:hAnsi="Times New Roman"/>
                <w:sz w:val="17"/>
                <w:szCs w:val="17"/>
                <w:color w:val="auto"/>
              </w:rPr>
              <w:t xml:space="preserve"> genes, providing a more complete patient profile. According</w:t>
            </w: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 CPIC, 5-7% of patients test positive for DPYD deficiency and should be</w:t>
            </w:r>
          </w:p>
        </w:tc>
        <w:tc>
          <w:tcPr>
            <w:tcW w:w="0" w:type="dxa"/>
            <w:vAlign w:val="bottom"/>
          </w:tcPr>
          <w:p>
            <w:pPr>
              <w:spacing w:after="0"/>
              <w:rPr>
                <w:sz w:val="1"/>
                <w:szCs w:val="1"/>
                <w:color w:val="auto"/>
              </w:rPr>
            </w:pPr>
          </w:p>
        </w:tc>
      </w:tr>
      <w:tr>
        <w:trPr>
          <w:trHeight w:val="227"/>
        </w:trPr>
        <w:tc>
          <w:tcPr>
            <w:tcW w:w="3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considered for monitoring or dose reduction.</w:t>
            </w:r>
          </w:p>
        </w:tc>
        <w:tc>
          <w:tcPr>
            <w:tcW w:w="0" w:type="dxa"/>
            <w:vAlign w:val="bottom"/>
          </w:tcPr>
          <w:p>
            <w:pPr>
              <w:spacing w:after="0"/>
              <w:rPr>
                <w:sz w:val="1"/>
                <w:szCs w:val="1"/>
                <w:color w:val="auto"/>
              </w:rPr>
            </w:pPr>
          </w:p>
        </w:tc>
      </w:tr>
      <w:tr>
        <w:trPr>
          <w:trHeight w:val="309"/>
        </w:trPr>
        <w:tc>
          <w:tcPr>
            <w:tcW w:w="30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 This algorithm uses sequencing data generated as a part of a separately-</w:t>
            </w:r>
          </w:p>
        </w:tc>
        <w:tc>
          <w:tcPr>
            <w:tcW w:w="0" w:type="dxa"/>
            <w:vAlign w:val="bottom"/>
          </w:tcPr>
          <w:p>
            <w:pPr>
              <w:spacing w:after="0"/>
              <w:rPr>
                <w:sz w:val="1"/>
                <w:szCs w:val="1"/>
                <w:color w:val="auto"/>
              </w:rPr>
            </w:pPr>
          </w:p>
        </w:tc>
      </w:tr>
      <w:tr>
        <w:trPr>
          <w:trHeight w:val="227"/>
        </w:trPr>
        <w:tc>
          <w:tcPr>
            <w:tcW w:w="3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ordered Tempus|xT Solid Tumor + Normal test.</w:t>
            </w:r>
          </w:p>
        </w:tc>
        <w:tc>
          <w:tcPr>
            <w:tcW w:w="0" w:type="dxa"/>
            <w:vAlign w:val="bottom"/>
          </w:tcPr>
          <w:p>
            <w:pPr>
              <w:spacing w:after="0"/>
              <w:rPr>
                <w:sz w:val="1"/>
                <w:szCs w:val="1"/>
                <w:color w:val="auto"/>
              </w:rPr>
            </w:pPr>
          </w:p>
        </w:tc>
      </w:tr>
      <w:tr>
        <w:trPr>
          <w:trHeight w:val="309"/>
        </w:trPr>
        <w:tc>
          <w:tcPr>
            <w:tcW w:w="30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 Tempus DPYD is available pan-cancer although it is most relevant in</w:t>
            </w: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colorectal, breast, pancreatic and GI cancer patients who are being considered</w:t>
            </w:r>
          </w:p>
        </w:tc>
        <w:tc>
          <w:tcPr>
            <w:tcW w:w="0" w:type="dxa"/>
            <w:vAlign w:val="bottom"/>
          </w:tcPr>
          <w:p>
            <w:pPr>
              <w:spacing w:after="0"/>
              <w:rPr>
                <w:sz w:val="1"/>
                <w:szCs w:val="1"/>
                <w:color w:val="auto"/>
              </w:rPr>
            </w:pPr>
          </w:p>
        </w:tc>
      </w:tr>
      <w:tr>
        <w:trPr>
          <w:trHeight w:val="241"/>
        </w:trPr>
        <w:tc>
          <w:tcPr>
            <w:tcW w:w="30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 treatment with 5-FU/Capecitabine chemotherapy.</w:t>
            </w:r>
          </w:p>
        </w:tc>
        <w:tc>
          <w:tcPr>
            <w:tcW w:w="0" w:type="dxa"/>
            <w:vAlign w:val="bottom"/>
          </w:tcPr>
          <w:p>
            <w:pPr>
              <w:spacing w:after="0"/>
              <w:rPr>
                <w:sz w:val="1"/>
                <w:szCs w:val="1"/>
                <w:color w:val="auto"/>
              </w:rPr>
            </w:pPr>
          </w:p>
        </w:tc>
      </w:tr>
      <w:tr>
        <w:trPr>
          <w:trHeight w:val="256"/>
        </w:trPr>
        <w:tc>
          <w:tcPr>
            <w:tcW w:w="3760" w:type="dxa"/>
            <w:vAlign w:val="bottom"/>
            <w:gridSpan w:val="2"/>
          </w:tcPr>
          <w:p>
            <w:pPr>
              <w:spacing w:after="0" w:line="256" w:lineRule="exact"/>
              <w:rPr>
                <w:sz w:val="20"/>
                <w:szCs w:val="20"/>
                <w:color w:val="auto"/>
              </w:rPr>
            </w:pPr>
            <w:r>
              <w:rPr>
                <w:rFonts w:ascii="Times New Roman" w:cs="Times New Roman" w:eastAsia="Times New Roman" w:hAnsi="Times New Roman"/>
                <w:sz w:val="17"/>
                <w:szCs w:val="17"/>
                <w:color w:val="auto"/>
              </w:rPr>
              <w:t>Tempus Purist</w:t>
            </w:r>
            <w:r>
              <w:rPr>
                <w:rFonts w:ascii="Times New Roman" w:cs="Times New Roman" w:eastAsia="Times New Roman" w:hAnsi="Times New Roman"/>
                <w:sz w:val="26"/>
                <w:szCs w:val="26"/>
                <w:color w:val="auto"/>
                <w:vertAlign w:val="superscript"/>
              </w:rPr>
              <w:t>SM</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48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7"/>
                <w:szCs w:val="17"/>
                <w:color w:val="auto"/>
              </w:rPr>
              <w:t>   Tempus Purist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7"/>
                <w:szCs w:val="17"/>
                <w:color w:val="auto"/>
              </w:rPr>
              <w:t xml:space="preserve">  test  is  an  algorithm  that  classifies  pancreatic  ductal</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adenocarcinomas (PDAC) patients into one of two subtypes (basal-like or</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classical).</w:t>
            </w:r>
          </w:p>
        </w:tc>
        <w:tc>
          <w:tcPr>
            <w:tcW w:w="0" w:type="dxa"/>
            <w:vAlign w:val="bottom"/>
          </w:tcPr>
          <w:p>
            <w:pPr>
              <w:spacing w:after="0"/>
              <w:rPr>
                <w:sz w:val="1"/>
                <w:szCs w:val="1"/>
                <w:color w:val="auto"/>
              </w:rPr>
            </w:pPr>
          </w:p>
        </w:tc>
      </w:tr>
      <w:tr>
        <w:trPr>
          <w:trHeight w:val="309"/>
        </w:trPr>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 Patients with the basal subtype have a worse prognosis and are less likely to</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benefit from FOLFIRINOX therapy than classical patients.</w:t>
            </w:r>
          </w:p>
        </w:tc>
        <w:tc>
          <w:tcPr>
            <w:tcW w:w="0" w:type="dxa"/>
            <w:vAlign w:val="bottom"/>
          </w:tcPr>
          <w:p>
            <w:pPr>
              <w:spacing w:after="0"/>
              <w:rPr>
                <w:sz w:val="1"/>
                <w:szCs w:val="1"/>
                <w:color w:val="auto"/>
              </w:rPr>
            </w:pPr>
          </w:p>
        </w:tc>
      </w:tr>
      <w:tr>
        <w:trPr>
          <w:trHeight w:val="309"/>
        </w:trPr>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 Uses information from nucleic acids by NGS performed as part of a</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separately ordered genomic or transcriptomic test.</w:t>
            </w:r>
          </w:p>
        </w:tc>
        <w:tc>
          <w:tcPr>
            <w:tcW w:w="0" w:type="dxa"/>
            <w:vAlign w:val="bottom"/>
          </w:tcPr>
          <w:p>
            <w:pPr>
              <w:spacing w:after="0"/>
              <w:rPr>
                <w:sz w:val="1"/>
                <w:szCs w:val="1"/>
                <w:color w:val="auto"/>
              </w:rPr>
            </w:pPr>
          </w:p>
        </w:tc>
      </w:tr>
      <w:tr>
        <w:trPr>
          <w:trHeight w:val="309"/>
        </w:trPr>
        <w:tc>
          <w:tcPr>
            <w:tcW w:w="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 USES a k-top scoring pair (k-TSP) method (8 top scoring pairs, 16 genes in</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to assign a basal probability score. Patients with a basal probability</w:t>
            </w:r>
          </w:p>
        </w:tc>
        <w:tc>
          <w:tcPr>
            <w:tcW w:w="0" w:type="dxa"/>
            <w:vAlign w:val="bottom"/>
          </w:tcPr>
          <w:p>
            <w:pPr>
              <w:spacing w:after="0"/>
              <w:rPr>
                <w:sz w:val="1"/>
                <w:szCs w:val="1"/>
                <w:color w:val="auto"/>
              </w:rPr>
            </w:pPr>
          </w:p>
        </w:tc>
      </w:tr>
    </w:tbl>
    <w:p>
      <w:pPr>
        <w:ind w:left="5860"/>
        <w:spacing w:after="0"/>
        <w:rPr>
          <w:sz w:val="20"/>
          <w:szCs w:val="20"/>
          <w:color w:val="auto"/>
        </w:rPr>
      </w:pPr>
      <w:r>
        <w:rPr>
          <w:rFonts w:ascii="Times New Roman" w:cs="Times New Roman" w:eastAsia="Times New Roman" w:hAnsi="Times New Roman"/>
          <w:sz w:val="17"/>
          <w:szCs w:val="17"/>
          <w:color w:val="auto"/>
        </w:rPr>
        <w:t>score of ≥50 are categorized as basal subtype, while those with basal</w:t>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probability score &lt;50 are categorized as classical subtype.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Cardiology Algos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178</w:t>
      </w:r>
    </w:p>
    <w:p>
      <w:pPr>
        <w:sectPr>
          <w:pgSz w:w="11900" w:h="16838" w:orient="portrait"/>
          <w:cols w:equalWidth="0" w:num="1">
            <w:col w:w="11300"/>
          </w:cols>
          <w:pgMar w:left="320" w:top="447" w:right="2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disease progression. More than 80 hospitals nationwide are currently powered by Tempus Next and more than 44,000 patients are screened per month.</w:t>
      </w:r>
    </w:p>
    <w:p>
      <w:pPr>
        <w:spacing w:after="0" w:line="162" w:lineRule="exact"/>
        <w:rPr>
          <w:sz w:val="20"/>
          <w:szCs w:val="20"/>
          <w:color w:val="auto"/>
        </w:rPr>
      </w:pPr>
    </w:p>
    <w:p>
      <w:pPr>
        <w:jc w:val="both"/>
        <w:ind w:firstLine="451"/>
        <w:spacing w:after="0" w:line="241" w:lineRule="auto"/>
        <w:rPr>
          <w:sz w:val="20"/>
          <w:szCs w:val="20"/>
          <w:color w:val="auto"/>
        </w:rPr>
      </w:pPr>
      <w:r>
        <w:rPr>
          <w:rFonts w:ascii="Times New Roman" w:cs="Times New Roman" w:eastAsia="Times New Roman" w:hAnsi="Times New Roman"/>
          <w:sz w:val="17"/>
          <w:szCs w:val="17"/>
          <w:color w:val="auto"/>
        </w:rPr>
        <w:t>We are also developing algorithmic models that aid clinicians in identifying patients at increased risk of developing atrial fibrillation, or AFib, along with a variety of other cardiac conditions. These Algos are trained using a de-identified subset from approximately 3.5 million ECGs, across more than 700,000 patients, with decades of longitudinal clinical data, including outcome and response data. The FDA granted Tempus breakthrough status for our first ECG software device, which employs a diagnostic algorithm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7"/>
          <w:szCs w:val="17"/>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7"/>
          <w:szCs w:val="17"/>
          <w:color w:val="auto"/>
        </w:rPr>
        <w:t>-VASc score of ≥4)).</w:t>
      </w:r>
    </w:p>
    <w:p>
      <w:pPr>
        <w:sectPr>
          <w:pgSz w:w="11900" w:h="16838" w:orient="portrait"/>
          <w:cols w:equalWidth="0" w:num="1">
            <w:col w:w="11300"/>
          </w:cols>
          <w:pgMar w:left="320" w:top="446" w:right="279" w:bottom="1440" w:gutter="0" w:footer="0" w:header="0"/>
        </w:sect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Algo</w:t>
            </w:r>
          </w:p>
        </w:tc>
        <w:tc>
          <w:tcPr>
            <w:tcW w:w="2540" w:type="dxa"/>
            <w:vAlign w:val="bottom"/>
            <w:vMerge w:val="restart"/>
          </w:tcPr>
          <w:p>
            <w:pPr>
              <w:spacing w:after="0"/>
              <w:rPr>
                <w:sz w:val="13"/>
                <w:szCs w:val="13"/>
                <w:color w:val="auto"/>
              </w:rPr>
            </w:pPr>
          </w:p>
        </w:tc>
        <w:tc>
          <w:tcPr>
            <w:tcW w:w="1800" w:type="dxa"/>
            <w:vAlign w:val="bottom"/>
            <w:gridSpan w:val="3"/>
          </w:tcPr>
          <w:p>
            <w:pPr>
              <w:jc w:val="center"/>
              <w:ind w:left="1216"/>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0" w:type="dxa"/>
            <w:vAlign w:val="bottom"/>
          </w:tcPr>
          <w:p>
            <w:pPr>
              <w:spacing w:after="0"/>
              <w:rPr>
                <w:sz w:val="1"/>
                <w:szCs w:val="1"/>
                <w:color w:val="auto"/>
              </w:rPr>
            </w:pPr>
          </w:p>
        </w:tc>
      </w:tr>
      <w:tr>
        <w:trPr>
          <w:trHeight w:val="168"/>
        </w:trPr>
        <w:tc>
          <w:tcPr>
            <w:tcW w:w="300" w:type="dxa"/>
            <w:vAlign w:val="bottom"/>
            <w:tcBorders>
              <w:bottom w:val="single" w:sz="8" w:color="auto"/>
            </w:tcBorders>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Cardiology</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Atrial Fibrillation Test</w:t>
            </w:r>
          </w:p>
        </w:tc>
        <w:tc>
          <w:tcPr>
            <w:tcW w:w="178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(in</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w w:val="99"/>
              </w:rPr>
              <w:t>clinical</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rPr>
              <w:t>trial</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7"/>
                <w:szCs w:val="17"/>
                <w:color w:val="auto"/>
                <w:w w:val="97"/>
              </w:rPr>
              <w:t>setting)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12700</wp:posOffset>
            </wp:positionV>
            <wp:extent cx="7169785" cy="132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9785" cy="132715"/>
                    </a:xfrm>
                    <a:prstGeom prst="rect">
                      <a:avLst/>
                    </a:prstGeom>
                    <a:noFill/>
                  </pic:spPr>
                </pic:pic>
              </a:graphicData>
            </a:graphic>
          </wp:anchor>
        </w:drawing>
      </w:r>
    </w:p>
    <w:p>
      <w:pPr>
        <w:spacing w:after="0" w:line="256" w:lineRule="exact"/>
        <w:rPr>
          <w:sz w:val="20"/>
          <w:szCs w:val="20"/>
          <w:color w:val="auto"/>
        </w:rPr>
      </w:pPr>
    </w:p>
    <w:p>
      <w:pPr>
        <w:jc w:val="both"/>
        <w:ind w:left="340" w:right="20" w:hanging="347"/>
        <w:spacing w:after="0" w:line="295" w:lineRule="auto"/>
        <w:rPr>
          <w:sz w:val="20"/>
          <w:szCs w:val="20"/>
          <w:color w:val="auto"/>
        </w:rPr>
      </w:pPr>
      <w:r>
        <w:rPr>
          <w:rFonts w:ascii="Times New Roman" w:cs="Times New Roman" w:eastAsia="Times New Roman" w:hAnsi="Times New Roman"/>
          <w:sz w:val="17"/>
          <w:szCs w:val="17"/>
          <w:color w:val="auto"/>
        </w:rPr>
        <w:t>•     We have developed an algorithm designed to predict AFib from a normal ECG for certain populations.</w:t>
      </w:r>
    </w:p>
    <w:p>
      <w:pPr>
        <w:spacing w:after="0" w:line="55" w:lineRule="exact"/>
        <w:rPr>
          <w:sz w:val="20"/>
          <w:szCs w:val="20"/>
          <w:color w:val="auto"/>
        </w:rPr>
      </w:pPr>
    </w:p>
    <w:p>
      <w:pPr>
        <w:jc w:val="both"/>
        <w:ind w:left="340" w:hanging="347"/>
        <w:spacing w:after="0" w:line="269" w:lineRule="auto"/>
        <w:rPr>
          <w:sz w:val="20"/>
          <w:szCs w:val="20"/>
          <w:color w:val="auto"/>
        </w:rPr>
      </w:pPr>
      <w:r>
        <w:rPr>
          <w:rFonts w:ascii="Times New Roman" w:cs="Times New Roman" w:eastAsia="Times New Roman" w:hAnsi="Times New Roman"/>
          <w:sz w:val="17"/>
          <w:szCs w:val="17"/>
          <w:color w:val="auto"/>
        </w:rPr>
        <w:t>•     About 3.5% of patients who receive ECGs appear not to have AFib but will develop AFib, acute coronary syndrome, or similar condition within one year. This Algo is designed to predict major cardiac trauma and stroke risk from these normal ECG results.</w:t>
      </w:r>
    </w:p>
    <w:p>
      <w:pPr>
        <w:spacing w:after="0" w:line="78" w:lineRule="exact"/>
        <w:rPr>
          <w:sz w:val="20"/>
          <w:szCs w:val="20"/>
          <w:color w:val="auto"/>
        </w:rPr>
      </w:pPr>
    </w:p>
    <w:p>
      <w:pPr>
        <w:jc w:val="both"/>
        <w:ind w:left="340" w:right="20" w:hanging="347"/>
        <w:spacing w:after="0" w:line="234" w:lineRule="auto"/>
        <w:rPr>
          <w:sz w:val="20"/>
          <w:szCs w:val="20"/>
          <w:color w:val="auto"/>
        </w:rPr>
      </w:pPr>
      <w:r>
        <w:rPr>
          <w:rFonts w:ascii="Times New Roman" w:cs="Times New Roman" w:eastAsia="Times New Roman" w:hAnsi="Times New Roman"/>
          <w:sz w:val="17"/>
          <w:szCs w:val="17"/>
          <w:color w:val="auto"/>
        </w:rPr>
        <w:t>•     The Tempus AFib test received FDA breakthrough designation in March 2021 for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7"/>
          <w:szCs w:val="17"/>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7"/>
          <w:szCs w:val="17"/>
          <w:color w:val="auto"/>
        </w:rPr>
        <w:t>-VASc score of ≥4).</w:t>
      </w:r>
    </w:p>
    <w:p>
      <w:pPr>
        <w:spacing w:after="0" w:line="91" w:lineRule="exact"/>
        <w:rPr>
          <w:sz w:val="20"/>
          <w:szCs w:val="20"/>
          <w:color w:val="auto"/>
        </w:rPr>
      </w:pPr>
    </w:p>
    <w:p>
      <w:pPr>
        <w:jc w:val="both"/>
        <w:ind w:left="340" w:hanging="347"/>
        <w:spacing w:after="0" w:line="276" w:lineRule="auto"/>
        <w:rPr>
          <w:sz w:val="20"/>
          <w:szCs w:val="20"/>
          <w:color w:val="auto"/>
        </w:rPr>
      </w:pPr>
      <w:r>
        <w:rPr>
          <w:rFonts w:ascii="Times New Roman" w:cs="Times New Roman" w:eastAsia="Times New Roman" w:hAnsi="Times New Roman"/>
          <w:sz w:val="17"/>
          <w:szCs w:val="17"/>
          <w:color w:val="auto"/>
        </w:rPr>
        <w:t>•     We are also advancing Algos that are designed to predict aortic stenosis, and we are working on other disease areas within cardiology, such as low ejection fraction and familial hypercholesterolemia.</w:t>
      </w:r>
    </w:p>
    <w:p>
      <w:pPr>
        <w:spacing w:after="0" w:line="175" w:lineRule="exact"/>
        <w:rPr>
          <w:sz w:val="20"/>
          <w:szCs w:val="20"/>
          <w:color w:val="auto"/>
        </w:rPr>
      </w:pPr>
    </w:p>
    <w:p>
      <w:pPr>
        <w:sectPr>
          <w:pgSz w:w="11900" w:h="16838" w:orient="portrait"/>
          <w:cols w:equalWidth="0" w:num="2">
            <w:col w:w="4640" w:space="320"/>
            <w:col w:w="6340"/>
          </w:cols>
          <w:pgMar w:left="320" w:top="446" w:right="279" w:bottom="1440" w:gutter="0" w:footer="0" w:header="0"/>
          <w:type w:val="continuous"/>
        </w:sect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6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addition to algorithms based on NGS testing or in the cardiology space, we currently offer more than 50 algorithms and are continuing to develop additional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179</w:t>
      </w:r>
    </w:p>
    <w:p>
      <w:pPr>
        <w:sectPr>
          <w:pgSz w:w="11900" w:h="16838" w:orient="portrait"/>
          <w:cols w:equalWidth="0" w:num="1">
            <w:col w:w="11300"/>
          </w:cols>
          <w:pgMar w:left="320" w:top="446" w:right="27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Case Studies: Aligning the Interests of Key Stakeholders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describe below select case studies that demonstrate the value we deliver to the healthcare ecosystem, with the ultimate goal of helping patients and improving clinical outcomes.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Healthcare Provider and Patient Case Study</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Platform is designed to help raise the standard of care in precision medicine by enabling physicians to make real time data-driven decisions at the point of care.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6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 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Pharmaceutical and Biotechnology Customers: Insights Case Study</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Pharmaceutical and Biotechnology Customers: Insights Case Study</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signed a multi-year strategic collaboration agreement with AstraZeneca in 2021 to identify and validate biomarkers that would inform patient selection strategies, accelerate the development of new molecular entities, and de-risk late phase clinical trials. One component of the collaboration involves leveraging our data insights to increase the Probability of Technical Success, or PTS, of late phase clinical trials. In the pilot program that AstraZeneca and Tempus ran together, we saw an average increase in PTS per study of five percentage points.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180</w:t>
      </w:r>
    </w:p>
    <w:p>
      <w:pPr>
        <w:sectPr>
          <w:pgSz w:w="11900" w:h="16838" w:orient="portrait"/>
          <w:cols w:equalWidth="0" w:num="1">
            <w:col w:w="11300"/>
          </w:cols>
          <w:pgMar w:left="320" w:top="446" w:right="2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After seeing these results, AstraZeneca decided to make this approach part of their governance process. Today, AstraZeneca’s Oncology Phase 3 study designs are informed by RWE dataset analyses combined with Tempus analysis. The average lift in PTS exemplifies Tempus’ potential as a partner to advance drug discovery, generate significant return on investment and more quickly deliver innovation to patients through the insights derived from Tempus’ data. In a separate example from the collaboration, AstraZeneca leveraged our TIME network to accelerate the identification and recruitment of patients for its SERENA-6 Phase III clinical trial which has supported the recruitment of 25% of US participants, as mentioned by AstraZeneca in their 2022 annual report.</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Pharmaceutical and Biotechnology Customers: Trials Case Study</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69"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approximately two weeks on average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-13335</wp:posOffset>
            </wp:positionV>
            <wp:extent cx="6539230" cy="1170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39230"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TIME Trial® program has national coverage, including numerous underserved community oncology clinics, allowing us to reach cancer patients who previously did not have access to investigational therapies.</w:t>
      </w:r>
    </w:p>
    <w:p>
      <w:pPr>
        <w:spacing w:after="0" w:line="147"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Sermonix is a powerful example of the potential for our Trials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16 days for each site to first consent. By comparison, it took an average of 234 days for the CRO to open each new site and achieve first consent. Tempus enrolled 13 of the ultimately 29 patients in the study, and helped shorten the estimated full enrollment time by approximately ten months.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181</w:t>
      </w:r>
    </w:p>
    <w:p>
      <w:pPr>
        <w:sectPr>
          <w:pgSz w:w="11900" w:h="16838" w:orient="portrait"/>
          <w:cols w:equalWidth="0" w:num="1">
            <w:col w:w="11300"/>
          </w:cols>
          <w:pgMar w:left="320" w:top="446" w:right="2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 Opportunity</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neuropsychiatry, cardiology, and radiology, in which there is over $3 trillion of economic burden according to publicly available sources.</w:t>
      </w:r>
    </w:p>
    <w:p>
      <w:pPr>
        <w:spacing w:after="0" w:line="17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neuropsychiatry, which includes an estimated addressable market opportunity for solid tumor recurrence and treatment monitoring of over $20 billion. Our Data and Services product line operates within a market in which life sciences companies spent an estimated $262 billion in 2023 on research and development according to Evaluate Pharma, and addresses needs within the $50 billion clinical trial services market, the $51 billion market for biomarker discovery, and the $18 billion market research for “real world evidence”, as estimated according to Mordor Intelligence and our internal estimates based on third-party research. Over time, we believe that the potential market opportunity for our Algos product line could be substantially larger than our other product lines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138430</wp:posOffset>
            </wp:positionV>
            <wp:extent cx="6539230" cy="3999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39230" cy="399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Genomics Product Line Market Opportunity</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neuropsychiatry and infectious disease. In oncology alone, the market for NGS sequencing is expected to grow substantially over the next several decades.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182</w:t>
      </w:r>
    </w:p>
    <w:p>
      <w:pPr>
        <w:sectPr>
          <w:pgSz w:w="11900" w:h="16838" w:orient="portrait"/>
          <w:cols w:equalWidth="0" w:num="1">
            <w:col w:w="11300"/>
          </w:cols>
          <w:pgMar w:left="320" w:top="446" w:right="2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Oncology Testing Market Opportunity</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At present, we offer three main assays in cancer, including solid tumor profiling, liquid biopsy, and inherited cancer risk screening, and expect to commercialize our fourth assay for cancer recurrence monitoring and measuring minimal residual disease in 2024. We believe that our technology integration, and go to market and commercial infrastructure may provide a strategic advantage, and our assays provide a comprehensive and holistic range of options for physicians and patients. Over time, we anticipate being able to address other emerging NGS oncology markets, such as early disease screening, as our most recent cancer recurrence and MRD assay (xM) is based on joint methylation signature and variant calling workflow for minimal residual disease detection.</w:t>
      </w:r>
    </w:p>
    <w:p>
      <w:pPr>
        <w:spacing w:after="0" w:line="171"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believe the oncology testing market is underpenetrated and represents an estimated $60 billion annual global market opportunity across the following testing applications on which we are focused.</w:t>
      </w:r>
    </w:p>
    <w:p>
      <w:pPr>
        <w:spacing w:after="0" w:line="145"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Therapy selection: </w:t>
      </w:r>
      <w:r>
        <w:rPr>
          <w:rFonts w:ascii="Times New Roman" w:cs="Times New Roman" w:eastAsia="Times New Roman" w:hAnsi="Times New Roman"/>
          <w:sz w:val="17"/>
          <w:szCs w:val="17"/>
          <w:color w:val="auto"/>
        </w:rPr>
        <w:t>We address the market for therapy selection with our current tissue and liquid biopsy assay offerings and immunohistochemistry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staining. We believe that NGS is increasingly becoming the standard of care to help physicians choose a therapy for their cancer patients across multiple cancer types. There were approximately 20 million patients estimated to be newly diagnosed with cancer globally in 2022 according to GLOBOCAN, and NGS was performed on less than 3 million of these patients according to our estimates. Genomic markers are connected to FDA approved therapeutics for cancers including breast, cervical, cholangiocarcinoma, colorectal, skin, esophageal, stomach, head and neck, leukemia, certain other blood cancers, 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approximately 750 immuno-oncology and 600 targeted oncology therapy programs ongoing with more than 225,000 patients enrolled. Combined, we estimate that therapy selection accounted for 20 million tests globally in 2023 and believe that this will grow substantially as patients may be tested multiple times in the future to inform therapy. According to the National Cancer Institute, an estimated 2 million patients were diagnosed with new cancer in the United States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143510</wp:posOffset>
            </wp:positionV>
            <wp:extent cx="6539230" cy="3485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39230" cy="348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183</w:t>
      </w:r>
    </w:p>
    <w:p>
      <w:pPr>
        <w:sectPr>
          <w:pgSz w:w="11900" w:h="16838" w:orient="portrait"/>
          <w:cols w:equalWidth="0" w:num="1">
            <w:col w:w="11300"/>
          </w:cols>
          <w:pgMar w:left="320" w:top="447" w:right="2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Monitoring: </w:t>
      </w:r>
      <w:r>
        <w:rPr>
          <w:rFonts w:ascii="Times New Roman" w:cs="Times New Roman" w:eastAsia="Times New Roman" w:hAnsi="Times New Roman"/>
          <w:sz w:val="17"/>
          <w:szCs w:val="17"/>
          <w:color w:val="auto"/>
        </w:rPr>
        <w:t>We launched our liquid biopsy test for cancer recurrence monitoring and minimal residual disease on June 1, 2024 covering colorectal cancer.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While this market 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20 million newly diagnosed cancer patients globally in 2022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53.5 million cancer survivors in 2022 globally that were diagnosed within the five years previous to 2022 and there are approximately 18.1 million cancer survivors in the United States in 2022.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2022.</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Neuropsychiatry Market Opportunity</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estimate the market opportunity for our nP pharmacogenetic test to inform therapy for patients with depression, anxiety, and bipolar disorder was approximately $10 billion in 2020. Over 13 million patients per year receive treatment for major depressive disorder, or MDD, according to data provided by the National Institute of Mental Health. We believe the opportunity to bring AI to neuropsychiatry is significant and we are at the early stage of the market evolution. The Anxiety &amp; Depression Association of America estimates that 40 million Americans alone suffer from anxiety, and over 26 million Americans have had an episode of depression in 2021 alone according to the National Institute of Mental Health.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neuropsychiatry as it has been in oncology.</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Data and Services Product Line Market Opportunity</w:t>
      </w:r>
    </w:p>
    <w:p>
      <w:pPr>
        <w:spacing w:after="0" w:line="122"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Our Data and Services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2023, an estimated $262 billion was spent on clinical development in the United States. Within this market, our Data and Services product line addresses the following spending categories for biotechnology and pharmaceutical researchers:</w:t>
      </w:r>
    </w:p>
    <w:p>
      <w:pPr>
        <w:spacing w:after="0" w:line="290" w:lineRule="exact"/>
        <w:rPr>
          <w:sz w:val="20"/>
          <w:szCs w:val="20"/>
          <w:color w:val="auto"/>
        </w:rPr>
      </w:pPr>
    </w:p>
    <w:p>
      <w:pPr>
        <w:ind w:left="1000" w:hanging="551"/>
        <w:spacing w:after="0"/>
        <w:tabs>
          <w:tab w:leader="none" w:pos="10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market: $50 billion spend in 2023 according to Mordor Intelligence.</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Biomarker discovery: $51 billion spend in 2023 according to Mordor Intelligence.</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world evidence: $18 billion spend in 2024 according to our estimates based on third-party research.</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AI Applications Product Line Market Opportunity</w:t>
      </w:r>
    </w:p>
    <w:p>
      <w:pPr>
        <w:spacing w:after="0" w:line="120" w:lineRule="exact"/>
        <w:rPr>
          <w:sz w:val="20"/>
          <w:szCs w:val="20"/>
          <w:color w:val="auto"/>
        </w:rPr>
      </w:pPr>
    </w:p>
    <w:p>
      <w:pPr>
        <w:ind w:right="20" w:firstLine="451"/>
        <w:spacing w:after="0" w:line="298" w:lineRule="auto"/>
        <w:rPr>
          <w:sz w:val="20"/>
          <w:szCs w:val="20"/>
          <w:color w:val="auto"/>
        </w:rPr>
      </w:pPr>
      <w:r>
        <w:rPr>
          <w:rFonts w:ascii="Times New Roman" w:cs="Times New Roman" w:eastAsia="Times New Roman" w:hAnsi="Times New Roman"/>
          <w:sz w:val="17"/>
          <w:szCs w:val="17"/>
          <w:color w:val="auto"/>
        </w:rPr>
        <w:t xml:space="preserve">Over the longer term, we estimate that the potential market opportunity for our </w:t>
      </w:r>
      <w:r>
        <w:rPr>
          <w:rFonts w:ascii="Times New Roman" w:cs="Times New Roman" w:eastAsia="Times New Roman" w:hAnsi="Times New Roman"/>
          <w:sz w:val="17"/>
          <w:szCs w:val="17"/>
          <w:i w:val="1"/>
          <w:iCs w:val="1"/>
          <w:color w:val="auto"/>
        </w:rPr>
        <w:t>AI Applications</w:t>
      </w:r>
      <w:r>
        <w:rPr>
          <w:rFonts w:ascii="Times New Roman" w:cs="Times New Roman" w:eastAsia="Times New Roman" w:hAnsi="Times New Roman"/>
          <w:sz w:val="17"/>
          <w:szCs w:val="17"/>
          <w:color w:val="auto"/>
        </w:rPr>
        <w:t xml:space="preserve"> product line could be orders of magnitude larger than the current total combined market opportunity of our Genomics and</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184</w:t>
      </w:r>
    </w:p>
    <w:p>
      <w:pPr>
        <w:sectPr>
          <w:pgSz w:w="11900" w:h="16838" w:orient="portrait"/>
          <w:cols w:equalWidth="0" w:num="1">
            <w:col w:w="11300"/>
          </w:cols>
          <w:pgMar w:left="320" w:top="446" w:right="2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Data and Services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Advantages</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are both a technology company and a healthcare company, allowing us to harness the advantages of both to advance precision medicine.</w:t>
      </w:r>
    </w:p>
    <w:p>
      <w:pPr>
        <w:spacing w:after="0" w:line="12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generative AI, which are rarely found among diagnostics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2,300 employees, including hundreds with diverse expertise in genetics, molecular and computational biology, bioinformatics, regulatory affairs, medical, product and engineering, and data science. Roughly one-third of our team is technical, with approximately 250 PhDs and MDs on staff. In addition, as a testament to our balanced workforce, we have almost as many lab technicians as we have software engineers.</w:t>
      </w:r>
    </w:p>
    <w:p>
      <w:pPr>
        <w:spacing w:after="0" w:line="280" w:lineRule="exact"/>
        <w:rPr>
          <w:sz w:val="20"/>
          <w:szCs w:val="20"/>
          <w:color w:val="auto"/>
        </w:rPr>
      </w:pPr>
    </w:p>
    <w:p>
      <w:pPr>
        <w:ind w:left="460" w:right="5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3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approximately 450 direct data connections, many of which supply us with data in near real time, across more than 2,000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185</w:t>
      </w:r>
    </w:p>
    <w:p>
      <w:pPr>
        <w:sectPr>
          <w:pgSz w:w="11900" w:h="16838" w:orient="portrait"/>
          <w:cols w:equalWidth="0" w:num="1">
            <w:col w:w="11300"/>
          </w:cols>
          <w:pgMar w:left="320" w:top="446" w:right="2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Diagnostics to enable precision medicine at scale. Our database of multimodal, de-identified records has grown to be more than 50 times the size of The Cancer Genome Atlas, the largest public genomic dataset that we know of in oncology. We also now have more than 200 petabytes of data in our cloud environment. We have also extended our Platform into neuropsychiatry, radiology, and cardiology. We believe each of the elements of our Platform is difficult for others to replicate.</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Intelligent Diagnostics provide significant value to our customers, which has fostered broad adoption of many of our products.</w:t>
      </w:r>
    </w:p>
    <w:p>
      <w:pPr>
        <w:spacing w:after="0" w:line="12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Trials product offering, we also help oncologists identify patients eligible for clinical trials. Over time, we believe our AI Applications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business model has inherent network effects that help drive adoption and improve our data advantage with each new order placed.</w:t>
      </w:r>
    </w:p>
    <w:p>
      <w:pPr>
        <w:spacing w:after="0" w:line="122"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and Services product line, which in turn drives our AI Applications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generative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186</w:t>
      </w:r>
    </w:p>
    <w:p>
      <w:pPr>
        <w:sectPr>
          <w:pgSz w:w="11900" w:h="16838" w:orient="portrait"/>
          <w:cols w:equalWidth="0" w:num="1">
            <w:col w:w="11300"/>
          </w:cols>
          <w:pgMar w:left="320" w:top="446" w:right="2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further enhances our revenue opportunity as the records we collect have value over time, given that outcomes and response evolve as patients progress through treatment.</w:t>
      </w:r>
    </w:p>
    <w:p>
      <w:pPr>
        <w:spacing w:after="0" w:line="247" w:lineRule="exact"/>
        <w:rPr>
          <w:sz w:val="20"/>
          <w:szCs w:val="20"/>
          <w:color w:val="auto"/>
        </w:rPr>
      </w:pPr>
    </w:p>
    <w:p>
      <w:pPr>
        <w:ind w:left="460" w:right="6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Platform was built to collect, structure, harmonize and analyze large amounts of multimodal data and make use of large language models deploying generative AI applications in healthcare.</w:t>
      </w:r>
    </w:p>
    <w:p>
      <w:pPr>
        <w:spacing w:after="0" w:line="38"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Our unique dataset allows us to leverage multimodal data to deploy generative AI across the large language models we develop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Platform is disease agnostic and facilitates rapid expansion into different disease categories.</w:t>
      </w:r>
    </w:p>
    <w:p>
      <w:pPr>
        <w:spacing w:after="0" w:line="12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neuropsychiatry in 2020 (MDD, bipolar disease, anxiety), radiology and cardiology in 2023.</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size of our database and the breadth of our multimodal data capabilities position us well to be able to launch AI Applications at scale.</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believe our AI Applications product line represents an emerging category of diagnostics that are algorithmic in nature and has the potential to be highly disruptive across a broad set of disease areas. For example, our currently deployed Algos use data the same way laboratory diagnostics companies use chemistry in the battle against disease, improving patient care by learning from the patients who have come before, and tailoring test results based on each patient’s unique profile. We believe that as our database grows, we will be able to expand our AI Applications offering, representing a significant long-term opportunity that may be substantially larger than our other existing product lines. We believe our ability to launch AI Applications at scale is a key differentiator of our Platform. We believe our unique data set will enable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Many of our products and services are already widely used throughout the healthcare ecosystem.</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65% of all academic medical centers in the United States. We have approximately 450 direct unique data connections, many of which supply us with complex multimodal data in near real time, across more than 2,000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187</w:t>
      </w:r>
    </w:p>
    <w:p>
      <w:pPr>
        <w:sectPr>
          <w:pgSz w:w="11900" w:h="16838" w:orient="portrait"/>
          <w:cols w:equalWidth="0" w:num="1">
            <w:col w:w="11300"/>
          </w:cols>
          <w:pgMar w:left="320" w:top="446" w:right="2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network to improve patient care and research. These products have gained significant traction over the past five years, as our offerings are used by more than 7,000 physicians in some way. Between our sequencing and data collection efforts, we are connected in some way to more than 50% of all oncologists practicing in the United States. The value of our products is further evidenced by our volume of repeat ordering from oncologists. Through December 2023, the 12-month retention rate for physicians ordering more than 5 oncology NGS tests was 87% and for physicians ordering more than 25 oncology NGS tests, it was 92%. We define an active physician as those that have placed an oncology NGS test in the last 365 days. The 2023 retention rates are calculated by dividing the number of active physicians in 2022 who have placed more than 5 or 25 oncology NGS tests and also placed an order in 2023 by the total number of active physicians in 2022 who placed more than 5 or 25 oncology NGS tests. As of December 31, 2023, the number of active physicians that had ordered more than 5 oncology NGS tests in the last 365 days was 3,186, and the number of physicians that had previously ordered more than 5 oncology NGS tests but did not order one in 2023 was</w:t>
      </w:r>
    </w:p>
    <w:p>
      <w:pPr>
        <w:spacing w:after="0" w:line="3" w:lineRule="exact"/>
        <w:rPr>
          <w:sz w:val="20"/>
          <w:szCs w:val="20"/>
          <w:color w:val="auto"/>
        </w:rPr>
      </w:pPr>
    </w:p>
    <w:p>
      <w:pPr>
        <w:ind w:right="20" w:firstLine="5"/>
        <w:spacing w:after="0" w:line="273" w:lineRule="auto"/>
        <w:tabs>
          <w:tab w:leader="none" w:pos="35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the number of active ordering physicians that had ordered more than 25 oncology NGS tests in the prior 365 days was 1,977, and the number of physicians that had previously ordered more than 25 oncology NGS tests but did not order one in 2023 was 162.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goal is to make the promise of precision medicine a reality, and dramatically improve outcomes for those most in need through the broad adoption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AI-enabled diagnostics. Our growth strategy is to:</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Grow our database and the number of providers connected to our Platform.</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Drive increased adoption of our Genomics product across healthcare providers.</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neuropsychiatry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188</w:t>
      </w:r>
    </w:p>
    <w:p>
      <w:pPr>
        <w:sectPr>
          <w:pgSz w:w="11900" w:h="16838" w:orient="portrait"/>
          <w:cols w:equalWidth="0" w:num="1">
            <w:col w:w="11300"/>
          </w:cols>
          <w:pgMar w:left="320" w:top="446" w:right="2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clinical trials and through the development of companion diagnostics. At present, we have more than 211 sales representatives focused on our Genomics offering, and intend to significantly add resources to the team over time.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Drive increased adoption of our data licensing and clinical trial matching products with pharmaceutical and biotechnology companies.</w:t>
      </w:r>
    </w:p>
    <w:p>
      <w:pPr>
        <w:spacing w:after="0" w:line="12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As of March 31, 2024, we have worked with over 200 biotech companies, as well as 19 of the 20 largest public pharmaceutical companies based on 2023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 researchers. For our Trials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Validate and deploy AI Applications at scale.</w:t>
      </w:r>
    </w:p>
    <w:p>
      <w:pPr>
        <w:spacing w:after="0" w:line="12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We currently have AI Applications commercially launched through our three Algos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also intend to focus on growing our primary AI Applications product called “Next,” which is an AI-platform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We will also seek to launch additional AI Applications, such as implementing new software as a medical device and building and deploying clinical decision support tools.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AI Applications across multiple disease categories.</w:t>
      </w:r>
    </w:p>
    <w:p>
      <w:pPr>
        <w:spacing w:after="0" w:line="278" w:lineRule="exact"/>
        <w:rPr>
          <w:sz w:val="20"/>
          <w:szCs w:val="20"/>
          <w:color w:val="auto"/>
        </w:rPr>
      </w:pPr>
    </w:p>
    <w:p>
      <w:pPr>
        <w:ind w:left="460" w:right="8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Expand our capabilities and commercial traction outside of oncology, including in neuropsychiatry, radiology, cardiology, and other disease categories.</w:t>
      </w:r>
    </w:p>
    <w:p>
      <w:pPr>
        <w:spacing w:after="0" w:line="38"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189</w:t>
      </w:r>
    </w:p>
    <w:p>
      <w:pPr>
        <w:sectPr>
          <w:pgSz w:w="11900" w:h="16838" w:orient="portrait"/>
          <w:cols w:equalWidth="0" w:num="1">
            <w:col w:w="11300"/>
          </w:cols>
          <w:pgMar w:left="320" w:top="447" w:right="2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data associations and substantially reduce the guesswork as to which drug to prescribe, in what amount, and in which order. We believe these conditions exist in oncology, neuropsychiatry,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Expand internationally.</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 such as our Joint Venture in Japan. See “Prospectus Summary—Recent Developments—Japan Joint Venture and Related Agreements” for additional information.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Commercialization</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Genomics</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March 31, 2024, our clinical sales organization in the United States included more than 199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39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87%.</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190</w:t>
      </w:r>
    </w:p>
    <w:p>
      <w:pPr>
        <w:sectPr>
          <w:pgSz w:w="11900" w:h="16838" w:orient="portrait"/>
          <w:cols w:equalWidth="0" w:num="1">
            <w:col w:w="11300"/>
          </w:cols>
          <w:pgMar w:left="320" w:top="447" w:right="2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addition, we believe that interactions among treating physicians help drive adoption of our products. We are focused on key opinion leaders in the industry through direct outreach and indirect marketing efforts. As of March 31, 2024, we have either published or been acknowledged in 485 publications (401 Tempus-authored), including the following:</w:t>
      </w:r>
    </w:p>
    <w:p>
      <w:pPr>
        <w:spacing w:after="0" w:line="70" w:lineRule="exact"/>
        <w:rPr>
          <w:sz w:val="20"/>
          <w:szCs w:val="20"/>
          <w:color w:val="auto"/>
        </w:rPr>
      </w:pPr>
    </w:p>
    <w:p>
      <w:pPr>
        <w:ind w:left="1000" w:hanging="551"/>
        <w:spacing w:after="0" w:line="295" w:lineRule="auto"/>
        <w:tabs>
          <w:tab w:leader="none" w:pos="10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126 total (93 Tempus-authored) peer-reviewed articles published or accepted for publication in major journals, including publications such as </w:t>
      </w:r>
      <w:r>
        <w:rPr>
          <w:rFonts w:ascii="Times New Roman" w:cs="Times New Roman" w:eastAsia="Times New Roman" w:hAnsi="Times New Roman"/>
          <w:sz w:val="17"/>
          <w:szCs w:val="17"/>
          <w:i w:val="1"/>
          <w:iCs w:val="1"/>
          <w:color w:val="auto"/>
        </w:rPr>
        <w:t>Nature Biotechnology, Clinical Breast Cancer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Nature Medicine,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Cell</w:t>
      </w:r>
      <w:r>
        <w:rPr>
          <w:rFonts w:ascii="Times New Roman" w:cs="Times New Roman" w:eastAsia="Times New Roman" w:hAnsi="Times New Roman"/>
          <w:sz w:val="17"/>
          <w:szCs w:val="17"/>
          <w:color w:val="auto"/>
        </w:rPr>
        <w:t>.</w:t>
      </w:r>
    </w:p>
    <w:p>
      <w:pPr>
        <w:spacing w:after="0" w:line="55"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272 total (237 Tempus-authored) poster presentations based on clinical and research data that have been accepted and presented at major scientific conferences.</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oral presentations at scientific meetings such as the ASCO, ASCO Gastrointestinal and Genitourinary Cancer Symposiums, San Antonio Breast Cancer Symposium, and the American Heart Association Scientific Sessions.</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We have a similar strategy in neuropsychiatry, in which we aim to increase the commercial adoption of our nP test for depression as part of the rapidly growing market for pharmacogenomic testing, with a goal to better understand, diagnose and treat neuropsychiatric disorders.</w:t>
      </w:r>
    </w:p>
    <w:p>
      <w:pPr>
        <w:spacing w:after="0" w:line="147"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Research Testing</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71"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Data and Services</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addition to our field sales force, our Data and Services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and Services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80" w:lineRule="exact"/>
        <w:rPr>
          <w:sz w:val="20"/>
          <w:szCs w:val="20"/>
          <w:color w:val="auto"/>
        </w:rPr>
      </w:pPr>
    </w:p>
    <w:p>
      <w:pPr>
        <w:ind w:left="1000" w:hanging="551"/>
        <w:spacing w:after="0"/>
        <w:tabs>
          <w:tab w:leader="none" w:pos="10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stage research and development;</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discovery of new targets and mechanisms of acquired resistance;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191</w:t>
      </w:r>
    </w:p>
    <w:p>
      <w:pPr>
        <w:sectPr>
          <w:pgSz w:w="11900" w:h="16838" w:orient="portrait"/>
          <w:cols w:equalWidth="0" w:num="1">
            <w:col w:w="11300"/>
          </w:cols>
          <w:pgMar w:left="320" w:top="446" w:right="2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hanging="551"/>
        <w:spacing w:after="0"/>
        <w:tabs>
          <w:tab w:leader="none" w:pos="10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 patient identification and enrollment;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Analytic services, including cloud and compute.</w:t>
      </w:r>
    </w:p>
    <w:p>
      <w:pPr>
        <w:spacing w:after="0" w:line="22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4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As of March 31, 2024, we had approximately 47 sales executives in our Data and Services product line development organization. We divide these individuals by both geography and strategic account to ensure consistency and coordination across our sales efforts.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AI Applications</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Our third product line, AI Applications, is focused on developing and providing diagnostics that are algorithmic in nature, implementing new software as a medical device, and building and deploying clinical decision support tools. Our primary AI Applications product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71"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7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October 2022, we acquired Arterys, Inc., a company that provides a platform to derive insights from radiology medical images to improve diagnostic decision-making, efficiency, and productivity across multiple disease areas. We have also developed algorithms based on IHC and H&amp;E staining, which can be used, among other things, to help identify patients who may be eligible for additional treatments or clinical trials.</w:t>
      </w:r>
    </w:p>
    <w:p>
      <w:pPr>
        <w:spacing w:after="0" w:line="162" w:lineRule="exact"/>
        <w:rPr>
          <w:sz w:val="20"/>
          <w:szCs w:val="20"/>
          <w:color w:val="auto"/>
        </w:rPr>
      </w:pPr>
    </w:p>
    <w:p>
      <w:pPr>
        <w:jc w:val="both"/>
        <w:ind w:right="20" w:firstLine="451"/>
        <w:spacing w:after="0" w:line="266" w:lineRule="auto"/>
        <w:rPr>
          <w:sz w:val="20"/>
          <w:szCs w:val="20"/>
          <w:color w:val="auto"/>
        </w:rPr>
      </w:pPr>
      <w:r>
        <w:rPr>
          <w:rFonts w:ascii="Times New Roman" w:cs="Times New Roman" w:eastAsia="Times New Roman" w:hAnsi="Times New Roman"/>
          <w:sz w:val="17"/>
          <w:szCs w:val="17"/>
          <w:color w:val="auto"/>
        </w:rPr>
        <w:t>We commercialize AI Applications in multiple ways. With respect to Algos, historically, we have billed our Algos in oncology to third-party payers just like our other clinical tests. Beginning January 1, 2023, these three Algos were no longer billed separately as there is now a dedicated CPT code to bill for the underlying wet lab procedure. 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171"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In addition to billing third-party payers, we also work with pharmaceutical companies and healthcare providers to deploy AI Applications that we bill directly to the customer.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20" w:lineRule="exact"/>
        <w:rPr>
          <w:sz w:val="20"/>
          <w:szCs w:val="20"/>
          <w:color w:val="auto"/>
        </w:rPr>
      </w:pPr>
    </w:p>
    <w:p>
      <w:pPr>
        <w:jc w:val="both"/>
        <w:ind w:right="20" w:firstLine="451"/>
        <w:spacing w:after="0" w:line="288" w:lineRule="auto"/>
        <w:rPr>
          <w:sz w:val="20"/>
          <w:szCs w:val="20"/>
          <w:color w:val="auto"/>
        </w:rPr>
      </w:pPr>
      <w:r>
        <w:rPr>
          <w:rFonts w:ascii="Times New Roman" w:cs="Times New Roman" w:eastAsia="Times New Roman" w:hAnsi="Times New Roman"/>
          <w:sz w:val="17"/>
          <w:szCs w:val="17"/>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192</w:t>
      </w:r>
    </w:p>
    <w:p>
      <w:pPr>
        <w:sectPr>
          <w:pgSz w:w="11900" w:h="16838" w:orient="portrait"/>
          <w:cols w:equalWidth="0" w:num="1">
            <w:col w:w="11300"/>
          </w:cols>
          <w:pgMar w:left="320" w:top="446" w:right="2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Our Genomics products line primarily faces competition from diagnostics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neuropsychiatry include Myriad Genetics, Inc. and Genomind, Inc.</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Data and Services products primarily face competition from companies that help pharmaceutical and biotechnology companies acquire data to inform drug discovery and development. Our main competitors in this area are Flatiron Health, Inc., IQVIA Holdings Inc., ConcertAI, and others. Our Data and Services products also face competition from CROs, such as Fortrea, ICON, Syneos, PPD, and others, who provide data and clinical trial matching services to pharmaceutical and biotechnology companies.</w:t>
      </w:r>
    </w:p>
    <w:p>
      <w:pPr>
        <w:spacing w:after="0" w:line="169"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Our AI Applications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For further discussion of the risks we face relating to competition, see the section titled “Risk factors—Risks Related to Our Business and Strategy.”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Payer coverage and reimbursement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Clinical Testing</w:t>
      </w:r>
    </w:p>
    <w:p>
      <w:pPr>
        <w:spacing w:after="0" w:line="12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7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Laboratory tests such as our genomic tests, as with most other healthcare services, are classified for reimbursement purposes under a coding system maintained by the American Medical Association known as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193</w:t>
      </w:r>
    </w:p>
    <w:p>
      <w:pPr>
        <w:sectPr>
          <w:pgSz w:w="11900" w:h="16838" w:orient="portrait"/>
          <w:cols w:equalWidth="0" w:num="1">
            <w:col w:w="11300"/>
          </w:cols>
          <w:pgMar w:left="320" w:top="446" w:right="2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47"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As of December 31, 2023, we had received payment on approximately 50% of our clinical oncology NGS tests across all payors performed from January 1, 2021 through December 31, 2022. We calculated this metric on a trailing basis based on payor adjudication timing. However, we continued to perform our NGS tests through December 31, 2023. For the years ended December 31, 2022 and 2023, our average reimbursement for NGS tests in oncology was approximately $916 and $1,452, respectively. Our strategy to improve reimbursement is as follows:</w:t>
      </w:r>
    </w:p>
    <w:p>
      <w:pPr>
        <w:spacing w:after="0" w:line="78" w:lineRule="exact"/>
        <w:rPr>
          <w:sz w:val="20"/>
          <w:szCs w:val="20"/>
          <w:color w:val="auto"/>
        </w:rPr>
      </w:pPr>
    </w:p>
    <w:p>
      <w:pPr>
        <w:ind w:left="1000" w:hanging="551"/>
        <w:spacing w:after="0" w:line="295" w:lineRule="auto"/>
        <w:tabs>
          <w:tab w:leader="none" w:pos="10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work with NGS, our local MAC in Chicago, to maintain coverage of current assays, obtain coverage of new assays through engagement and reconsideration requests, and to continue various appeals when coverage is denied.</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work with our new MAC, Palmetto, which covers our tests when performed out of our newest lab in Raleigh, North Carolina, to get the technical assessment of our assays approved and coverage policy in place for reimbursement.</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seek FDA approval of additional assays.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work with commercial payers to both get in network and get our assay approved and reimbursement at a higher rate than it currently is.</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Algos</w:t>
      </w:r>
    </w:p>
    <w:p>
      <w:pPr>
        <w:spacing w:after="0" w:line="12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and are reimbursed through our xR assay,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7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194</w:t>
      </w:r>
    </w:p>
    <w:p>
      <w:pPr>
        <w:sectPr>
          <w:pgSz w:w="11900" w:h="16838" w:orient="portrait"/>
          <w:cols w:equalWidth="0" w:num="1">
            <w:col w:w="11300"/>
          </w:cols>
          <w:pgMar w:left="320" w:top="446" w:right="2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currently perform our laboratory tests, including our NGS and anatomic pathology tests in our clinical laboratories in Chicago, Atlanta, and Raleigh. Our Chicago, Atlanta and Raleigh laboratories are CAP-accredited and CLIA-certified, and licensed in other states including New York, California, Maryland, Pennsylvania, and Rhode Island.</w:t>
      </w:r>
    </w:p>
    <w:p>
      <w:pPr>
        <w:spacing w:after="0" w:line="16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scale our laboratories have been able to achieve in the approximately 7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At present, for our xT and xF tests, our laboratory workflows enable us to successfully deliver results over 95% of the time, assuming tissue is received that meets the minimum requirements we have outlined for our assays.</w:t>
      </w:r>
    </w:p>
    <w:p>
      <w:pPr>
        <w:spacing w:after="0" w:line="175"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2023, our average turnaround time for our xT assays was approximately nine days, and our average turnaround time for xF was seven days.</w:t>
      </w:r>
    </w:p>
    <w:p>
      <w:pPr>
        <w:spacing w:after="0" w:line="162"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Strategic Collaborations</w:t>
      </w:r>
    </w:p>
    <w:p>
      <w:pPr>
        <w:spacing w:after="0" w:line="1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AstraZeneca Master Services Agreement</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minimum commitment may increase to $320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2028, unless terminated sooner.</w:t>
      </w:r>
    </w:p>
    <w:p>
      <w:pPr>
        <w:spacing w:after="0" w:line="175"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Under the warrant, AstraZeneca has the right to purchase up to $100 million in shares of our Class A common stock at an exercise price equal to the initial public offering price in this offering. The number of shares of Class A common stock issuable upon exercise of the warrant will be determined based on the initial public offering price in this offering (2,777,778 shares of Class A common stock, assuming an initial public offering price of $36.00 per share, the midpoint of the estimated price range set forth on the cover page of this prospectus). The warrant may be exercised any time following the date that is 180 days following the pricing 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195</w:t>
      </w:r>
    </w:p>
    <w:p>
      <w:pPr>
        <w:sectPr>
          <w:pgSz w:w="11900" w:h="16838" w:orient="portrait"/>
          <w:cols w:equalWidth="0" w:num="1">
            <w:col w:w="11300"/>
          </w:cols>
          <w:pgMar w:left="320" w:top="447" w:right="2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2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GSK Master Services Agreement</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Recursion Master Agreement</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7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Class A common stock and Class B common stock outstanding on November 3, 2023, or the date immediately preceding the date of any shares of Class A common stock issued pursuant to the Recursion Agreement, whichever is less. We have customary registration rights with respect to any shares of Recursion’s Class A common stock issued pursuant to the Recursion Agreement.</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Quality Assurance</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6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196</w:t>
      </w:r>
    </w:p>
    <w:p>
      <w:pPr>
        <w:sectPr>
          <w:pgSz w:w="11900" w:h="16838" w:orient="portrait"/>
          <w:cols w:equalWidth="0" w:num="1">
            <w:col w:w="11300"/>
          </w:cols>
          <w:pgMar w:left="320" w:top="447" w:right="2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Supply chain</w:t>
      </w:r>
    </w:p>
    <w:p>
      <w:pPr>
        <w:spacing w:after="0" w:line="122"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62"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w:t>
      </w:r>
    </w:p>
    <w:p>
      <w:pPr>
        <w:spacing w:after="0" w:line="162"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6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Laboratory Workflow Applications</w:t>
      </w:r>
    </w:p>
    <w:p>
      <w:pPr>
        <w:spacing w:after="0" w:line="122" w:lineRule="exact"/>
        <w:rPr>
          <w:sz w:val="20"/>
          <w:szCs w:val="20"/>
          <w:color w:val="auto"/>
        </w:rPr>
      </w:pPr>
    </w:p>
    <w:p>
      <w:pPr>
        <w:jc w:val="both"/>
        <w:ind w:firstLine="451"/>
        <w:spacing w:after="0" w:line="273" w:lineRule="auto"/>
        <w:rPr>
          <w:sz w:val="20"/>
          <w:szCs w:val="20"/>
          <w:color w:val="auto"/>
        </w:rPr>
      </w:pPr>
      <w:r>
        <w:rPr>
          <w:rFonts w:ascii="Times New Roman" w:cs="Times New Roman" w:eastAsia="Times New Roman" w:hAnsi="Times New Roman"/>
          <w:sz w:val="17"/>
          <w:szCs w:val="17"/>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197</w:t>
      </w:r>
    </w:p>
    <w:p>
      <w:pPr>
        <w:sectPr>
          <w:pgSz w:w="11900" w:h="16838" w:orient="portrait"/>
          <w:cols w:equalWidth="0" w:num="1">
            <w:col w:w="11300"/>
          </w:cols>
          <w:pgMar w:left="320" w:top="446" w:right="2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203835</wp:posOffset>
            </wp:positionV>
            <wp:extent cx="6539230" cy="47713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539230" cy="4771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7"/>
          <w:szCs w:val="17"/>
          <w:i w:val="1"/>
          <w:iCs w:val="1"/>
          <w:color w:val="auto"/>
        </w:rPr>
        <w:t xml:space="preserve">Tempus One, </w:t>
      </w:r>
      <w:r>
        <w:rPr>
          <w:rFonts w:ascii="Times New Roman" w:cs="Times New Roman" w:eastAsia="Times New Roman" w:hAnsi="Times New Roman"/>
          <w:sz w:val="17"/>
          <w:szCs w:val="17"/>
          <w:color w:val="auto"/>
        </w:rPr>
        <w:t>which is both a physical device and a mobile software application that has AI assistant capabilities and relays information contained 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oncology reports and supporting database 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other similar applications we develop, thereby enhancing the amount of information readily available to our ordering physicians.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Data Structuring Applications</w:t>
      </w:r>
    </w:p>
    <w:p>
      <w:pPr>
        <w:spacing w:after="0" w:line="12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198</w:t>
      </w:r>
    </w:p>
    <w:p>
      <w:pPr>
        <w:sectPr>
          <w:pgSz w:w="11900" w:h="16838" w:orient="portrait"/>
          <w:cols w:equalWidth="0" w:num="1">
            <w:col w:w="11300"/>
          </w:cols>
          <w:pgMar w:left="320" w:top="446" w:right="2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Information Security</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387"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387"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As of March 31, 2024, our patent portfolio and patent applications included 82 issued U.S. patents and allowed applications, 113 pending U.S. non-provisional patent applications, 16 pending U.S. provisional patent applications, 7 pending Patent Cooperation Treaty (international) patent applications, 25 issued foreign patents, 166 pending foreign patent applications, 6 licensed issued U.S. patents, 1 licensed pending U.S. patent application, 10 licensed issued foreign patents and 3 licensed pending foreign patent applications. Our issued patents are expected to begin expiring in 2033, assuming payment of all appropriate maintenance, renewal, annuity or other governmental fees. These patents and applications generally fall into four broad categories:</w:t>
      </w:r>
    </w:p>
    <w:p>
      <w:pPr>
        <w:spacing w:after="0" w:line="80" w:lineRule="exact"/>
        <w:rPr>
          <w:sz w:val="20"/>
          <w:szCs w:val="20"/>
          <w:color w:val="auto"/>
        </w:rPr>
      </w:pPr>
    </w:p>
    <w:p>
      <w:pPr>
        <w:ind w:left="1000" w:right="20" w:hanging="551"/>
        <w:spacing w:after="0" w:line="295" w:lineRule="auto"/>
        <w:tabs>
          <w:tab w:leader="none" w:pos="10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applications and patents relating to our Platform, including claims directed to product ordering processes; data processing and multimodal data analytics;</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applications and patents relating to our Genomics business, including claims directed to detecting and monitoring cancer and other diseases by determining genetic variations and other biomarkers in biological samples;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applications and patents relating to our Data business, including claims directed to analysis of healthcare records and patient outcomes; and</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applications and patents related to our Algos business, including claims directed to machine learning diagnostics and predictions in cancer and cardiology.</w:t>
      </w:r>
    </w:p>
    <w:p>
      <w:pPr>
        <w:spacing w:after="0" w:line="147"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The term of individual patents depends upon the legal term of the patents in the countries in which they are obtained. In most countries in which we file or intend to file, including the United States, the patent term is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199</w:t>
      </w:r>
    </w:p>
    <w:p>
      <w:pPr>
        <w:sectPr>
          <w:pgSz w:w="11900" w:h="16838" w:orient="portrait"/>
          <w:cols w:equalWidth="0" w:num="1">
            <w:col w:w="11300"/>
          </w:cols>
          <w:pgMar w:left="320" w:top="446" w:right="2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388"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47"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7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Regulation of Medical Devices in the United States</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FDA Premarket Clearance and Approval Requirements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w:t>
      </w:r>
    </w:p>
    <w:p>
      <w:pPr>
        <w:sectPr>
          <w:pgSz w:w="11900" w:h="16838" w:orient="portrait"/>
          <w:cols w:equalWidth="0" w:num="1">
            <w:col w:w="11300"/>
          </w:cols>
          <w:pgMar w:left="320" w:top="446" w:right="2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6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71"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381" w:lineRule="exact"/>
        <w:rPr>
          <w:sz w:val="20"/>
          <w:szCs w:val="20"/>
          <w:color w:val="auto"/>
        </w:rPr>
      </w:pPr>
    </w:p>
    <w:p>
      <w:pPr>
        <w:jc w:val="both"/>
        <w:ind w:right="20" w:firstLine="451"/>
        <w:spacing w:after="0" w:line="266" w:lineRule="auto"/>
        <w:rPr>
          <w:sz w:val="20"/>
          <w:szCs w:val="20"/>
          <w:color w:val="auto"/>
        </w:rPr>
      </w:pPr>
      <w:r>
        <w:rPr>
          <w:rFonts w:ascii="Times New Roman" w:cs="Times New Roman" w:eastAsia="Times New Roman" w:hAnsi="Times New Roman"/>
          <w:sz w:val="17"/>
          <w:szCs w:val="17"/>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Emergency Use Authorization</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6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78"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201</w:t>
      </w:r>
    </w:p>
    <w:p>
      <w:pPr>
        <w:sectPr>
          <w:pgSz w:w="11900" w:h="16838" w:orient="portrait"/>
          <w:cols w:equalWidth="0" w:num="1">
            <w:col w:w="11300"/>
          </w:cols>
          <w:pgMar w:left="320" w:top="447" w:right="2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Trials</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388"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Post-market Regulation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After a device is cleared or approved for marketing, numerous and pervasive regulatory requirements continue to apply. These include:</w:t>
      </w:r>
    </w:p>
    <w:p>
      <w:pPr>
        <w:spacing w:after="0" w:line="131" w:lineRule="exact"/>
        <w:rPr>
          <w:sz w:val="20"/>
          <w:szCs w:val="20"/>
          <w:color w:val="auto"/>
        </w:rPr>
      </w:pPr>
    </w:p>
    <w:p>
      <w:pPr>
        <w:ind w:left="1000" w:hanging="551"/>
        <w:spacing w:after="0"/>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registration and device listing with the FDA;</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labeling regulations and FDA prohibitions against the promotion of investigational products, or “off-label” uses of cleared or approved products;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related to promotional activities;</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clearance or approval of product modifications to 510(k)-cleared devices that could significantly affect safety or effectiveness or that would constitute a major change in intended use of a cleared device;</w:t>
      </w:r>
    </w:p>
    <w:p>
      <w:pPr>
        <w:spacing w:after="0" w:line="55" w:lineRule="exact"/>
        <w:rPr>
          <w:rFonts w:ascii="Times New Roman" w:cs="Times New Roman" w:eastAsia="Times New Roman" w:hAnsi="Times New Roman"/>
          <w:sz w:val="17"/>
          <w:szCs w:val="17"/>
          <w:color w:val="auto"/>
        </w:rPr>
      </w:pPr>
    </w:p>
    <w:p>
      <w:pPr>
        <w:jc w:val="both"/>
        <w:ind w:left="1000" w:right="20" w:hanging="551"/>
        <w:spacing w:after="0" w:line="276"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0"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FDA’s recall authority, whereby the agency can order device manufacturers to recall from the market a product that is in violation of governing laws and regulations; and</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activities and regulations, which apply when deemed by the FDA to be necessary to protect the public health or to provide additional safety and effectiveness data for the device.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202</w:t>
      </w:r>
    </w:p>
    <w:p>
      <w:pPr>
        <w:sectPr>
          <w:pgSz w:w="11900" w:h="16838" w:orient="portrait"/>
          <w:cols w:equalWidth="0" w:num="1">
            <w:col w:w="11300"/>
          </w:cols>
          <w:pgMar w:left="320" w:top="447" w:right="2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55" w:lineRule="exact"/>
        <w:rPr>
          <w:sz w:val="20"/>
          <w:szCs w:val="20"/>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warning letters, fines, injunctions, consent decrees and civil penalties;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expenditures to address or defend such actions;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for repair, replacement, refunds;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withdrawal, administrative detention or seizure;</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or delay in granting our requests for 510(k) clearance or PMA approval of new tests or modified tests;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partial suspension or total shutdown of production;</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withdrawing 510(k) clearance or PMA approvals that are already granted;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grant export approval; or</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Laboratory-Developed Tests (LDTs)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On May 6, 2024, the FDA published final regulations taking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In addition to FDA regulation, the New York Clinical Laboratory Evaluation Program separately approves certain LDTs offered to New York State patients.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CLIA and State Laboratory Licensing</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387"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203</w:t>
      </w:r>
    </w:p>
    <w:p>
      <w:pPr>
        <w:sectPr>
          <w:pgSz w:w="11900" w:h="16838" w:orient="portrait"/>
          <w:cols w:equalWidth="0" w:num="1">
            <w:col w:w="11300"/>
          </w:cols>
          <w:pgMar w:left="320" w:top="447" w:right="2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6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Atlanta, Georgia and Raleigh, North Carolina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and State Health Care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Physician Self-Referral Prohibition</w:t>
      </w:r>
    </w:p>
    <w:p>
      <w:pPr>
        <w:spacing w:after="0" w:line="120"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Anti-Kickback Law</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204</w:t>
      </w:r>
    </w:p>
    <w:p>
      <w:pPr>
        <w:sectPr>
          <w:pgSz w:w="11900" w:h="16838" w:orient="portrait"/>
          <w:cols w:equalWidth="0" w:num="1">
            <w:col w:w="11300"/>
          </w:cols>
          <w:pgMar w:left="320" w:top="446" w:right="2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Health Care Laws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addition to the requirements discussed above, several other health care fraud and abuse laws could have an effect on our business.</w:t>
      </w:r>
    </w:p>
    <w:p>
      <w:pPr>
        <w:spacing w:after="0" w:line="223"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75"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387" w:lineRule="exact"/>
        <w:rPr>
          <w:sz w:val="20"/>
          <w:szCs w:val="20"/>
          <w:color w:val="auto"/>
        </w:rPr>
      </w:pPr>
    </w:p>
    <w:p>
      <w:pPr>
        <w:jc w:val="both"/>
        <w:ind w:right="20" w:firstLine="451"/>
        <w:spacing w:after="0" w:line="266"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205</w:t>
      </w:r>
    </w:p>
    <w:p>
      <w:pPr>
        <w:sectPr>
          <w:pgSz w:w="11900" w:h="16838" w:orient="portrait"/>
          <w:cols w:equalWidth="0" w:num="1">
            <w:col w:w="11300"/>
          </w:cols>
          <w:pgMar w:left="320" w:top="446" w:right="2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78"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387"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are required in certain circumstances to report such information regarding their payments and other transfers of value to physician assistants, nurse practitioners, clinical nurse specialists, anesthesiologist assistants, certified registered nurse anesthetists and certified nurse midwives during the previous year.</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Also, many states have laws similar to those listed above that may be broader in scope and may apply regardless of payer.</w:t>
      </w:r>
    </w:p>
    <w:p>
      <w:pPr>
        <w:spacing w:after="0" w:line="22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206</w:t>
      </w:r>
    </w:p>
    <w:p>
      <w:pPr>
        <w:sectPr>
          <w:pgSz w:w="11900" w:h="16838" w:orient="portrait"/>
          <w:cols w:equalWidth="0" w:num="1">
            <w:col w:w="11300"/>
          </w:cols>
          <w:pgMar w:left="320" w:top="446" w:right="2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Privacy and Security</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39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7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71"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Additionally, in November 2020, California voters passed the California Privacy Rights Act of 2020, or CPRA. The CPRA, which went into effect on January 1, 2023 and creates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the Virginia Consumer Data Protection Act, and Colorado passed the Colorado Privacy Act, both of which differ from the CPRA and became effective in 2023.</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207</w:t>
      </w:r>
    </w:p>
    <w:p>
      <w:pPr>
        <w:sectPr>
          <w:pgSz w:w="11900" w:h="16838" w:orient="portrait"/>
          <w:cols w:equalWidth="0" w:num="1">
            <w:col w:w="11300"/>
          </w:cols>
          <w:pgMar w:left="320" w:top="446" w:right="2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Health Reform</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6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such challenges and litigation, and the healthcare reform measures of the Biden administration will impact the ACA.</w:t>
      </w:r>
    </w:p>
    <w:p>
      <w:pPr>
        <w:spacing w:after="0" w:line="38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 unless additional Congressional action is taken.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expect that additional state, federal, and foreign healthcare reform measures will be adopted in the future.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Coverage and Reimbursement</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208</w:t>
      </w:r>
    </w:p>
    <w:p>
      <w:pPr>
        <w:sectPr>
          <w:pgSz w:w="11900" w:h="16838" w:orient="portrait"/>
          <w:cols w:equalWidth="0" w:num="1">
            <w:col w:w="11300"/>
          </w:cols>
          <w:pgMar w:left="320" w:top="446" w:right="2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7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w:t>
      </w:r>
    </w:p>
    <w:p>
      <w:pPr>
        <w:spacing w:after="0" w:line="147"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38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For example,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7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209</w:t>
      </w:r>
    </w:p>
    <w:p>
      <w:pPr>
        <w:sectPr>
          <w:pgSz w:w="11900" w:h="16838" w:orient="portrait"/>
          <w:cols w:equalWidth="0" w:num="1">
            <w:col w:w="11300"/>
          </w:cols>
          <w:pgMar w:left="320" w:top="446" w:right="2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Initial indications suggest that the LCD has generally had a favorable impact on reimbursement for claims submitted after April 1, 2022.</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69"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within which we operate. On May 1, 2024, CMS posted the MAC-specific payment recommendations which indicated that the codes applicable to our tests would be reimbursed at the same or a higher level than they were previously reimbursed. These recommendations are currently open for public comment and CMS will publish the final MAC-specific amounts in September. If CMS ultimately prices the new codes at lower rates than they have previously reimbursed our tests at, such pricing decision may have a significant impact on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w:t>
      </w:r>
    </w:p>
    <w:p>
      <w:pPr>
        <w:spacing w:after="0" w:line="17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Some payers have implemented, or are in the process of implementing, laboratory benefit management programs, often using third-party benefit managers to manage these programs. The stated goals of these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210</w:t>
      </w:r>
    </w:p>
    <w:p>
      <w:pPr>
        <w:sectPr>
          <w:pgSz w:w="11900" w:h="16838" w:orient="portrait"/>
          <w:cols w:equalWidth="0" w:num="1">
            <w:col w:w="11300"/>
          </w:cols>
          <w:pgMar w:left="320" w:top="447" w:right="2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7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1"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additional inquiry since that time. 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expect to continue producing responsive documents on a rolling basis over the next several months. While the Company believes its programs and payments comply with the Anti-Kickback statute, no assurance can be given as to the timing or outcome of the government’s investigation, or that it will not result in a material adverse effect on the Company’s business. In addition, we have received requests for medical records and billing information from certain Unified Program Integrity Coordinators regarding clinical diagnostic services provided by Tempus to patients enrolled in the Medicare and Medicaid programs. We have responded to all such requests for information.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We also have a new genomics lab in Raleigh, North Carolina, which became operational in 2022 and from which we began offering commercial laboratory tests in the second half of 2022. Our CLIA-certified laboratories are located in these facilities. We also have offices in New York, New York and Redwood City, California. We do not own any real property. While we believe our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211</w:t>
      </w:r>
    </w:p>
    <w:p>
      <w:pPr>
        <w:sectPr>
          <w:pgSz w:w="11900" w:h="16838" w:orient="portrait"/>
          <w:cols w:equalWidth="0" w:num="1">
            <w:col w:w="11300"/>
          </w:cols>
          <w:pgMar w:left="320" w:top="446" w:right="2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and Human Capital</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As of March 31, 2024, we had more than 2,300 employees, of which 757 were technical and were engaged in product and engineering, and research and development. As of March 31, 2024, 983 employees were based at our headquarters in Chicago, Illinois, 88 employees were based in Atlanta, Georgia, and 122 employees were based in Raleigh, North Carolina. None of our employees are currently represented by a labor union or covered under a collective bargaining agreement, and we have never experienced a work stoppage. However, on February 8, 2024, the International Association of Machinists and Aerospace Workers, or the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Even though we are currently unaware of other unionization efforts, it is possible that other employees may also seek to unionize. We consider our relationship with our employees to be positive.</w:t>
      </w:r>
    </w:p>
    <w:p>
      <w:pPr>
        <w:spacing w:after="0" w:line="178"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212</w:t>
      </w:r>
    </w:p>
    <w:p>
      <w:pPr>
        <w:sectPr>
          <w:pgSz w:w="11900" w:h="16838" w:orient="portrait"/>
          <w:cols w:equalWidth="0" w:num="1">
            <w:col w:w="11300"/>
          </w:cols>
          <w:pgMar w:left="320" w:top="446" w:right="2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sets forth information, as of May 31, 2024, regarding our current executive officers and directors: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8"/>
        </w:trPr>
        <w:tc>
          <w:tcPr>
            <w:tcW w:w="360" w:type="dxa"/>
            <w:vAlign w:val="bottom"/>
            <w:tcBorders>
              <w:top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380" w:type="dxa"/>
            <w:vAlign w:val="bottom"/>
          </w:tcPr>
          <w:p>
            <w:pPr>
              <w:spacing w:after="0"/>
              <w:rPr>
                <w:sz w:val="5"/>
                <w:szCs w:val="5"/>
                <w:color w:val="auto"/>
              </w:rPr>
            </w:pPr>
          </w:p>
        </w:tc>
      </w:tr>
      <w:tr>
        <w:trPr>
          <w:trHeight w:val="20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Executive Officers: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r>
      <w:tr>
        <w:trPr>
          <w:trHeight w:val="274"/>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Eric Lefkofsky</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54</w:t>
            </w: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 Founder and Director</w:t>
            </w:r>
          </w:p>
        </w:tc>
      </w:tr>
      <w:tr>
        <w:trPr>
          <w:trHeight w:val="66"/>
        </w:trPr>
        <w:tc>
          <w:tcPr>
            <w:tcW w:w="36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380" w:type="dxa"/>
            <w:vAlign w:val="bottom"/>
          </w:tcPr>
          <w:p>
            <w:pPr>
              <w:spacing w:after="0"/>
              <w:rPr>
                <w:sz w:val="5"/>
                <w:szCs w:val="5"/>
                <w:color w:val="auto"/>
              </w:rPr>
            </w:pPr>
          </w:p>
        </w:tc>
      </w:tr>
      <w:tr>
        <w:trPr>
          <w:trHeight w:val="20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Ryan Fukushima</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w:t>
            </w: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5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Erik Phelps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53</w:t>
            </w: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Chief Administrative and Legal</w:t>
            </w:r>
          </w:p>
        </w:tc>
      </w:tr>
      <w:tr>
        <w:trPr>
          <w:trHeight w:val="227"/>
        </w:trPr>
        <w:tc>
          <w:tcPr>
            <w:tcW w:w="3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Officer and Assistant Secretary</w:t>
            </w:r>
          </w:p>
        </w:tc>
      </w:tr>
      <w:tr>
        <w:trPr>
          <w:trHeight w:val="66"/>
        </w:trPr>
        <w:tc>
          <w:tcPr>
            <w:tcW w:w="36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380" w:type="dxa"/>
            <w:vAlign w:val="bottom"/>
          </w:tcPr>
          <w:p>
            <w:pPr>
              <w:spacing w:after="0"/>
              <w:rPr>
                <w:sz w:val="5"/>
                <w:szCs w:val="5"/>
                <w:color w:val="auto"/>
              </w:rPr>
            </w:pPr>
          </w:p>
        </w:tc>
      </w:tr>
      <w:tr>
        <w:trPr>
          <w:trHeight w:val="20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Andrew Polovin</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50</w:t>
            </w: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Executive Vice President, General Counsel and Secretary</w:t>
            </w:r>
          </w:p>
        </w:tc>
      </w:tr>
      <w:tr>
        <w:trPr>
          <w:trHeight w:val="274"/>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James Rogers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w:t>
            </w: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66"/>
        </w:trPr>
        <w:tc>
          <w:tcPr>
            <w:tcW w:w="36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380" w:type="dxa"/>
            <w:vAlign w:val="bottom"/>
          </w:tcPr>
          <w:p>
            <w:pPr>
              <w:spacing w:after="0"/>
              <w:rPr>
                <w:sz w:val="5"/>
                <w:szCs w:val="5"/>
                <w:color w:val="auto"/>
              </w:rPr>
            </w:pPr>
          </w:p>
        </w:tc>
      </w:tr>
      <w:tr>
        <w:trPr>
          <w:trHeight w:val="20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Non-Employee Directors: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r>
      <w:tr>
        <w:trPr>
          <w:trHeight w:val="274"/>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Peter J. Barris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72</w:t>
            </w: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66"/>
        </w:trPr>
        <w:tc>
          <w:tcPr>
            <w:tcW w:w="36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380" w:type="dxa"/>
            <w:vAlign w:val="bottom"/>
          </w:tcPr>
          <w:p>
            <w:pPr>
              <w:spacing w:after="0"/>
              <w:rPr>
                <w:sz w:val="5"/>
                <w:szCs w:val="5"/>
                <w:color w:val="auto"/>
              </w:rPr>
            </w:pPr>
          </w:p>
        </w:tc>
      </w:tr>
      <w:tr>
        <w:trPr>
          <w:trHeight w:val="20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Eric D. Belcher</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w:t>
            </w: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74"/>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Jennifer A. Doudna,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w:t>
            </w: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66"/>
        </w:trPr>
        <w:tc>
          <w:tcPr>
            <w:tcW w:w="36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380" w:type="dxa"/>
            <w:vAlign w:val="bottom"/>
          </w:tcPr>
          <w:p>
            <w:pPr>
              <w:spacing w:after="0"/>
              <w:rPr>
                <w:sz w:val="5"/>
                <w:szCs w:val="5"/>
                <w:color w:val="auto"/>
              </w:rPr>
            </w:pPr>
          </w:p>
        </w:tc>
      </w:tr>
      <w:tr>
        <w:trPr>
          <w:trHeight w:val="20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David R. Epstein</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62</w:t>
            </w: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74"/>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Wayne A.I. Frederick, M.D.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w:t>
            </w: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66"/>
        </w:trPr>
        <w:tc>
          <w:tcPr>
            <w:tcW w:w="36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380" w:type="dxa"/>
            <w:vAlign w:val="bottom"/>
          </w:tcPr>
          <w:p>
            <w:pPr>
              <w:spacing w:after="0"/>
              <w:rPr>
                <w:sz w:val="5"/>
                <w:szCs w:val="5"/>
                <w:color w:val="auto"/>
              </w:rPr>
            </w:pPr>
          </w:p>
        </w:tc>
      </w:tr>
      <w:tr>
        <w:trPr>
          <w:trHeight w:val="209"/>
        </w:trPr>
        <w:tc>
          <w:tcPr>
            <w:tcW w:w="4040" w:type="dxa"/>
            <w:vAlign w:val="bottom"/>
            <w:gridSpan w:val="2"/>
            <w:shd w:val="clear" w:color="auto" w:fill="CCEEFF"/>
          </w:tcPr>
          <w:p>
            <w:pPr>
              <w:ind w:left="180"/>
              <w:spacing w:after="0" w:line="209" w:lineRule="exact"/>
              <w:rPr>
                <w:sz w:val="20"/>
                <w:szCs w:val="20"/>
                <w:color w:val="auto"/>
              </w:rPr>
            </w:pPr>
            <w:r>
              <w:rPr>
                <w:rFonts w:ascii="Times New Roman" w:cs="Times New Roman" w:eastAsia="Times New Roman" w:hAnsi="Times New Roman"/>
                <w:sz w:val="16"/>
                <w:szCs w:val="16"/>
                <w:color w:val="auto"/>
              </w:rPr>
              <w:t>Robert Ghenchev</w:t>
            </w:r>
            <w:r>
              <w:rPr>
                <w:rFonts w:ascii="Times New Roman" w:cs="Times New Roman" w:eastAsia="Times New Roman" w:hAnsi="Times New Roman"/>
                <w:sz w:val="24"/>
                <w:szCs w:val="24"/>
                <w:color w:val="auto"/>
                <w:vertAlign w:val="superscript"/>
              </w:rPr>
              <w:t>(1)</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w:t>
            </w: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74"/>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Scott Gottlieb, M.D.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w:t>
            </w: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66"/>
        </w:trPr>
        <w:tc>
          <w:tcPr>
            <w:tcW w:w="36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380" w:type="dxa"/>
            <w:vAlign w:val="bottom"/>
          </w:tcPr>
          <w:p>
            <w:pPr>
              <w:spacing w:after="0"/>
              <w:rPr>
                <w:sz w:val="5"/>
                <w:szCs w:val="5"/>
                <w:color w:val="auto"/>
              </w:rPr>
            </w:pPr>
          </w:p>
        </w:tc>
      </w:tr>
      <w:tr>
        <w:trPr>
          <w:trHeight w:val="209"/>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Theodore J. Leonsis</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68</w:t>
            </w: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r>
      <w:tr>
        <w:trPr>
          <w:trHeight w:val="274"/>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Nadja West, M.D.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63</w:t>
            </w:r>
          </w:p>
        </w:tc>
        <w:tc>
          <w:tcPr>
            <w:tcW w:w="6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17" w:lineRule="exact"/>
        <w:rPr>
          <w:sz w:val="20"/>
          <w:szCs w:val="20"/>
          <w:color w:val="auto"/>
        </w:rPr>
      </w:pPr>
    </w:p>
    <w:p>
      <w:pPr>
        <w:ind w:left="440" w:hanging="435"/>
        <w:spacing w:after="0" w:line="295" w:lineRule="auto"/>
        <w:tabs>
          <w:tab w:leader="none" w:pos="4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Robert Ghenchev is expected to resign from our board of directors, effective immediately prior to the effectiveness of the registration statement of which this prospectus forms a part.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16"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Eric Lefkofsky </w:t>
      </w:r>
      <w:r>
        <w:rPr>
          <w:rFonts w:ascii="Times New Roman" w:cs="Times New Roman" w:eastAsia="Times New Roman" w:hAnsi="Times New Roman"/>
          <w:sz w:val="17"/>
          <w:szCs w:val="17"/>
          <w:color w:val="auto"/>
        </w:rPr>
        <w:t>is our Founder and has served as our Chief Executive Officer and a member of our board of directors since our inception. Before founding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387" w:lineRule="exact"/>
        <w:rPr>
          <w:sz w:val="20"/>
          <w:szCs w:val="20"/>
          <w:color w:val="auto"/>
        </w:rPr>
      </w:pPr>
    </w:p>
    <w:p>
      <w:pPr>
        <w:jc w:val="both"/>
        <w:ind w:firstLine="451"/>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Ryan Fukushima </w:t>
      </w:r>
      <w:r>
        <w:rPr>
          <w:rFonts w:ascii="Times New Roman" w:cs="Times New Roman" w:eastAsia="Times New Roman" w:hAnsi="Times New Roman"/>
          <w:sz w:val="17"/>
          <w:szCs w:val="17"/>
          <w:color w:val="auto"/>
        </w:rPr>
        <w:t>has served as our Chief Operating Officer since September 2015. Prior to joining us, Mr. Fukushima was an Entrepreneur-in-Residence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213</w:t>
      </w:r>
    </w:p>
    <w:p>
      <w:pPr>
        <w:sectPr>
          <w:pgSz w:w="11900" w:h="16838" w:orient="portrait"/>
          <w:cols w:equalWidth="0" w:num="1">
            <w:col w:w="11300"/>
          </w:cols>
          <w:pgMar w:left="320" w:top="446" w:right="2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jc w:val="both"/>
        <w:ind w:firstLine="451"/>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Erik Phelps </w:t>
      </w:r>
      <w:r>
        <w:rPr>
          <w:rFonts w:ascii="Times New Roman" w:cs="Times New Roman" w:eastAsia="Times New Roman" w:hAnsi="Times New Roman"/>
          <w:sz w:val="17"/>
          <w:szCs w:val="17"/>
          <w:color w:val="auto"/>
        </w:rPr>
        <w:t>has served as our Executive Vice President and Chief Administrative and Legal Officer since June 2020. Prior to this, Mr. Phelps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63"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Polovin </w:t>
      </w:r>
      <w:r>
        <w:rPr>
          <w:rFonts w:ascii="Times New Roman" w:cs="Times New Roman" w:eastAsia="Times New Roman" w:hAnsi="Times New Roman"/>
          <w:sz w:val="17"/>
          <w:szCs w:val="17"/>
          <w:color w:val="auto"/>
        </w:rPr>
        <w:t>has served as our General Counsel since June 2020 and our Executive Vice President and Secretary since April 2024. From August 2016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June 2020, Mr. Polovin was the 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w:t>
      </w:r>
    </w:p>
    <w:p>
      <w:pPr>
        <w:spacing w:after="0" w:line="167"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Rogers </w:t>
      </w:r>
      <w:r>
        <w:rPr>
          <w:rFonts w:ascii="Times New Roman" w:cs="Times New Roman" w:eastAsia="Times New Roman" w:hAnsi="Times New Roman"/>
          <w:sz w:val="17"/>
          <w:szCs w:val="17"/>
          <w:color w:val="auto"/>
        </w:rPr>
        <w:t>has served as our Chief Financial Officer since April 2021. Prior to this, Mr. Rogers served as our Vice President of Finance from February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Directors</w:t>
      </w:r>
    </w:p>
    <w:p>
      <w:pPr>
        <w:spacing w:after="0" w:line="116"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Peter J. Barris </w:t>
      </w:r>
      <w:r>
        <w:rPr>
          <w:rFonts w:ascii="Times New Roman" w:cs="Times New Roman" w:eastAsia="Times New Roman" w:hAnsi="Times New Roman"/>
          <w:sz w:val="17"/>
          <w:szCs w:val="17"/>
          <w:color w:val="auto"/>
        </w:rPr>
        <w:t>has served as a member of our board of directors since September 2017. Mr. Barris has also served on the board of directors of Sprout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75"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Eric D. Belcher </w:t>
      </w:r>
      <w:r>
        <w:rPr>
          <w:rFonts w:ascii="Times New Roman" w:cs="Times New Roman" w:eastAsia="Times New Roman" w:hAnsi="Times New Roman"/>
          <w:sz w:val="17"/>
          <w:szCs w:val="17"/>
          <w:color w:val="auto"/>
        </w:rPr>
        <w:t>has served as a member of our board of directors since January 2019. Mr. Belcher has served as the Chief Executive Officer of Market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68" w:lineRule="exact"/>
        <w:rPr>
          <w:sz w:val="20"/>
          <w:szCs w:val="20"/>
          <w:color w:val="auto"/>
        </w:rPr>
      </w:pPr>
    </w:p>
    <w:p>
      <w:pPr>
        <w:jc w:val="both"/>
        <w:ind w:right="20" w:firstLine="451"/>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Jennifer A. Doudna, Ph.D. </w:t>
      </w:r>
      <w:r>
        <w:rPr>
          <w:rFonts w:ascii="Times New Roman" w:cs="Times New Roman" w:eastAsia="Times New Roman" w:hAnsi="Times New Roman"/>
          <w:sz w:val="17"/>
          <w:szCs w:val="17"/>
          <w:color w:val="auto"/>
        </w:rPr>
        <w:t>has served as a member of our board of directors since April 2021. Dr. Doudna has also served on the board of directors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214</w:t>
      </w:r>
    </w:p>
    <w:p>
      <w:pPr>
        <w:sectPr>
          <w:pgSz w:w="11900" w:h="16838" w:orient="portrait"/>
          <w:cols w:equalWidth="0" w:num="1">
            <w:col w:w="11300"/>
          </w:cols>
          <w:pgMar w:left="320" w:top="446" w:right="2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69"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R. Epstein </w:t>
      </w:r>
      <w:r>
        <w:rPr>
          <w:rFonts w:ascii="Times New Roman" w:cs="Times New Roman" w:eastAsia="Times New Roman" w:hAnsi="Times New Roman"/>
          <w:sz w:val="17"/>
          <w:szCs w:val="17"/>
          <w:color w:val="auto"/>
        </w:rPr>
        <w:t>has served as a member of our board of directors since February 2024. Mr. Epstein also serves as a board member at a privately held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biotherapeutics company, Valo Health, LLC. He is a Director at the non-profit Three Opinions Foundation Inc and at South Florida’s Pelican Harbor Seabird Station. Mr. Epstein previously served as the Chief Executive Officer and a member of the board of directors of Seagen Inc. (Nasdaq: SGEN) from November 2022 until Seagen’s acquisition by Pfizer Inc. in December 2023. From October 2021 to December 2023, Mr. Epstein served on the board of directors of OPY Acquisition Corp. I (Nasdaq: OHAA). From June 2022 to June 2023, Mr. Epstein served as a member of the board of directors of Senti Biosciences, Inc. (Nasdaq: SNTI) and was previously a member of the board of Senti’s predecessor, Dynamics Special Purpose Corp. (Nasdaq: DYNS) since March 2021. From March 2017 to February 2023, he served as a director at Evelo Biosciences, Inc. (Nasdaq: EVLO),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(Nasdaq: AXLA) and, from January 2017 to October 2022, Mr. Epstein served on the board of directors of Rubius Therapeutics, Inc. (Nasdaq: RUBY), he served on the board of directors of Seer, Inc. (Nasdaq: SEER). From 2010 to mid-2016, he served as the Chief Executive Officer of Novartis Pharmaceuticals, a division of Novartis AG. Previously, he started and led Novartis’ Oncology and Molecular Diagnostic units. Under his leadership, Norvartis’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 is qualified to serve on our board of directors because of his extensive experience serving in executive roles in the life sciences industry and leading the development and commercialization of numerous therapeutics.</w:t>
      </w:r>
    </w:p>
    <w:p>
      <w:pPr>
        <w:spacing w:after="0" w:line="39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Wayne A.I. Frederick, M.D. </w:t>
      </w:r>
      <w:r>
        <w:rPr>
          <w:rFonts w:ascii="Times New Roman" w:cs="Times New Roman" w:eastAsia="Times New Roman" w:hAnsi="Times New Roman"/>
          <w:sz w:val="17"/>
          <w:szCs w:val="17"/>
          <w:color w:val="auto"/>
        </w:rPr>
        <w:t>has served as a member of our board of directors since October 2020. Dr. Frederick has served on the boards of directors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several other public companies, including serving as a member of the board of directors of Workday, Inc. since July 2022, Insulet Corp since October 2020 and Humana Inc. since February 2020. From July 2020 to October 2022, Dr. Frederick served as a member of the board of director of Forma Therapeutics Holdings, Inc. He also serves on the boards of directors of privately held companies and charitable organizations. Dr. Frederick is currently the President Emeritus of Howard University, after serving as President since July 2014, and also serves as the Charles R. Drew Endowed Chair of Surgery at Howard 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75"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Robert Ghenchev </w:t>
      </w:r>
      <w:r>
        <w:rPr>
          <w:rFonts w:ascii="Times New Roman" w:cs="Times New Roman" w:eastAsia="Times New Roman" w:hAnsi="Times New Roman"/>
          <w:sz w:val="17"/>
          <w:szCs w:val="17"/>
          <w:color w:val="auto"/>
        </w:rPr>
        <w:t>has served as a member of our board of directors since May 2019 and is currently employed as Managing Partner and Head of Growth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Investments at Novo Holdings A/S. Prior to joining Novo Holdings in January of 2018, Mr. Ghenchev served as a Senior Vice President at Moelis &amp; Company in London where he focused on mergers and acquisitions within the healthcare industry, from April 2010 to January 2018. Mr. Ghenchev also serves on the boards of directors of Exscientia plc, a Nasdaq-listed public company, Oxford Biomedica plc, a company listed on the London Stock Exchange, and other private companies. Mr. Ghenchev</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215</w:t>
      </w:r>
    </w:p>
    <w:p>
      <w:pPr>
        <w:sectPr>
          <w:pgSz w:w="11900" w:h="16838" w:orient="portrait"/>
          <w:cols w:equalWidth="0" w:num="1">
            <w:col w:w="11300"/>
          </w:cols>
          <w:pgMar w:left="320" w:top="447" w:right="2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4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Scott Gottlieb, M.D. </w:t>
      </w:r>
      <w:r>
        <w:rPr>
          <w:rFonts w:ascii="Times New Roman" w:cs="Times New Roman" w:eastAsia="Times New Roman" w:hAnsi="Times New Roman"/>
          <w:sz w:val="17"/>
          <w:szCs w:val="17"/>
          <w:color w:val="auto"/>
        </w:rPr>
        <w:t>has served as a member of our board of directors since October 2019. Dr. Gottlieb has also served on the boards of directors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38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Theodore J. Leonsis </w:t>
      </w:r>
      <w:r>
        <w:rPr>
          <w:rFonts w:ascii="Times New Roman" w:cs="Times New Roman" w:eastAsia="Times New Roman" w:hAnsi="Times New Roman"/>
          <w:sz w:val="17"/>
          <w:szCs w:val="17"/>
          <w:color w:val="auto"/>
        </w:rPr>
        <w:t>has served as a member of our board of directors since January 2019. In November 2011, Mr. Leonsis co-founded Revolution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the Capital One Arena in Washington, D.C. and Monumental Sports Network.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17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Nadja West, M.D. </w:t>
      </w:r>
      <w:r>
        <w:rPr>
          <w:rFonts w:ascii="Times New Roman" w:cs="Times New Roman" w:eastAsia="Times New Roman" w:hAnsi="Times New Roman"/>
          <w:sz w:val="17"/>
          <w:szCs w:val="17"/>
          <w:color w:val="auto"/>
        </w:rPr>
        <w:t>has served as a member of our board of directors since April 2021. Dr. West has also served on the boards of directors of several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Composition of Our Board of Directors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which currently consists of ten directors. Mr. Ghenchev is expected to resign from our board of directors immediately prior to the effectiveness of the registration statement of which this prospectus forms a part. Accordingly, our board of directors is expected to consist of nine directors upon the consummation of this offering.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216</w:t>
      </w:r>
    </w:p>
    <w:p>
      <w:pPr>
        <w:sectPr>
          <w:pgSz w:w="11900" w:h="16838" w:orient="portrait"/>
          <w:cols w:equalWidth="0" w:num="1">
            <w:col w:w="11300"/>
          </w:cols>
          <w:pgMar w:left="320" w:top="446" w:right="2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Our Board of Directors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2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Our board of directors has determined that each of Messrs. Belcher and Frederick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principal duties and responsibilities of our audit committee include, among other things:</w:t>
      </w:r>
    </w:p>
    <w:p>
      <w:pPr>
        <w:spacing w:after="0" w:line="131" w:lineRule="exact"/>
        <w:rPr>
          <w:sz w:val="20"/>
          <w:szCs w:val="20"/>
          <w:color w:val="auto"/>
        </w:rPr>
      </w:pPr>
    </w:p>
    <w:p>
      <w:pPr>
        <w:ind w:left="1000" w:hanging="551"/>
        <w:spacing w:after="0"/>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 qualified firm to serve as the independent registered public accounting firm to audit our financial statements;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helping to ensure the independence and performance of the independent registered public accounting firm;</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helping to maintain and foster an open avenue of communication between management and the independent registered public accounting firm;</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procedures for employees to submit concerns anonymously about questionable accounting or audit matters;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217</w:t>
      </w:r>
    </w:p>
    <w:p>
      <w:pPr>
        <w:sectPr>
          <w:pgSz w:w="11900" w:h="16838" w:orient="portrait"/>
          <w:cols w:equalWidth="0" w:num="1">
            <w:col w:w="11300"/>
          </w:cols>
          <w:pgMar w:left="320" w:top="446" w:right="2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hanging="551"/>
        <w:spacing w:after="0"/>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policies on risk assessment and risk management;</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related party transactions;</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spacing w:after="0" w:line="55"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(or, as permitted, pre-approving) all audit and all permissible non-audit services to be performed by the independent registered public accounting firm; and</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material risks relating to data privacy, technology and information security, including cybersecurity.</w:t>
      </w:r>
    </w:p>
    <w:p>
      <w:pPr>
        <w:spacing w:after="0" w:line="22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Our audit committee will operate under a written charter, to be effective prior to the closing of this offering, that satisfies the applicable listing standards of the Nasdaq Stock Market.</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After this offering, our compensation committee will consist of Peter J. Barris, David R. Epstein and Nadja West. The chair of our compensation committee will be Mr. Barris. Our board of directors has determined that each of Messrs. Barris and Epstein and Ms. West is independent under Nasdaq listing standards and a “non-employee director” as defined in Rule 16b-3 promulgated under the Exchange Act.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principal duties and responsibilities of our compensation committee include, among other things:</w:t>
      </w:r>
    </w:p>
    <w:p>
      <w:pPr>
        <w:spacing w:after="0" w:line="131" w:lineRule="exact"/>
        <w:rPr>
          <w:sz w:val="20"/>
          <w:szCs w:val="20"/>
          <w:color w:val="auto"/>
        </w:rPr>
      </w:pPr>
    </w:p>
    <w:p>
      <w:pPr>
        <w:ind w:left="1000" w:hanging="551"/>
        <w:spacing w:after="0"/>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retention of compensation consultants and outside service providers and advisors;</w:t>
      </w:r>
    </w:p>
    <w:p>
      <w:pPr>
        <w:spacing w:after="0" w:line="131"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70"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of directors the compensation of our directors;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equity and non-equity incentive plans;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practices and policies of employee compensation as they relate to risk management and risk-taking incentives;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succession plans for the executive officers;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recommending that our board of directors approve, incentive compensation and equity plans;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compensation clawback or similar policies; and</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establishing general policies relating to compensation and benefits of our employees and reviewing our overall compensation philosophy.</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Our compensation committee will operate under a written charter, to be effective prior to the closing of this offering, that satisfies the applicable listing standards of the Nasdaq Stock Market.</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122"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After this offering, our nominating and corporate governance committee will consist of Theodore J. Leonsis, Jennifer A. Doudna and Scott Gottlieb. The chair of our nominating and corporate governance committee will be 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218</w:t>
      </w:r>
    </w:p>
    <w:p>
      <w:pPr>
        <w:sectPr>
          <w:pgSz w:w="11900" w:h="16838" w:orient="portrait"/>
          <w:cols w:equalWidth="0" w:num="1">
            <w:col w:w="11300"/>
          </w:cols>
          <w:pgMar w:left="320" w:top="446" w:right="2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nominating and corporate governance committee’s responsibilities include, among other things:</w:t>
      </w:r>
    </w:p>
    <w:p>
      <w:pPr>
        <w:spacing w:after="0" w:line="131" w:lineRule="exact"/>
        <w:rPr>
          <w:sz w:val="20"/>
          <w:szCs w:val="20"/>
          <w:color w:val="auto"/>
        </w:rPr>
      </w:pPr>
    </w:p>
    <w:p>
      <w:pPr>
        <w:ind w:left="1000" w:hanging="551"/>
        <w:spacing w:after="0" w:line="295" w:lineRule="auto"/>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evaluating, and selecting, or recommending that our board of directors approve, nominees for election to our board of directors and its committees;</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retention of director search firms;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our board of directors and of individual directors;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and making recommendations to our board of directors regarding the composition of our board of directors and its committees;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adequacy of our corporate governance practices and reporting;</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ESG activities, as applicable;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an annual evaluation of the board’s performance.</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Our nominating and corporate governance committee will operate under a written charter, to be effective prior to the closing of this offering, that satisfies the applicable listing standards of the Nasdaq Stock Market.</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Executive Committee</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219</w:t>
      </w:r>
    </w:p>
    <w:p>
      <w:pPr>
        <w:sectPr>
          <w:pgSz w:w="11900" w:h="16838" w:orient="portrait"/>
          <w:cols w:equalWidth="0" w:num="1">
            <w:col w:w="11300"/>
          </w:cols>
          <w:pgMar w:left="320" w:top="446" w:right="2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information regarding compensation earned by or paid to our non-employee directors for the year ended December 31, 2023:</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Pr>
          <w:p>
            <w:pPr>
              <w:spacing w:after="0"/>
              <w:rPr>
                <w:sz w:val="13"/>
                <w:szCs w:val="13"/>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Stock Awards</w:t>
            </w:r>
            <w:r>
              <w:rPr>
                <w:rFonts w:ascii="Times New Roman" w:cs="Times New Roman" w:eastAsia="Times New Roman" w:hAnsi="Times New Roman"/>
                <w:sz w:val="10"/>
                <w:szCs w:val="10"/>
                <w:b w:val="1"/>
                <w:bCs w:val="1"/>
                <w:color w:val="auto"/>
                <w:w w:val="97"/>
              </w:rPr>
              <w:t>(1)(2)</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40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0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J. Barris</w:t>
            </w: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Eric D. Belcher</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Jennifer A. Doudna, Ph.D.</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rPr>
              <w:t>75,000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75,000</w:t>
            </w:r>
          </w:p>
        </w:tc>
        <w:tc>
          <w:tcPr>
            <w:tcW w:w="0" w:type="dxa"/>
            <w:vAlign w:val="bottom"/>
          </w:tcPr>
          <w:p>
            <w:pPr>
              <w:spacing w:after="0"/>
              <w:rPr>
                <w:sz w:val="1"/>
                <w:szCs w:val="1"/>
                <w:color w:val="auto"/>
              </w:rPr>
            </w:pPr>
          </w:p>
        </w:tc>
      </w:tr>
      <w:tr>
        <w:trPr>
          <w:trHeight w:val="209"/>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Wayne A.I. Frederick, M.D.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7"/>
                <w:szCs w:val="17"/>
                <w:color w:val="auto"/>
              </w:rPr>
              <w:t>75,000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75,000</w:t>
            </w:r>
          </w:p>
        </w:tc>
        <w:tc>
          <w:tcPr>
            <w:tcW w:w="0" w:type="dxa"/>
            <w:vAlign w:val="bottom"/>
          </w:tcPr>
          <w:p>
            <w:pPr>
              <w:spacing w:after="0"/>
              <w:rPr>
                <w:sz w:val="1"/>
                <w:szCs w:val="1"/>
                <w:color w:val="auto"/>
              </w:rPr>
            </w:pPr>
          </w:p>
        </w:tc>
      </w:tr>
      <w:tr>
        <w:trPr>
          <w:trHeight w:val="209"/>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Ghenchev</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 Gottlieb, M.D.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7"/>
                <w:szCs w:val="17"/>
                <w:color w:val="auto"/>
              </w:rPr>
              <w:t>100,000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945,500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1,045,500</w:t>
            </w:r>
          </w:p>
        </w:tc>
        <w:tc>
          <w:tcPr>
            <w:tcW w:w="0" w:type="dxa"/>
            <w:vAlign w:val="bottom"/>
          </w:tcPr>
          <w:p>
            <w:pPr>
              <w:spacing w:after="0"/>
              <w:rPr>
                <w:sz w:val="1"/>
                <w:szCs w:val="1"/>
                <w:color w:val="auto"/>
              </w:rPr>
            </w:pPr>
          </w:p>
        </w:tc>
      </w:tr>
      <w:tr>
        <w:trPr>
          <w:trHeight w:val="209"/>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Theodore J. Leonsis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Nadja West, M.D.</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940"/>
              <w:spacing w:after="0"/>
              <w:rPr>
                <w:sz w:val="20"/>
                <w:szCs w:val="20"/>
                <w:color w:val="auto"/>
              </w:rPr>
            </w:pPr>
            <w:r>
              <w:rPr>
                <w:rFonts w:ascii="Times New Roman" w:cs="Times New Roman" w:eastAsia="Times New Roman" w:hAnsi="Times New Roman"/>
                <w:sz w:val="17"/>
                <w:szCs w:val="17"/>
                <w:color w:val="auto"/>
              </w:rPr>
              <w:t>75,000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886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jc w:val="both"/>
        <w:ind w:left="440" w:hanging="435"/>
        <w:spacing w:after="0" w:line="262" w:lineRule="auto"/>
        <w:tabs>
          <w:tab w:leader="none" w:pos="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represent the aggregate grant date fair value of RSUs granted to our non-employee directors during 2023 under our 2015 Plan, computed in accordance with the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ind w:left="440" w:right="20" w:hanging="435"/>
        <w:spacing w:after="0" w:line="273" w:lineRule="auto"/>
        <w:tabs>
          <w:tab w:leader="none" w:pos="4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the aggregate number of shares underlying outstanding RSUs under our 2015 Plan held by each of our non-employee directors was as follows:</w:t>
      </w:r>
    </w:p>
    <w:p>
      <w:pPr>
        <w:spacing w:after="0" w:line="167"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00" w:type="dxa"/>
            <w:vAlign w:val="bottom"/>
            <w:vMerge w:val="restart"/>
          </w:tcPr>
          <w:p>
            <w:pPr>
              <w:spacing w:after="0"/>
              <w:rPr>
                <w:sz w:val="13"/>
                <w:szCs w:val="13"/>
                <w:color w:val="auto"/>
              </w:rPr>
            </w:pPr>
          </w:p>
        </w:tc>
        <w:tc>
          <w:tcPr>
            <w:tcW w:w="3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75"/>
        </w:trPr>
        <w:tc>
          <w:tcPr>
            <w:tcW w:w="36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Underlying RSUs</w:t>
            </w:r>
          </w:p>
        </w:tc>
        <w:tc>
          <w:tcPr>
            <w:tcW w:w="0" w:type="dxa"/>
            <w:vAlign w:val="bottom"/>
          </w:tcPr>
          <w:p>
            <w:pPr>
              <w:spacing w:after="0"/>
              <w:rPr>
                <w:sz w:val="1"/>
                <w:szCs w:val="1"/>
                <w:color w:val="auto"/>
              </w:rPr>
            </w:pPr>
          </w:p>
        </w:tc>
      </w:tr>
      <w:tr>
        <w:trPr>
          <w:trHeight w:val="195"/>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J. Barris</w:t>
            </w:r>
          </w:p>
        </w:tc>
        <w:tc>
          <w:tcPr>
            <w:tcW w:w="2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Eric D. Belcher</w:t>
            </w:r>
          </w:p>
        </w:tc>
        <w:tc>
          <w:tcPr>
            <w:tcW w:w="2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Jennifer A. Doudna, Ph.D.</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line="209"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(a)</w:t>
            </w:r>
          </w:p>
        </w:tc>
        <w:tc>
          <w:tcPr>
            <w:tcW w:w="0" w:type="dxa"/>
            <w:vAlign w:val="bottom"/>
          </w:tcPr>
          <w:p>
            <w:pPr>
              <w:spacing w:after="0"/>
              <w:rPr>
                <w:sz w:val="1"/>
                <w:szCs w:val="1"/>
                <w:color w:val="auto"/>
              </w:rPr>
            </w:pP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Wayne A.I. Frederick, M.D.</w:t>
            </w:r>
          </w:p>
        </w:tc>
        <w:tc>
          <w:tcPr>
            <w:tcW w:w="2220" w:type="dxa"/>
            <w:vAlign w:val="bottom"/>
          </w:tcPr>
          <w:p>
            <w:pPr>
              <w:spacing w:after="0"/>
              <w:rPr>
                <w:sz w:val="18"/>
                <w:szCs w:val="18"/>
                <w:color w:val="auto"/>
              </w:rPr>
            </w:pPr>
          </w:p>
        </w:tc>
        <w:tc>
          <w:tcPr>
            <w:tcW w:w="1300" w:type="dxa"/>
            <w:vAlign w:val="bottom"/>
            <w:gridSpan w:val="2"/>
          </w:tcPr>
          <w:p>
            <w:pPr>
              <w:ind w:left="600"/>
              <w:spacing w:after="0" w:line="209"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Ghenchev</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Scott Gottlieb, M.D.</w:t>
            </w:r>
          </w:p>
        </w:tc>
        <w:tc>
          <w:tcPr>
            <w:tcW w:w="2220" w:type="dxa"/>
            <w:vAlign w:val="bottom"/>
          </w:tcPr>
          <w:p>
            <w:pPr>
              <w:spacing w:after="0"/>
              <w:rPr>
                <w:sz w:val="18"/>
                <w:szCs w:val="18"/>
                <w:color w:val="auto"/>
              </w:rPr>
            </w:pPr>
          </w:p>
        </w:tc>
        <w:tc>
          <w:tcPr>
            <w:tcW w:w="1300" w:type="dxa"/>
            <w:vAlign w:val="bottom"/>
            <w:gridSpan w:val="2"/>
          </w:tcPr>
          <w:p>
            <w:pPr>
              <w:ind w:left="600"/>
              <w:spacing w:after="0" w:line="209"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(c)</w:t>
            </w: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Theodore J. Leonsis</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28"/>
        </w:trPr>
        <w:tc>
          <w:tcPr>
            <w:tcW w:w="4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Nadja West, M.D.</w:t>
            </w:r>
          </w:p>
        </w:tc>
        <w:tc>
          <w:tcPr>
            <w:tcW w:w="2220" w:type="dxa"/>
            <w:vAlign w:val="bottom"/>
          </w:tcPr>
          <w:p>
            <w:pPr>
              <w:spacing w:after="0"/>
              <w:rPr>
                <w:sz w:val="24"/>
                <w:szCs w:val="24"/>
                <w:color w:val="auto"/>
              </w:rPr>
            </w:pP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25,000</w:t>
            </w:r>
            <w:r>
              <w:rPr>
                <w:rFonts w:ascii="Times New Roman" w:cs="Times New Roman" w:eastAsia="Times New Roman" w:hAnsi="Times New Roman"/>
                <w:sz w:val="26"/>
                <w:szCs w:val="26"/>
                <w:color w:val="auto"/>
                <w:vertAlign w:val="superscript"/>
              </w:rPr>
              <w:t>(d)</w:t>
            </w:r>
          </w:p>
        </w:tc>
        <w:tc>
          <w:tcPr>
            <w:tcW w:w="0" w:type="dxa"/>
            <w:vAlign w:val="bottom"/>
          </w:tcPr>
          <w:p>
            <w:pPr>
              <w:spacing w:after="0"/>
              <w:rPr>
                <w:sz w:val="1"/>
                <w:szCs w:val="1"/>
                <w:color w:val="auto"/>
              </w:rPr>
            </w:pPr>
          </w:p>
        </w:tc>
      </w:tr>
    </w:tbl>
    <w:p>
      <w:pPr>
        <w:jc w:val="both"/>
        <w:ind w:left="440" w:hanging="435"/>
        <w:spacing w:after="0" w:line="255" w:lineRule="auto"/>
        <w:tabs>
          <w:tab w:leader="none" w:pos="4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25,000 RSUs, one fourth of which vest on April 1,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2" w:lineRule="exact"/>
        <w:rPr>
          <w:rFonts w:ascii="Times New Roman" w:cs="Times New Roman" w:eastAsia="Times New Roman" w:hAnsi="Times New Roman"/>
          <w:sz w:val="17"/>
          <w:szCs w:val="17"/>
          <w:color w:val="auto"/>
        </w:rPr>
      </w:pPr>
    </w:p>
    <w:p>
      <w:pPr>
        <w:ind w:left="440" w:right="20" w:hanging="435"/>
        <w:spacing w:after="0" w:line="256" w:lineRule="auto"/>
        <w:tabs>
          <w:tab w:leader="none" w:pos="4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25,000 RSUs, 1/20 of which vest on January 1, 2021 and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7"/>
          <w:szCs w:val="17"/>
          <w:color w:val="auto"/>
        </w:rPr>
      </w:pPr>
    </w:p>
    <w:p>
      <w:pPr>
        <w:jc w:val="both"/>
        <w:ind w:left="440" w:hanging="435"/>
        <w:spacing w:after="0" w:line="256" w:lineRule="auto"/>
        <w:tabs>
          <w:tab w:leader="none" w:pos="4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50,000 RSUs, one fourth of which vest on July 1, 2020 and quarterly thereafter, and 25,000 RSUs, one fifth of which vest on July 1, 2024, and 1/20 of which vest quarterly thereafter, provided that, in each case,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7"/>
          <w:szCs w:val="17"/>
          <w:color w:val="auto"/>
        </w:rPr>
      </w:pPr>
    </w:p>
    <w:p>
      <w:pPr>
        <w:jc w:val="both"/>
        <w:ind w:left="440" w:right="20" w:hanging="435"/>
        <w:spacing w:after="0" w:line="265" w:lineRule="auto"/>
        <w:tabs>
          <w:tab w:leader="none" w:pos="4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25,000 RSUs, one fifth of which vest on April 1, 2021, and 1/20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220</w:t>
      </w:r>
    </w:p>
    <w:p>
      <w:pPr>
        <w:sectPr>
          <w:pgSz w:w="11900" w:h="16838" w:orient="portrait"/>
          <w:cols w:equalWidth="0" w:num="1">
            <w:col w:w="11300"/>
          </w:cols>
          <w:pgMar w:left="320" w:top="446" w:right="2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 addition, in connection with Mr. Epstein’s appointment to our board of directors, he received 15,000 RSUs, which vest ratably on a quarterly basis over a period of 15 quarters beginning on February 5, 2024, provided that Mr. Epstein remains in continuous service with us through each vesting date.</w:t>
      </w:r>
    </w:p>
    <w:p>
      <w:pPr>
        <w:spacing w:after="0" w:line="147"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 Compensation Policy</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board of directors adopted a non-employee director compensation policy in February 2024 that will become effective upon the effectiveness of the registration statement of which this prospectus forms a part and will be applicable to all of our non-employee directors. This compensation policy provides that each such non-employee director will receive the following compensation for service on our board of directors:</w:t>
      </w:r>
    </w:p>
    <w:p>
      <w:pPr>
        <w:spacing w:after="0" w:line="70" w:lineRule="exact"/>
        <w:rPr>
          <w:sz w:val="20"/>
          <w:szCs w:val="20"/>
          <w:color w:val="auto"/>
        </w:rPr>
      </w:pPr>
    </w:p>
    <w:p>
      <w:pPr>
        <w:ind w:left="1000" w:right="20" w:hanging="551"/>
        <w:spacing w:after="0" w:line="267" w:lineRule="auto"/>
        <w:tabs>
          <w:tab w:leader="none" w:pos="10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of $50,000 (plus an additional $12,500 for the non-executive chair of our board of directors or lead independent direct, if any);</w:t>
      </w:r>
    </w:p>
    <w:p>
      <w:pPr>
        <w:spacing w:after="0" w:line="318"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$12,500 for service as a member of the audit committee, compensation committee and the nominating and corporate governance committee;</w:t>
      </w:r>
    </w:p>
    <w:p>
      <w:pPr>
        <w:spacing w:after="0" w:line="55" w:lineRule="exact"/>
        <w:rPr>
          <w:rFonts w:ascii="Times New Roman" w:cs="Times New Roman" w:eastAsia="Times New Roman" w:hAnsi="Times New Roman"/>
          <w:sz w:val="17"/>
          <w:szCs w:val="17"/>
          <w:color w:val="auto"/>
        </w:rPr>
      </w:pPr>
    </w:p>
    <w:p>
      <w:pPr>
        <w:ind w:left="1000" w:hanging="551"/>
        <w:spacing w:after="0" w:line="267" w:lineRule="auto"/>
        <w:tabs>
          <w:tab w:leader="none" w:pos="10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initial RSU grant having grant date fair value of $500,000 on the date of each such non-employee director’s appointment to our board of directors;</w:t>
      </w:r>
    </w:p>
    <w:p>
      <w:pPr>
        <w:spacing w:after="0" w:line="318"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refresh RSU grant having a grant date fair value of $500,000 on the fifth anniversary of such non-employee director’s initial RSU grant or initial public offering grant, as described below; as applicable; and</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RSU grant having grant date fair value of $125,000 on the date of each of our annual stockholder meetings.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Under the non-employee director compensation policy, directors may elect to receive some or all of their eligible cash compensation in the form of RSUs.</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In connection with this offering, we will grant each of our non-employee directors RSUs with a grant date fair value of $500,000 on the date of this prospectus.</w:t>
      </w:r>
    </w:p>
    <w:p>
      <w:pPr>
        <w:spacing w:after="0" w:line="147" w:lineRule="exact"/>
        <w:rPr>
          <w:sz w:val="20"/>
          <w:szCs w:val="20"/>
          <w:color w:val="auto"/>
        </w:rPr>
      </w:pPr>
    </w:p>
    <w:p>
      <w:pPr>
        <w:jc w:val="both"/>
        <w:ind w:right="20" w:firstLine="451"/>
        <w:spacing w:after="0" w:line="266" w:lineRule="auto"/>
        <w:rPr>
          <w:sz w:val="20"/>
          <w:szCs w:val="20"/>
          <w:color w:val="auto"/>
        </w:rPr>
      </w:pPr>
      <w:r>
        <w:rPr>
          <w:rFonts w:ascii="Times New Roman" w:cs="Times New Roman" w:eastAsia="Times New Roman" w:hAnsi="Times New Roman"/>
          <w:sz w:val="17"/>
          <w:szCs w:val="17"/>
          <w:color w:val="auto"/>
        </w:rPr>
        <w:t>Each of the RSU grants described above under the non-employee director compensation policy will be granted under our 2024 Plan, the terms of which are described in more detail below under the section titled “Executive Compensation—Equity Incentive Plans—2024 Equity Incentive Plan.” Each of the initial RSU grants and grants made in connection with this offering, as applicable, will vest in substantially equal quarterly installments over a five-year period, subject to the director’s continuous service to us through each vesting date. Each annual RSU grant will vest and become exercisable subject to the director’s continuous service to us through the earlier of the first anniversary of the date of grant or the next annual stockholder meeting.</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221</w:t>
      </w:r>
    </w:p>
    <w:p>
      <w:pPr>
        <w:sectPr>
          <w:pgSz w:w="11900" w:h="16838" w:orient="portrait"/>
          <w:cols w:equalWidth="0" w:num="1">
            <w:col w:w="11300"/>
          </w:cols>
          <w:pgMar w:left="320" w:top="446" w:right="2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named executive officers, consisting of our principal executive officer and the next two most highly compensated executive officers,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were:</w:t>
      </w:r>
    </w:p>
    <w:p>
      <w:pPr>
        <w:spacing w:after="0" w:line="113" w:lineRule="exact"/>
        <w:rPr>
          <w:sz w:val="20"/>
          <w:szCs w:val="20"/>
          <w:color w:val="auto"/>
        </w:rPr>
      </w:pPr>
    </w:p>
    <w:p>
      <w:pPr>
        <w:ind w:left="1000" w:hanging="551"/>
        <w:spacing w:after="0"/>
        <w:tabs>
          <w:tab w:leader="none" w:pos="10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Eric Lefkofsky, Chief Executive Officer, Founder and Chairman;</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Rogers, Chief Financial Officer;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Ryan Fukushima, Chief Operating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all of the compensation awarded to or earned by or paid to our named executive officers for the years ended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 and Principal Position</w:t>
            </w:r>
          </w:p>
        </w:tc>
        <w:tc>
          <w:tcPr>
            <w:tcW w:w="2340" w:type="dxa"/>
            <w:vAlign w:val="bottom"/>
            <w:vMerge w:val="restart"/>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tcPr>
          <w:p>
            <w:pPr>
              <w:spacing w:after="0"/>
              <w:rPr>
                <w:sz w:val="13"/>
                <w:szCs w:val="13"/>
                <w:color w:val="auto"/>
              </w:rPr>
            </w:pPr>
          </w:p>
        </w:tc>
        <w:tc>
          <w:tcPr>
            <w:tcW w:w="12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1360" w:type="dxa"/>
            <w:vAlign w:val="bottom"/>
            <w:gridSpan w:val="2"/>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720" w:type="dxa"/>
            <w:vAlign w:val="bottom"/>
            <w:tcBorders>
              <w:bottom w:val="single" w:sz="8" w:color="auto"/>
            </w:tcBorders>
            <w:vMerge w:val="continue"/>
          </w:tcPr>
          <w:p>
            <w:pPr>
              <w:spacing w:after="0"/>
              <w:rPr>
                <w:sz w:val="15"/>
                <w:szCs w:val="15"/>
                <w:color w:val="auto"/>
              </w:rPr>
            </w:pPr>
          </w:p>
        </w:tc>
        <w:tc>
          <w:tcPr>
            <w:tcW w:w="2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5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(1)</w:t>
            </w:r>
          </w:p>
        </w:tc>
        <w:tc>
          <w:tcPr>
            <w:tcW w:w="14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 Lefkofsky</w:t>
            </w:r>
          </w:p>
        </w:tc>
        <w:tc>
          <w:tcPr>
            <w:tcW w:w="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9"/>
              </w:rPr>
              <w:t>2023</w:t>
            </w: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620" w:type="dxa"/>
            <w:vAlign w:val="bottom"/>
            <w:tcBorders>
              <w:top w:val="single" w:sz="8" w:color="CCEEFF"/>
            </w:tcBorders>
            <w:shd w:val="clear" w:color="auto" w:fill="CCEEFF"/>
          </w:tcPr>
          <w:p>
            <w:pPr>
              <w:jc w:val="right"/>
              <w:ind w:right="395"/>
              <w:spacing w:after="0" w:line="149" w:lineRule="exact"/>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i w:val="1"/>
                <w:iCs w:val="1"/>
                <w:color w:val="auto"/>
              </w:rPr>
              <w:t>Chief Executive Officer, Founder and Chairmain</w:t>
            </w:r>
          </w:p>
        </w:tc>
        <w:tc>
          <w:tcPr>
            <w:tcW w:w="10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95"/>
              <w:spacing w:after="0" w:line="209"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293"/>
        </w:trPr>
        <w:tc>
          <w:tcPr>
            <w:tcW w:w="4060" w:type="dxa"/>
            <w:vAlign w:val="bottom"/>
            <w:gridSpan w:val="2"/>
          </w:tcPr>
          <w:p>
            <w:pPr>
              <w:spacing w:after="0" w:line="293" w:lineRule="exact"/>
              <w:rPr>
                <w:sz w:val="20"/>
                <w:szCs w:val="20"/>
                <w:color w:val="auto"/>
              </w:rPr>
            </w:pPr>
            <w:r>
              <w:rPr>
                <w:rFonts w:ascii="Times New Roman" w:cs="Times New Roman" w:eastAsia="Times New Roman" w:hAnsi="Times New Roman"/>
                <w:sz w:val="17"/>
                <w:szCs w:val="17"/>
                <w:color w:val="auto"/>
              </w:rPr>
              <w:t>James Rogers</w:t>
            </w:r>
            <w:r>
              <w:rPr>
                <w:rFonts w:ascii="Times New Roman" w:cs="Times New Roman" w:eastAsia="Times New Roman" w:hAnsi="Times New Roman"/>
                <w:sz w:val="26"/>
                <w:szCs w:val="26"/>
                <w:color w:val="auto"/>
                <w:vertAlign w:val="superscript"/>
              </w:rPr>
              <w:t>(3)</w:t>
            </w:r>
          </w:p>
        </w:tc>
        <w:tc>
          <w:tcPr>
            <w:tcW w:w="10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491,667</w:t>
            </w: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2,762,550</w:t>
            </w:r>
          </w:p>
        </w:tc>
        <w:tc>
          <w:tcPr>
            <w:tcW w:w="120" w:type="dxa"/>
            <w:vAlign w:val="bottom"/>
          </w:tcPr>
          <w:p>
            <w:pPr>
              <w:spacing w:after="0"/>
              <w:rPr>
                <w:sz w:val="24"/>
                <w:szCs w:val="24"/>
                <w:color w:val="auto"/>
              </w:rPr>
            </w:pPr>
          </w:p>
        </w:tc>
        <w:tc>
          <w:tcPr>
            <w:tcW w:w="1360" w:type="dxa"/>
            <w:vAlign w:val="bottom"/>
            <w:gridSpan w:val="2"/>
          </w:tcPr>
          <w:p>
            <w:pPr>
              <w:jc w:val="right"/>
              <w:ind w:right="395"/>
              <w:spacing w:after="0" w:line="293" w:lineRule="exact"/>
              <w:rPr>
                <w:sz w:val="20"/>
                <w:szCs w:val="20"/>
                <w:color w:val="auto"/>
              </w:rPr>
            </w:pPr>
            <w:r>
              <w:rPr>
                <w:rFonts w:ascii="Times New Roman" w:cs="Times New Roman" w:eastAsia="Times New Roman" w:hAnsi="Times New Roman"/>
                <w:sz w:val="17"/>
                <w:szCs w:val="17"/>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3,306,317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0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450,000</w:t>
            </w: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2,975,250</w:t>
            </w:r>
          </w:p>
        </w:tc>
        <w:tc>
          <w:tcPr>
            <w:tcW w:w="120" w:type="dxa"/>
            <w:vAlign w:val="bottom"/>
          </w:tcPr>
          <w:p>
            <w:pPr>
              <w:spacing w:after="0"/>
              <w:rPr>
                <w:sz w:val="24"/>
                <w:szCs w:val="24"/>
                <w:color w:val="auto"/>
              </w:rPr>
            </w:pPr>
          </w:p>
        </w:tc>
        <w:tc>
          <w:tcPr>
            <w:tcW w:w="1360" w:type="dxa"/>
            <w:vAlign w:val="bottom"/>
            <w:gridSpan w:val="2"/>
          </w:tcPr>
          <w:p>
            <w:pPr>
              <w:jc w:val="right"/>
              <w:ind w:right="395"/>
              <w:spacing w:after="0"/>
              <w:rPr>
                <w:sz w:val="20"/>
                <w:szCs w:val="20"/>
                <w:color w:val="auto"/>
              </w:rPr>
            </w:pPr>
            <w:r>
              <w:rPr>
                <w:rFonts w:ascii="Times New Roman" w:cs="Times New Roman" w:eastAsia="Times New Roman" w:hAnsi="Times New Roman"/>
                <w:sz w:val="17"/>
                <w:szCs w:val="17"/>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3,427,350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Ryan Fukushima</w:t>
            </w:r>
            <w:r>
              <w:rPr>
                <w:rFonts w:ascii="Times New Roman" w:cs="Times New Roman" w:eastAsia="Times New Roman" w:hAnsi="Times New Roman"/>
                <w:sz w:val="24"/>
                <w:szCs w:val="24"/>
                <w:color w:val="auto"/>
                <w:vertAlign w:val="superscript"/>
              </w:rPr>
              <w:t>(4)</w:t>
            </w:r>
          </w:p>
        </w:tc>
        <w:tc>
          <w:tcPr>
            <w:tcW w:w="10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390,625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4,604,250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95"/>
              <w:spacing w:after="0" w:line="209" w:lineRule="exact"/>
              <w:rPr>
                <w:sz w:val="20"/>
                <w:szCs w:val="20"/>
                <w:color w:val="auto"/>
              </w:rPr>
            </w:pPr>
            <w:r>
              <w:rPr>
                <w:rFonts w:ascii="Times New Roman" w:cs="Times New Roman" w:eastAsia="Times New Roman" w:hAnsi="Times New Roman"/>
                <w:sz w:val="16"/>
                <w:szCs w:val="16"/>
                <w:color w:val="auto"/>
              </w:rPr>
              <w:t>78,468</w:t>
            </w:r>
            <w:r>
              <w:rPr>
                <w:rFonts w:ascii="Times New Roman" w:cs="Times New Roman" w:eastAsia="Times New Roman" w:hAnsi="Times New Roman"/>
                <w:sz w:val="24"/>
                <w:szCs w:val="24"/>
                <w:color w:val="auto"/>
                <w:vertAlign w:val="superscript"/>
              </w:rPr>
              <w:t>(5)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5,273,343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i w:val="1"/>
                <w:iCs w:val="1"/>
                <w:color w:val="auto"/>
              </w:rPr>
              <w:t>Chief Operating Officer</w:t>
            </w:r>
          </w:p>
        </w:tc>
        <w:tc>
          <w:tcPr>
            <w:tcW w:w="10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499,858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5,550,870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95"/>
              <w:spacing w:after="0" w:line="209" w:lineRule="exact"/>
              <w:rPr>
                <w:sz w:val="20"/>
                <w:szCs w:val="20"/>
                <w:color w:val="auto"/>
              </w:rPr>
            </w:pPr>
            <w:r>
              <w:rPr>
                <w:rFonts w:ascii="Times New Roman" w:cs="Times New Roman" w:eastAsia="Times New Roman" w:hAnsi="Times New Roman"/>
                <w:sz w:val="16"/>
                <w:szCs w:val="16"/>
                <w:color w:val="auto"/>
              </w:rPr>
              <w:t>90,816</w:t>
            </w:r>
            <w:r>
              <w:rPr>
                <w:rFonts w:ascii="Times New Roman" w:cs="Times New Roman" w:eastAsia="Times New Roman" w:hAnsi="Times New Roman"/>
                <w:sz w:val="24"/>
                <w:szCs w:val="24"/>
                <w:color w:val="auto"/>
                <w:vertAlign w:val="superscript"/>
              </w:rPr>
              <w:t>(5)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6,141,544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886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8" w:lineRule="exact"/>
        <w:rPr>
          <w:sz w:val="20"/>
          <w:szCs w:val="20"/>
          <w:color w:val="auto"/>
        </w:rPr>
      </w:pPr>
    </w:p>
    <w:p>
      <w:pPr>
        <w:jc w:val="both"/>
        <w:ind w:left="440" w:hanging="435"/>
        <w:spacing w:after="0" w:line="262" w:lineRule="auto"/>
        <w:tabs>
          <w:tab w:leader="none" w:pos="4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represent the aggregate grant date fair value of RSUs granted to our executive officers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ind w:left="440" w:hanging="435"/>
        <w:spacing w:after="0"/>
        <w:tabs>
          <w:tab w:leader="none" w:pos="4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represents parking fees in the amount of $2,100.</w:t>
      </w:r>
    </w:p>
    <w:p>
      <w:pPr>
        <w:spacing w:after="0" w:line="13" w:lineRule="exact"/>
        <w:rPr>
          <w:rFonts w:ascii="Times New Roman" w:cs="Times New Roman" w:eastAsia="Times New Roman" w:hAnsi="Times New Roman"/>
          <w:sz w:val="17"/>
          <w:szCs w:val="17"/>
          <w:color w:val="auto"/>
        </w:rPr>
      </w:pPr>
    </w:p>
    <w:p>
      <w:pPr>
        <w:ind w:left="440" w:right="20" w:hanging="435"/>
        <w:spacing w:after="0" w:line="256" w:lineRule="auto"/>
        <w:tabs>
          <w:tab w:leader="none" w:pos="4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Rogers’ annualized base salary for 2022 was $450,000. As described below under “—Employment Arrangements,” he entered into a new employment agreement, effective January 2023, providing for an annualized base salary of $500,000.</w:t>
      </w:r>
    </w:p>
    <w:p>
      <w:pPr>
        <w:spacing w:after="0" w:line="1" w:lineRule="exact"/>
        <w:rPr>
          <w:rFonts w:ascii="Times New Roman" w:cs="Times New Roman" w:eastAsia="Times New Roman" w:hAnsi="Times New Roman"/>
          <w:sz w:val="17"/>
          <w:szCs w:val="17"/>
          <w:color w:val="auto"/>
        </w:rPr>
      </w:pPr>
    </w:p>
    <w:p>
      <w:pPr>
        <w:jc w:val="both"/>
        <w:ind w:left="440" w:right="20" w:hanging="435"/>
        <w:spacing w:after="0" w:line="256" w:lineRule="auto"/>
        <w:tabs>
          <w:tab w:leader="none" w:pos="4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Fukushima’s annualized base salary for 2022 was $500,000. As described below under “—Employment Arrangements,” he entered into a new employment agreement, effective January 2023, providing for an annualized base salary of $375,000, which represents a proration based on the amount of time subject to outside activities that Mr. Fukushima devotes to Pathos AI, Inc. See the section titled “Certain Relationships and Related Party Transactions —Agreements with Pathos” in this prospectus for more information.</w:t>
      </w:r>
    </w:p>
    <w:p>
      <w:pPr>
        <w:spacing w:after="0" w:line="2" w:lineRule="exact"/>
        <w:rPr>
          <w:rFonts w:ascii="Times New Roman" w:cs="Times New Roman" w:eastAsia="Times New Roman" w:hAnsi="Times New Roman"/>
          <w:sz w:val="17"/>
          <w:szCs w:val="17"/>
          <w:color w:val="auto"/>
        </w:rPr>
      </w:pPr>
    </w:p>
    <w:p>
      <w:pPr>
        <w:ind w:left="440" w:hanging="435"/>
        <w:spacing w:after="0"/>
        <w:tabs>
          <w:tab w:leader="none" w:pos="4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represents a housing stipend earned during each of the years presented.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222</w:t>
      </w:r>
    </w:p>
    <w:p>
      <w:pPr>
        <w:sectPr>
          <w:pgSz w:w="11900" w:h="16838" w:orient="portrait"/>
          <w:cols w:equalWidth="0" w:num="1">
            <w:col w:w="11300"/>
          </w:cols>
          <w:pgMar w:left="320" w:top="447" w:right="2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as of December 31, 2023</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certain information about outstanding equity awards granted to our named executive officers that remain outstanding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2"/>
          </w:tcPr>
          <w:p>
            <w:pPr>
              <w:jc w:val="center"/>
              <w:ind w:right="395"/>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95"/>
              <w:spacing w:after="0" w:line="144"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2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500" w:type="dxa"/>
            <w:vAlign w:val="bottom"/>
            <w:gridSpan w:val="2"/>
          </w:tcPr>
          <w:p>
            <w:pPr>
              <w:jc w:val="center"/>
              <w:ind w:right="395"/>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2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500" w:type="dxa"/>
            <w:vAlign w:val="bottom"/>
            <w:gridSpan w:val="2"/>
          </w:tcPr>
          <w:p>
            <w:pPr>
              <w:jc w:val="center"/>
              <w:ind w:right="395"/>
              <w:spacing w:after="0" w:line="144"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2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5"/>
        </w:trPr>
        <w:tc>
          <w:tcPr>
            <w:tcW w:w="36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gridSpan w:val="2"/>
          </w:tcPr>
          <w:p>
            <w:pPr>
              <w:jc w:val="right"/>
              <w:ind w:right="1020"/>
              <w:spacing w:after="0" w:line="155" w:lineRule="exact"/>
              <w:rPr>
                <w:sz w:val="20"/>
                <w:szCs w:val="20"/>
                <w:color w:val="auto"/>
              </w:rPr>
            </w:pPr>
            <w:r>
              <w:rPr>
                <w:rFonts w:ascii="Times New Roman" w:cs="Times New Roman" w:eastAsia="Times New Roman" w:hAnsi="Times New Roman"/>
                <w:sz w:val="14"/>
                <w:szCs w:val="14"/>
                <w:b w:val="1"/>
                <w:bCs w:val="1"/>
                <w:color w:val="auto"/>
              </w:rPr>
              <w:t>Date</w:t>
            </w:r>
          </w:p>
        </w:tc>
        <w:tc>
          <w:tcPr>
            <w:tcW w:w="1500" w:type="dxa"/>
            <w:vAlign w:val="bottom"/>
            <w:gridSpan w:val="2"/>
          </w:tcPr>
          <w:p>
            <w:pPr>
              <w:jc w:val="center"/>
              <w:ind w:right="415"/>
              <w:spacing w:after="0" w:line="155" w:lineRule="exact"/>
              <w:rPr>
                <w:sz w:val="20"/>
                <w:szCs w:val="20"/>
                <w:color w:val="auto"/>
              </w:rPr>
            </w:pPr>
            <w:r>
              <w:rPr>
                <w:rFonts w:ascii="Times New Roman" w:cs="Times New Roman" w:eastAsia="Times New Roman" w:hAnsi="Times New Roman"/>
                <w:sz w:val="14"/>
                <w:szCs w:val="14"/>
                <w:b w:val="1"/>
                <w:bCs w:val="1"/>
                <w:color w:val="auto"/>
                <w:w w:val="96"/>
              </w:rPr>
              <w:t>Vested (#)</w:t>
            </w:r>
          </w:p>
        </w:tc>
        <w:tc>
          <w:tcPr>
            <w:tcW w:w="12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95"/>
        </w:trPr>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Eric Lefkofsky</w:t>
            </w: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July 14, 2021</w:t>
            </w: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1, 2021</w:t>
            </w:r>
          </w:p>
        </w:tc>
        <w:tc>
          <w:tcPr>
            <w:tcW w:w="2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4,866,000</w:t>
            </w:r>
          </w:p>
        </w:tc>
        <w:tc>
          <w:tcPr>
            <w:tcW w:w="480" w:type="dxa"/>
            <w:vAlign w:val="bottom"/>
            <w:tcBorders>
              <w:top w:val="single" w:sz="8" w:color="CCEEFF"/>
            </w:tcBorders>
            <w:shd w:val="clear" w:color="auto" w:fill="CCEEFF"/>
          </w:tcPr>
          <w:p>
            <w:pPr>
              <w:jc w:val="right"/>
              <w:ind w:right="255"/>
              <w:spacing w:after="0" w:line="149" w:lineRule="exact"/>
              <w:rPr>
                <w:sz w:val="20"/>
                <w:szCs w:val="20"/>
                <w:color w:val="auto"/>
              </w:rPr>
            </w:pPr>
            <w:r>
              <w:rPr>
                <w:rFonts w:ascii="Times New Roman" w:cs="Times New Roman" w:eastAsia="Times New Roman" w:hAnsi="Times New Roman"/>
                <w:sz w:val="13"/>
                <w:szCs w:val="13"/>
                <w:color w:val="auto"/>
                <w:w w:val="92"/>
              </w:rPr>
              <w:t>(3)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184,032,120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Rogers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November 11, 2017</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July 31, 2017</w:t>
            </w:r>
          </w:p>
        </w:tc>
        <w:tc>
          <w:tcPr>
            <w:tcW w:w="1500" w:type="dxa"/>
            <w:vAlign w:val="bottom"/>
            <w:gridSpan w:val="2"/>
          </w:tcPr>
          <w:p>
            <w:pPr>
              <w:jc w:val="right"/>
              <w:ind w:right="255"/>
              <w:spacing w:after="0" w:line="296" w:lineRule="exact"/>
              <w:rPr>
                <w:sz w:val="20"/>
                <w:szCs w:val="20"/>
                <w:color w:val="auto"/>
              </w:rPr>
            </w:pPr>
            <w:r>
              <w:rPr>
                <w:rFonts w:ascii="Times New Roman" w:cs="Times New Roman" w:eastAsia="Times New Roman" w:hAnsi="Times New Roman"/>
                <w:sz w:val="17"/>
                <w:szCs w:val="17"/>
                <w:color w:val="auto"/>
              </w:rPr>
              <w:t>24,000</w:t>
            </w:r>
            <w:r>
              <w:rPr>
                <w:rFonts w:ascii="Times New Roman" w:cs="Times New Roman" w:eastAsia="Times New Roman" w:hAnsi="Times New Roman"/>
                <w:sz w:val="26"/>
                <w:szCs w:val="26"/>
                <w:color w:val="auto"/>
                <w:vertAlign w:val="superscript"/>
              </w:rPr>
              <w:t>(4)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907,680</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March 13, 2018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February 24, 2018</w:t>
            </w:r>
          </w:p>
        </w:tc>
        <w:tc>
          <w:tcPr>
            <w:tcW w:w="1500" w:type="dxa"/>
            <w:vAlign w:val="bottom"/>
            <w:gridSpan w:val="2"/>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983,320</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April 17, 2019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February 1, 2019</w:t>
            </w:r>
          </w:p>
        </w:tc>
        <w:tc>
          <w:tcPr>
            <w:tcW w:w="1500" w:type="dxa"/>
            <w:vAlign w:val="bottom"/>
            <w:gridSpan w:val="2"/>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567,300</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April 15, 2020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February 1, 2020</w:t>
            </w:r>
          </w:p>
        </w:tc>
        <w:tc>
          <w:tcPr>
            <w:tcW w:w="1500" w:type="dxa"/>
            <w:vAlign w:val="bottom"/>
            <w:gridSpan w:val="2"/>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567,300</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April 21, 2021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February 1, 2021</w:t>
            </w:r>
          </w:p>
        </w:tc>
        <w:tc>
          <w:tcPr>
            <w:tcW w:w="1500" w:type="dxa"/>
            <w:vAlign w:val="bottom"/>
            <w:gridSpan w:val="2"/>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756,400</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April 21, 2021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March 9, 2021</w:t>
            </w:r>
          </w:p>
        </w:tc>
        <w:tc>
          <w:tcPr>
            <w:tcW w:w="1500" w:type="dxa"/>
            <w:vAlign w:val="bottom"/>
            <w:gridSpan w:val="2"/>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3,782,000</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April 27, 2022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February 15, 2022</w:t>
            </w:r>
          </w:p>
        </w:tc>
        <w:tc>
          <w:tcPr>
            <w:tcW w:w="1500" w:type="dxa"/>
            <w:vAlign w:val="bottom"/>
            <w:gridSpan w:val="2"/>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2,836,500</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April 18, 2023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March 15, 2023</w:t>
            </w:r>
          </w:p>
        </w:tc>
        <w:tc>
          <w:tcPr>
            <w:tcW w:w="1500" w:type="dxa"/>
            <w:vAlign w:val="bottom"/>
            <w:gridSpan w:val="2"/>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567,300</w:t>
            </w:r>
          </w:p>
        </w:tc>
        <w:tc>
          <w:tcPr>
            <w:tcW w:w="0" w:type="dxa"/>
            <w:vAlign w:val="bottom"/>
          </w:tcPr>
          <w:p>
            <w:pPr>
              <w:spacing w:after="0"/>
              <w:rPr>
                <w:sz w:val="1"/>
                <w:szCs w:val="1"/>
                <w:color w:val="auto"/>
              </w:rPr>
            </w:pPr>
          </w:p>
        </w:tc>
      </w:tr>
      <w:tr>
        <w:trPr>
          <w:trHeight w:val="332"/>
        </w:trPr>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July 18, 2023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March 31, 2023</w:t>
            </w:r>
          </w:p>
        </w:tc>
        <w:tc>
          <w:tcPr>
            <w:tcW w:w="150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60,000</w:t>
            </w:r>
            <w:r>
              <w:rPr>
                <w:rFonts w:ascii="Times New Roman" w:cs="Times New Roman" w:eastAsia="Times New Roman" w:hAnsi="Times New Roman"/>
                <w:sz w:val="26"/>
                <w:szCs w:val="26"/>
                <w:color w:val="auto"/>
                <w:vertAlign w:val="superscript"/>
              </w:rPr>
              <w:t>(7)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2,269,200</w:t>
            </w:r>
          </w:p>
        </w:tc>
        <w:tc>
          <w:tcPr>
            <w:tcW w:w="0" w:type="dxa"/>
            <w:vAlign w:val="bottom"/>
          </w:tcPr>
          <w:p>
            <w:pPr>
              <w:spacing w:after="0"/>
              <w:rPr>
                <w:sz w:val="1"/>
                <w:szCs w:val="1"/>
                <w:color w:val="auto"/>
              </w:rPr>
            </w:pPr>
          </w:p>
        </w:tc>
      </w:tr>
      <w:tr>
        <w:trPr>
          <w:trHeight w:val="209"/>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Ryan Fukushima</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March 13, 2018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September 25, 2017</w:t>
            </w:r>
          </w:p>
        </w:tc>
        <w:tc>
          <w:tcPr>
            <w:tcW w:w="1500" w:type="dxa"/>
            <w:vAlign w:val="bottom"/>
            <w:gridSpan w:val="2"/>
            <w:shd w:val="clear" w:color="auto" w:fill="CCEEFF"/>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3,782,000</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April 17, 2019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February 1, 2019</w:t>
            </w:r>
          </w:p>
        </w:tc>
        <w:tc>
          <w:tcPr>
            <w:tcW w:w="1500" w:type="dxa"/>
            <w:vAlign w:val="bottom"/>
            <w:gridSpan w:val="2"/>
            <w:shd w:val="clear" w:color="auto" w:fill="CCEEFF"/>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1,891,000</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October 16, 2019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October 16, 2019</w:t>
            </w:r>
          </w:p>
        </w:tc>
        <w:tc>
          <w:tcPr>
            <w:tcW w:w="1500" w:type="dxa"/>
            <w:vAlign w:val="bottom"/>
            <w:gridSpan w:val="2"/>
            <w:shd w:val="clear" w:color="auto" w:fill="CCEEFF"/>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3,782,000</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21, 2021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February 1, 2021</w:t>
            </w:r>
          </w:p>
        </w:tc>
        <w:tc>
          <w:tcPr>
            <w:tcW w:w="1500" w:type="dxa"/>
            <w:vAlign w:val="bottom"/>
            <w:gridSpan w:val="2"/>
            <w:shd w:val="clear" w:color="auto" w:fill="CCEEFF"/>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5,673,000</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21, 2021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February 1, 2021</w:t>
            </w:r>
          </w:p>
        </w:tc>
        <w:tc>
          <w:tcPr>
            <w:tcW w:w="1500" w:type="dxa"/>
            <w:vAlign w:val="bottom"/>
            <w:gridSpan w:val="2"/>
            <w:shd w:val="clear" w:color="auto" w:fill="CCEEFF"/>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3,500</w:t>
            </w:r>
            <w:r>
              <w:rPr>
                <w:rFonts w:ascii="Times New Roman" w:cs="Times New Roman" w:eastAsia="Times New Roman" w:hAnsi="Times New Roman"/>
                <w:sz w:val="24"/>
                <w:szCs w:val="24"/>
                <w:color w:val="auto"/>
                <w:vertAlign w:val="superscript"/>
              </w:rPr>
              <w:t>(4)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132,370</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January 3, 2022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January 3, 2022</w:t>
            </w:r>
          </w:p>
        </w:tc>
        <w:tc>
          <w:tcPr>
            <w:tcW w:w="1500" w:type="dxa"/>
            <w:vAlign w:val="bottom"/>
            <w:gridSpan w:val="2"/>
            <w:shd w:val="clear" w:color="auto" w:fill="CCEEFF"/>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2,836,500</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27, 2022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February 15, 2022</w:t>
            </w:r>
          </w:p>
        </w:tc>
        <w:tc>
          <w:tcPr>
            <w:tcW w:w="1500" w:type="dxa"/>
            <w:vAlign w:val="bottom"/>
            <w:gridSpan w:val="2"/>
            <w:shd w:val="clear" w:color="auto" w:fill="CCEEFF"/>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4"/>
                <w:szCs w:val="24"/>
                <w:color w:val="auto"/>
                <w:vertAlign w:val="superscript"/>
              </w:rPr>
              <w:t>(5)</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1,361,520</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April 18, 2023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March 15, 2023</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(5)</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945,500</w:t>
            </w: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July 18, 2023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March 31, 2023</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55"/>
              <w:spacing w:after="0" w:line="209"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3,782,000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886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8" w:lineRule="exact"/>
        <w:rPr>
          <w:sz w:val="20"/>
          <w:szCs w:val="20"/>
          <w:color w:val="auto"/>
        </w:rPr>
      </w:pPr>
    </w:p>
    <w:p>
      <w:pPr>
        <w:ind w:left="440" w:right="20" w:hanging="435"/>
        <w:spacing w:after="0" w:line="267" w:lineRule="auto"/>
        <w:tabs>
          <w:tab w:leader="none" w:pos="4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stock awards listed in this table represent RSUs granted pursuant to our 2015 Plan, the terms of which are described below under “—Equity Incentive Plans—2015 Stock Plan.”</w:t>
      </w:r>
    </w:p>
    <w:p>
      <w:pPr>
        <w:spacing w:after="0" w:line="1" w:lineRule="exact"/>
        <w:rPr>
          <w:rFonts w:ascii="Times New Roman" w:cs="Times New Roman" w:eastAsia="Times New Roman" w:hAnsi="Times New Roman"/>
          <w:sz w:val="17"/>
          <w:szCs w:val="17"/>
          <w:color w:val="auto"/>
        </w:rPr>
      </w:pPr>
    </w:p>
    <w:p>
      <w:pPr>
        <w:ind w:left="440" w:hanging="435"/>
        <w:spacing w:after="0" w:line="256" w:lineRule="auto"/>
        <w:tabs>
          <w:tab w:leader="none" w:pos="4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represents the fair market value of a share of our common stock of $37.82 as of December 31, 2023 as determined by our board of directors, multiplied by the amount shown in the column “Stock Awards—Number of Shares or Units of Stock that Have Not Vested.”</w:t>
      </w:r>
    </w:p>
    <w:p>
      <w:pPr>
        <w:spacing w:after="0" w:line="1" w:lineRule="exact"/>
        <w:rPr>
          <w:rFonts w:ascii="Times New Roman" w:cs="Times New Roman" w:eastAsia="Times New Roman" w:hAnsi="Times New Roman"/>
          <w:sz w:val="17"/>
          <w:szCs w:val="17"/>
          <w:color w:val="auto"/>
        </w:rPr>
      </w:pPr>
    </w:p>
    <w:p>
      <w:pPr>
        <w:jc w:val="both"/>
        <w:ind w:left="440" w:hanging="435"/>
        <w:spacing w:after="0" w:line="256" w:lineRule="auto"/>
        <w:tabs>
          <w:tab w:leader="none" w:pos="4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 each of which we refer to as a Liquidity Event. These PSUs were originally granted as Performance-Vesting Restricted Stock Unit awards, or PSUs, which included both a Liquidity Event vesting requirement and a performance-vesting condition. In July 2023, our board of directors approved the removal of the performance-vesting condition, following which these PSUs are treated as RSUs, as more fully described in the section titled “—Equity Incentive Plans—2015 Stock Plan” below.</w:t>
      </w:r>
    </w:p>
    <w:p>
      <w:pPr>
        <w:spacing w:after="0" w:line="3" w:lineRule="exact"/>
        <w:rPr>
          <w:rFonts w:ascii="Times New Roman" w:cs="Times New Roman" w:eastAsia="Times New Roman" w:hAnsi="Times New Roman"/>
          <w:sz w:val="17"/>
          <w:szCs w:val="17"/>
          <w:color w:val="auto"/>
        </w:rPr>
      </w:pPr>
    </w:p>
    <w:p>
      <w:pPr>
        <w:jc w:val="both"/>
        <w:ind w:left="440" w:hanging="435"/>
        <w:spacing w:after="0" w:line="256" w:lineRule="auto"/>
        <w:tabs>
          <w:tab w:leader="none" w:pos="4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7"/>
          <w:szCs w:val="17"/>
          <w:color w:val="auto"/>
        </w:rPr>
      </w:pPr>
    </w:p>
    <w:p>
      <w:pPr>
        <w:jc w:val="both"/>
        <w:ind w:left="440" w:hanging="435"/>
        <w:spacing w:after="0" w:line="265" w:lineRule="auto"/>
        <w:tabs>
          <w:tab w:leader="none" w:pos="4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223</w:t>
      </w:r>
    </w:p>
    <w:p>
      <w:pPr>
        <w:sectPr>
          <w:pgSz w:w="11900" w:h="16838" w:orient="portrait"/>
          <w:cols w:equalWidth="0" w:num="1">
            <w:col w:w="11300"/>
          </w:cols>
          <w:pgMar w:left="320" w:top="446" w:right="2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440" w:right="20" w:hanging="435"/>
        <w:spacing w:after="0" w:line="267" w:lineRule="auto"/>
        <w:tabs>
          <w:tab w:leader="none" w:pos="4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 w:lineRule="exact"/>
        <w:rPr>
          <w:rFonts w:ascii="Times New Roman" w:cs="Times New Roman" w:eastAsia="Times New Roman" w:hAnsi="Times New Roman"/>
          <w:sz w:val="17"/>
          <w:szCs w:val="17"/>
          <w:color w:val="auto"/>
        </w:rPr>
      </w:pPr>
    </w:p>
    <w:p>
      <w:pPr>
        <w:jc w:val="both"/>
        <w:ind w:left="440" w:hanging="435"/>
        <w:spacing w:after="0" w:line="256" w:lineRule="auto"/>
        <w:tabs>
          <w:tab w:leader="none" w:pos="4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1/24 of these RSUs vest quarterly during the first year commencing on the vesting commencement date, 1/12 of these RSUs vest quarterly during the second year and one eighth of these RSUs vest quarterly during the third year,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7"/>
          <w:szCs w:val="17"/>
          <w:color w:val="auto"/>
        </w:rPr>
      </w:pPr>
    </w:p>
    <w:p>
      <w:pPr>
        <w:jc w:val="both"/>
        <w:ind w:left="440" w:right="20" w:hanging="435"/>
        <w:spacing w:after="0" w:line="265" w:lineRule="auto"/>
        <w:tabs>
          <w:tab w:leader="none" w:pos="4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eighth of these RSUs vest quarterly starting on the second anniversary of the vesting commencement date, provided that the recipient remains in continuous service with us through each vesting date, and subject to the earlier to occur of (i) the consummation of this offering and (ii) a change in control of our company.</w:t>
      </w:r>
    </w:p>
    <w:p>
      <w:pPr>
        <w:spacing w:after="0" w:line="170"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“—Employment Arrangements” for a description of vesting acceleration applicable to stock awards held by our named executive officers.</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may in the future, on an annual basis or otherwise, grant additional equity awards to our executive officers pursuant to our 2024 Plan the terms of which are described below under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Equity Incentive Plans—2024 Equity Incentive Plan.”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Arrangements</w:t>
      </w:r>
    </w:p>
    <w:p>
      <w:pPr>
        <w:spacing w:after="0" w:line="120"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Eric Lefkofsky</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We entered into a new employment agreement with Mr. Lefkofsky, our Chief Executive Officer, effective as of the date of this prospectus. Mr. Lefkofsky’s employment agreement provides for an annual base salary of $800,000 beginning on January 1, 2025, and an annual cash bonus of $800,000, in each case, subject to review and adjustment by the company in its sole discretion.</w:t>
      </w:r>
    </w:p>
    <w:p>
      <w:pPr>
        <w:spacing w:after="0" w:line="16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Under the terms of his employment agreement, if Mr. Lefkofsky resigns for Good Reason or we terminate Mr. Lefkofsky’s employment without Cause (each as defined in his employment agreement), in either case in the event of a Change in Control (as defined in the 2024 Plan), 100% of his then-unvested equity will immediately accelerate, vest and become exercisable. In addition, on the date of this prospectus, we will grant Mr. Lefkofsky 750,000 RSUs under the 2024 Plan, which will vest in substantially equal quarterly installments over a five-year period.</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James Rogers</w:t>
      </w:r>
    </w:p>
    <w:p>
      <w:pPr>
        <w:spacing w:after="0" w:line="12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entered into a new employment agreement with Mr. Rogers, our Chief Financial Officer, effective January 2023. Mr. Rogers’ employment agreement provides for an annual base salary of $500,000, which is subject to review and adjustment by the company in its sole discretion.</w:t>
      </w:r>
    </w:p>
    <w:p>
      <w:pPr>
        <w:spacing w:after="0" w:line="14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Under the terms of his employment agreement, if Mr. Rogers resigns for Good Reason or we terminate his employment without Cause (each as defined in his employment agreement), then Mr. Rogers will be eligible to</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224</w:t>
      </w:r>
    </w:p>
    <w:p>
      <w:pPr>
        <w:sectPr>
          <w:pgSz w:w="11900" w:h="16838" w:orient="portrait"/>
          <w:cols w:equalWidth="0" w:num="1">
            <w:col w:w="11300"/>
          </w:cols>
          <w:pgMar w:left="320" w:top="446" w:right="2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Ryan Fukushima</w:t>
      </w:r>
    </w:p>
    <w:p>
      <w:pPr>
        <w:spacing w:after="0" w:line="122"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We entered into a new employment agreement with Mr. Fukushima, our Chief Operating Officer, effective January 2023. Mr. Fukushima’s employment agreement provides for an annual base salary of $375,000 which is subject to review and adjustment by the company in its sole discretion.</w:t>
      </w:r>
    </w:p>
    <w:p>
      <w:pPr>
        <w:spacing w:after="0" w:line="147"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Incentive Plans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2024 Equity Incentive Plan</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board of directors intends to adopt the 2024 Equity Incentive Plan, or the 2024 Plan, that will become effective on the date of the underwriting agreement related to this offering. Our 2024 Plan will come into existence upon its adoption by our board of directors, but no grants will be made under our 2024 Plan prior to its effectiveness. Once our 2024 Plan becomes effective, no further grants will be made under our 2015 Plan.</w:t>
      </w:r>
    </w:p>
    <w:p>
      <w:pPr>
        <w:spacing w:after="0" w:line="160" w:lineRule="exact"/>
        <w:rPr>
          <w:sz w:val="20"/>
          <w:szCs w:val="20"/>
          <w:color w:val="auto"/>
        </w:rPr>
      </w:pPr>
    </w:p>
    <w:p>
      <w:pPr>
        <w:jc w:val="both"/>
        <w:ind w:firstLine="451"/>
        <w:spacing w:after="0" w:line="270" w:lineRule="auto"/>
        <w:rPr>
          <w:sz w:val="20"/>
          <w:szCs w:val="20"/>
          <w:color w:val="auto"/>
        </w:rPr>
      </w:pPr>
      <w:r>
        <w:rPr>
          <w:rFonts w:ascii="Times New Roman" w:cs="Times New Roman" w:eastAsia="Times New Roman" w:hAnsi="Times New Roman"/>
          <w:sz w:val="17"/>
          <w:szCs w:val="17"/>
          <w:i w:val="1"/>
          <w:iCs w:val="1"/>
          <w:color w:val="auto"/>
        </w:rPr>
        <w:t>Types of Awards</w:t>
      </w:r>
      <w:r>
        <w:rPr>
          <w:rFonts w:ascii="Times New Roman" w:cs="Times New Roman" w:eastAsia="Times New Roman" w:hAnsi="Times New Roman"/>
          <w:sz w:val="17"/>
          <w:szCs w:val="17"/>
          <w:color w:val="auto"/>
        </w:rPr>
        <w:t>. Our 2024 Plan provides for the grant of incentive stock options, or ISOs, nonstatutory stock options, or NSOs, stock appreciation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66"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i w:val="1"/>
          <w:iCs w:val="1"/>
          <w:color w:val="auto"/>
        </w:rPr>
        <w:t>Authorized Shares</w:t>
      </w:r>
      <w:r>
        <w:rPr>
          <w:rFonts w:ascii="Times New Roman" w:cs="Times New Roman" w:eastAsia="Times New Roman" w:hAnsi="Times New Roman"/>
          <w:sz w:val="17"/>
          <w:szCs w:val="17"/>
          <w:color w:val="auto"/>
        </w:rPr>
        <w:t>. The maximum number of shares of our Class A common stock that may be issued under our 2024 Plan is 7,430,000 shares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A common stock. The number of shares of our Class A common stock reserved for issuance under our 2024 Plan will automatically increase on January 1 of each year, beginning on January 1, 2025, and continuing through and including January 1, 2034, in an amount equal to either (i) a number of shares of our Class A common stock or,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w:t>
      </w:r>
    </w:p>
    <w:p>
      <w:pPr>
        <w:spacing w:after="0" w:line="3" w:lineRule="exact"/>
        <w:rPr>
          <w:sz w:val="20"/>
          <w:szCs w:val="20"/>
          <w:color w:val="auto"/>
        </w:rPr>
      </w:pPr>
    </w:p>
    <w:p>
      <w:pPr>
        <w:ind w:right="20" w:firstLine="5"/>
        <w:spacing w:after="0" w:line="273" w:lineRule="auto"/>
        <w:tabs>
          <w:tab w:leader="none" w:pos="25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lesser number of shares determined by our board of directors prior to the applicable January 1. The maximum number of shares that may be issued upon the exercise of ISOs under our 2024 Plan is 22,290,000 shares.</w:t>
      </w:r>
    </w:p>
    <w:p>
      <w:pPr>
        <w:spacing w:after="0" w:line="164"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Shares issued under our 2024 Plan will be authorized but unissued or reacquired shares of Class A common stock. Shares subject to awards granted under our 2024 Plan that expire or terminate without being exercised in full, or that are paid out in cash rather than in shares, will not reduce the number of shares available for issuance under our 2024 Plan. Additionally, shares issued pursuant to awards under our 2024 Plan that we repurchase or that are forfeited, as well as shares used to pay the exercise price of an award or to satisfy the tax withholding obligations to an award, will become available for future grant under our 2024 Plan.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225</w:t>
      </w:r>
    </w:p>
    <w:p>
      <w:pPr>
        <w:sectPr>
          <w:pgSz w:w="11900" w:h="16838" w:orient="portrait"/>
          <w:cols w:equalWidth="0" w:num="1">
            <w:col w:w="11300"/>
          </w:cols>
          <w:pgMar w:left="320" w:top="446" w:right="2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firstLine="451"/>
        <w:spacing w:after="0" w:line="266" w:lineRule="auto"/>
        <w:rPr>
          <w:sz w:val="20"/>
          <w:szCs w:val="20"/>
          <w:color w:val="auto"/>
        </w:rPr>
      </w:pPr>
      <w:r>
        <w:rPr>
          <w:rFonts w:ascii="Times New Roman" w:cs="Times New Roman" w:eastAsia="Times New Roman" w:hAnsi="Times New Roman"/>
          <w:sz w:val="17"/>
          <w:szCs w:val="17"/>
          <w:color w:val="auto"/>
        </w:rPr>
        <w:t>The maximum number of shares of our Class A common stock subject to stock awards granted under the 2024 Plan or otherwise during any calendar year beginning in 2025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69"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Our board of directors, or a duly authorized committee of our board, may administer our 2024 Plan. Our board of directors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delegated concurrent authority to administer our 2024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2024 Plan.</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subject to the terms of the 2024 Plan, the administrator also has the power to modify outstanding awards under our 2024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67" w:lineRule="exact"/>
        <w:rPr>
          <w:sz w:val="20"/>
          <w:szCs w:val="20"/>
          <w:color w:val="auto"/>
        </w:rPr>
      </w:pPr>
    </w:p>
    <w:p>
      <w:pPr>
        <w:jc w:val="both"/>
        <w:ind w:right="20" w:firstLine="451"/>
        <w:spacing w:after="0" w:line="270" w:lineRule="auto"/>
        <w:rPr>
          <w:sz w:val="20"/>
          <w:szCs w:val="20"/>
          <w:color w:val="auto"/>
        </w:rPr>
      </w:pP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 ISOs and NSOs are granted pursuant to stock option agreements adopted by the administrator. The administrator determines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2024 Plan vest at the rate specified in the stock option agreement as specified in the stock option agreement by the administrator.</w:t>
      </w:r>
    </w:p>
    <w:p>
      <w:pPr>
        <w:spacing w:after="0" w:line="168"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administrator determines the term of stock options granted under the 2024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75"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226</w:t>
      </w:r>
    </w:p>
    <w:p>
      <w:pPr>
        <w:sectPr>
          <w:pgSz w:w="11900" w:h="16838" w:orient="portrait"/>
          <w:cols w:equalWidth="0" w:num="1">
            <w:col w:w="11300"/>
          </w:cols>
          <w:pgMar w:left="320" w:top="446" w:right="2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60"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i w:val="1"/>
          <w:iCs w:val="1"/>
          <w:color w:val="auto"/>
        </w:rPr>
        <w:t>Tax Limitations on ISOs</w:t>
      </w:r>
      <w:r>
        <w:rPr>
          <w:rFonts w:ascii="Times New Roman" w:cs="Times New Roman" w:eastAsia="Times New Roman" w:hAnsi="Times New Roman"/>
          <w:sz w:val="17"/>
          <w:szCs w:val="17"/>
          <w:color w:val="auto"/>
        </w:rPr>
        <w:t>. The aggregate fair market value, determined at the time of grant, of our Class A common stock with respect to ISOs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67"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i w:val="1"/>
          <w:iCs w:val="1"/>
          <w:color w:val="auto"/>
        </w:rPr>
        <w:t>Restricted Stock Awards</w:t>
      </w:r>
      <w:r>
        <w:rPr>
          <w:rFonts w:ascii="Times New Roman" w:cs="Times New Roman" w:eastAsia="Times New Roman" w:hAnsi="Times New Roman"/>
          <w:sz w:val="17"/>
          <w:szCs w:val="17"/>
          <w:color w:val="auto"/>
        </w:rPr>
        <w:t>. Restricted stock awards are granted pursuant to restricted stock award agreements adopted by the administrator. Restricted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i w:val="1"/>
          <w:iCs w:val="1"/>
          <w:color w:val="auto"/>
        </w:rPr>
        <w:t>Restricted Stock Unit Awards</w:t>
      </w:r>
      <w:r>
        <w:rPr>
          <w:rFonts w:ascii="Times New Roman" w:cs="Times New Roman" w:eastAsia="Times New Roman" w:hAnsi="Times New Roman"/>
          <w:sz w:val="17"/>
          <w:szCs w:val="17"/>
          <w:color w:val="auto"/>
        </w:rPr>
        <w:t>. Restricted stock unit awards are granted pursuant to restricted stock unit award agreements adopted by the administrator.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38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Stock appreciation rights are granted pursuant to stock appreciation right grant agreements adopted by the administrator.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2024 Plan vests at the rate specified in the stock appreciation right agreement as determined by the administrator.</w:t>
      </w:r>
    </w:p>
    <w:p>
      <w:pPr>
        <w:spacing w:after="0" w:line="175"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administrator determines the term of stock appreciation rights granted under the 2024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227</w:t>
      </w:r>
    </w:p>
    <w:p>
      <w:pPr>
        <w:sectPr>
          <w:pgSz w:w="11900" w:h="16838" w:orient="portrait"/>
          <w:cols w:equalWidth="0" w:num="1">
            <w:col w:w="11300"/>
          </w:cols>
          <w:pgMar w:left="320" w:top="447" w:right="2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1"/>
        <w:spacing w:after="0" w:line="270" w:lineRule="auto"/>
        <w:rPr>
          <w:sz w:val="20"/>
          <w:szCs w:val="20"/>
          <w:color w:val="auto"/>
        </w:rPr>
      </w:pPr>
      <w:r>
        <w:rPr>
          <w:rFonts w:ascii="Times New Roman" w:cs="Times New Roman" w:eastAsia="Times New Roman" w:hAnsi="Times New Roman"/>
          <w:sz w:val="17"/>
          <w:szCs w:val="17"/>
          <w:i w:val="1"/>
          <w:iCs w:val="1"/>
          <w:color w:val="auto"/>
        </w:rPr>
        <w:t>Performance Awards</w:t>
      </w:r>
      <w:r>
        <w:rPr>
          <w:rFonts w:ascii="Times New Roman" w:cs="Times New Roman" w:eastAsia="Times New Roman" w:hAnsi="Times New Roman"/>
          <w:sz w:val="17"/>
          <w:szCs w:val="17"/>
          <w:color w:val="auto"/>
        </w:rPr>
        <w:t>. Our 2024 Plan permits the grant of performance-based stock and cash awards. The compensation committee can structure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68"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81" w:lineRule="exact"/>
        <w:rPr>
          <w:sz w:val="20"/>
          <w:szCs w:val="20"/>
          <w:color w:val="auto"/>
        </w:rPr>
      </w:pPr>
    </w:p>
    <w:p>
      <w:pPr>
        <w:jc w:val="both"/>
        <w:ind w:firstLine="451"/>
        <w:spacing w:after="0" w:line="298" w:lineRule="auto"/>
        <w:rPr>
          <w:sz w:val="20"/>
          <w:szCs w:val="20"/>
          <w:color w:val="auto"/>
        </w:rPr>
      </w:pPr>
      <w:r>
        <w:rPr>
          <w:rFonts w:ascii="Times New Roman" w:cs="Times New Roman" w:eastAsia="Times New Roman" w:hAnsi="Times New Roman"/>
          <w:sz w:val="17"/>
          <w:szCs w:val="17"/>
          <w:i w:val="1"/>
          <w:iCs w:val="1"/>
          <w:color w:val="auto"/>
        </w:rPr>
        <w:t>Other Awards</w:t>
      </w:r>
      <w:r>
        <w:rPr>
          <w:rFonts w:ascii="Times New Roman" w:cs="Times New Roman" w:eastAsia="Times New Roman" w:hAnsi="Times New Roman"/>
          <w:sz w:val="17"/>
          <w:szCs w:val="17"/>
          <w:color w:val="auto"/>
        </w:rPr>
        <w:t>. The administrator may grant other awards based in whole or in part by reference to our Class A common stock. The administrator will 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number of shares under the award and all other terms and conditions of such awards.</w:t>
      </w:r>
    </w:p>
    <w:p>
      <w:pPr>
        <w:spacing w:after="0" w:line="142" w:lineRule="exact"/>
        <w:rPr>
          <w:sz w:val="20"/>
          <w:szCs w:val="20"/>
          <w:color w:val="auto"/>
        </w:rPr>
      </w:pPr>
    </w:p>
    <w:p>
      <w:pPr>
        <w:jc w:val="both"/>
        <w:ind w:firstLine="451"/>
        <w:spacing w:after="0" w:line="270" w:lineRule="auto"/>
        <w:rPr>
          <w:sz w:val="20"/>
          <w:szCs w:val="20"/>
          <w:color w:val="auto"/>
        </w:rPr>
      </w:pPr>
      <w:r>
        <w:rPr>
          <w:rFonts w:ascii="Times New Roman" w:cs="Times New Roman" w:eastAsia="Times New Roman" w:hAnsi="Times New Roman"/>
          <w:sz w:val="17"/>
          <w:szCs w:val="17"/>
          <w:i w:val="1"/>
          <w:iCs w:val="1"/>
          <w:color w:val="auto"/>
        </w:rPr>
        <w:t>Changes to Capital Structure</w:t>
      </w:r>
      <w:r>
        <w:rPr>
          <w:rFonts w:ascii="Times New Roman" w:cs="Times New Roman" w:eastAsia="Times New Roman" w:hAnsi="Times New Roman"/>
          <w:sz w:val="17"/>
          <w:szCs w:val="17"/>
          <w:color w:val="auto"/>
        </w:rPr>
        <w:t>. In the event there is a specified type of change in our capital structure, such as a stock split, reverse stock split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66"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i w:val="1"/>
          <w:iCs w:val="1"/>
          <w:color w:val="auto"/>
        </w:rPr>
        <w:t>Corporate Transactions</w:t>
      </w:r>
      <w:r>
        <w:rPr>
          <w:rFonts w:ascii="Times New Roman" w:cs="Times New Roman" w:eastAsia="Times New Roman" w:hAnsi="Times New Roman"/>
          <w:sz w:val="17"/>
          <w:szCs w:val="17"/>
          <w:color w:val="auto"/>
        </w:rPr>
        <w:t>. The following applies to stock awards under the 2024 Plan in the event of a corporate transaction, unless otherwise provided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participant’s stock award agreement or other written agreement with us or one of our affiliates or unless otherwise expressly provided by the administrator at the time of grant. Under the 2024 Plan, a corporate transaction is generally the consummation of (1) a sale or other disposition of all or substantially all of our assets,</w:t>
      </w:r>
    </w:p>
    <w:p>
      <w:pPr>
        <w:spacing w:after="0" w:line="2" w:lineRule="exact"/>
        <w:rPr>
          <w:sz w:val="20"/>
          <w:szCs w:val="20"/>
          <w:color w:val="auto"/>
        </w:rPr>
      </w:pPr>
    </w:p>
    <w:p>
      <w:pPr>
        <w:jc w:val="both"/>
        <w:ind w:firstLine="5"/>
        <w:spacing w:after="0" w:line="265" w:lineRule="auto"/>
        <w:tabs>
          <w:tab w:leader="none" w:pos="26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7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228</w:t>
      </w:r>
    </w:p>
    <w:p>
      <w:pPr>
        <w:sectPr>
          <w:pgSz w:w="11900" w:h="16838" w:orient="portrait"/>
          <w:cols w:equalWidth="0" w:num="1">
            <w:col w:w="11300"/>
          </w:cols>
          <w:pgMar w:left="320" w:top="446" w:right="2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74"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45" w:lineRule="exact"/>
        <w:rPr>
          <w:sz w:val="20"/>
          <w:szCs w:val="20"/>
          <w:color w:val="auto"/>
        </w:rPr>
      </w:pPr>
    </w:p>
    <w:p>
      <w:pPr>
        <w:jc w:val="both"/>
        <w:ind w:firstLine="451"/>
        <w:spacing w:after="0" w:line="298" w:lineRule="auto"/>
        <w:rPr>
          <w:sz w:val="20"/>
          <w:szCs w:val="20"/>
          <w:color w:val="auto"/>
        </w:rPr>
      </w:pP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In the event of a change in control, as defined under our 2024 Plan, awards granted under our 2024 Plan will not receive automatic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acceleration of vesting and exercisability, although this treatment may be provided for in an award agreement.</w:t>
      </w:r>
    </w:p>
    <w:p>
      <w:pPr>
        <w:spacing w:after="0" w:line="142" w:lineRule="exact"/>
        <w:rPr>
          <w:sz w:val="20"/>
          <w:szCs w:val="20"/>
          <w:color w:val="auto"/>
        </w:rPr>
      </w:pPr>
    </w:p>
    <w:p>
      <w:pPr>
        <w:jc w:val="both"/>
        <w:ind w:firstLine="451"/>
        <w:spacing w:after="0" w:line="270" w:lineRule="auto"/>
        <w:rPr>
          <w:sz w:val="20"/>
          <w:szCs w:val="20"/>
          <w:color w:val="auto"/>
        </w:rPr>
      </w:pPr>
      <w:r>
        <w:rPr>
          <w:rFonts w:ascii="Times New Roman" w:cs="Times New Roman" w:eastAsia="Times New Roman" w:hAnsi="Times New Roman"/>
          <w:sz w:val="17"/>
          <w:szCs w:val="17"/>
          <w:i w:val="1"/>
          <w:iCs w:val="1"/>
          <w:color w:val="auto"/>
        </w:rPr>
        <w:t>Clawback</w:t>
      </w:r>
      <w:r>
        <w:rPr>
          <w:rFonts w:ascii="Times New Roman" w:cs="Times New Roman" w:eastAsia="Times New Roman" w:hAnsi="Times New Roman"/>
          <w:sz w:val="17"/>
          <w:szCs w:val="17"/>
          <w:color w:val="auto"/>
        </w:rPr>
        <w:t>. All awards granted under the 2024 Plan will be subject to recoupment in accordance with any clawback policy that we are required to adopt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listing standards of any national securities exchange or association on which our securities are listed or as is otherwise required by the U.S. Dodd-Frank Wall Street Reform and Consumer Protection Act or other applicable law. In addition, our board of directors may impose such other clawback, recovery or recoupment provisions in a stock award agreement as our board of directors determines necessary or appropriate.</w:t>
      </w:r>
    </w:p>
    <w:p>
      <w:pPr>
        <w:spacing w:after="0" w:line="166" w:lineRule="exact"/>
        <w:rPr>
          <w:sz w:val="20"/>
          <w:szCs w:val="20"/>
          <w:color w:val="auto"/>
        </w:rPr>
      </w:pPr>
    </w:p>
    <w:p>
      <w:pPr>
        <w:jc w:val="both"/>
        <w:ind w:right="20" w:firstLine="451"/>
        <w:spacing w:after="0" w:line="298" w:lineRule="auto"/>
        <w:rPr>
          <w:sz w:val="20"/>
          <w:szCs w:val="20"/>
          <w:color w:val="auto"/>
        </w:rPr>
      </w:pP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A participant may not transfer awards under our 2024 Plan other than by will, the laws of descent and distribution or as otherwise provided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our 2024 Plan.</w:t>
      </w:r>
    </w:p>
    <w:p>
      <w:pPr>
        <w:spacing w:after="0" w:line="142" w:lineRule="exact"/>
        <w:rPr>
          <w:sz w:val="20"/>
          <w:szCs w:val="20"/>
          <w:color w:val="auto"/>
        </w:rPr>
      </w:pPr>
    </w:p>
    <w:p>
      <w:pPr>
        <w:jc w:val="both"/>
        <w:ind w:firstLine="451"/>
        <w:spacing w:after="0" w:line="270" w:lineRule="auto"/>
        <w:rPr>
          <w:sz w:val="20"/>
          <w:szCs w:val="20"/>
          <w:color w:val="auto"/>
        </w:rPr>
      </w:pPr>
      <w:r>
        <w:rPr>
          <w:rFonts w:ascii="Times New Roman" w:cs="Times New Roman" w:eastAsia="Times New Roman" w:hAnsi="Times New Roman"/>
          <w:sz w:val="17"/>
          <w:szCs w:val="17"/>
          <w:i w:val="1"/>
          <w:iCs w:val="1"/>
          <w:color w:val="auto"/>
        </w:rPr>
        <w:t>Plan Amendment or Termination</w:t>
      </w:r>
      <w:r>
        <w:rPr>
          <w:rFonts w:ascii="Times New Roman" w:cs="Times New Roman" w:eastAsia="Times New Roman" w:hAnsi="Times New Roman"/>
          <w:sz w:val="17"/>
          <w:szCs w:val="17"/>
          <w:color w:val="auto"/>
        </w:rPr>
        <w:t>. Our board has the authority to amend, suspend or terminate our 2024 Plan, provided that such action does not materially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impair the existing rights of any participant without such participant’s written consent. Certain material amendments also require the approval of our stockholders. No ISOs may be granted after the tenth anniversary of the date our board adopted our 2024 Plan. No awards may be granted under our 2024 Plan while it is suspended or after it is terminated.</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2024 Employee Stock Purchase Plan</w:t>
      </w:r>
    </w:p>
    <w:p>
      <w:pPr>
        <w:spacing w:after="0" w:line="227"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2025 and continuing through and including January 1, 2034, by the lesser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229</w:t>
      </w:r>
    </w:p>
    <w:p>
      <w:pPr>
        <w:sectPr>
          <w:pgSz w:w="11900" w:h="16838" w:orient="portrait"/>
          <w:cols w:equalWidth="0" w:num="1">
            <w:col w:w="11300"/>
          </w:cols>
          <w:pgMar w:left="320" w:top="447" w:right="2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(1) 2% of the aggregate number of shares of common stock (both Class A and Class B) outstanding on December 31 of the preceding calendar year,</w:t>
      </w:r>
    </w:p>
    <w:p>
      <w:pPr>
        <w:spacing w:after="0" w:line="32" w:lineRule="exact"/>
        <w:rPr>
          <w:sz w:val="20"/>
          <w:szCs w:val="20"/>
          <w:color w:val="auto"/>
        </w:rPr>
      </w:pPr>
    </w:p>
    <w:p>
      <w:pPr>
        <w:jc w:val="both"/>
        <w:ind w:firstLine="5"/>
        <w:spacing w:after="0" w:line="260" w:lineRule="auto"/>
        <w:tabs>
          <w:tab w:leader="none" w:pos="247"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but no offering periods under the ESPP will commence unless and until otherwise determined by our board of directors. The implementation of the ESPP and the terms of the offerings thereunder, if any, will be in the discretion of the administrator. The administrator does not currently have any intention to make offerings available under the ESPP.</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2015 Stock Plan</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2015 Plan was adopted by our board of directors and approved by our stockholders in September 2015. Our 2015 Plan has been periodically amended, most recently in July 2023.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6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i w:val="1"/>
          <w:iCs w:val="1"/>
          <w:color w:val="auto"/>
        </w:rPr>
        <w:t>Awards</w:t>
      </w:r>
      <w:r>
        <w:rPr>
          <w:rFonts w:ascii="Times New Roman" w:cs="Times New Roman" w:eastAsia="Times New Roman" w:hAnsi="Times New Roman"/>
          <w:sz w:val="17"/>
          <w:szCs w:val="17"/>
          <w:color w:val="auto"/>
        </w:rPr>
        <w:t>. As of March 31, 2024, there were 20,793,305 shares of common stock issuable upon the vesting and settlement of RSUs outstanding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2015 Plan, there were 4,250,000 shares of fully vested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2,517,445 shares of common stock were available for future issuance under the 2015 Plan. In February 2022 and April 2023, we increased the share reserve under the 2015 plan by 3,000,000 shares, respectively. On and after the effective date of the 2024 Plan described above, we will grant no further stock options or other awards under the 2015 Plan.</w:t>
      </w:r>
    </w:p>
    <w:p>
      <w:pPr>
        <w:spacing w:after="0" w:line="173"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i w:val="1"/>
          <w:iCs w:val="1"/>
          <w:color w:val="auto"/>
        </w:rPr>
        <w:t>Authorized Shares</w:t>
      </w:r>
      <w:r>
        <w:rPr>
          <w:rFonts w:ascii="Times New Roman" w:cs="Times New Roman" w:eastAsia="Times New Roman" w:hAnsi="Times New Roman"/>
          <w:sz w:val="17"/>
          <w:szCs w:val="17"/>
          <w:color w:val="auto"/>
        </w:rPr>
        <w:t>. Subject to certain adjustments as provided in the 2015 Plan, the maximum aggregate number of shares of our Class A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may be issued pursuant to awards under the 2015 Plan will not exceed 28,115,750 shares. The maximum number of shares of Class A common stock that may be issued pursuant to the exercise of ISOs under our 2015 Plan is 28,115,750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384"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i w:val="1"/>
          <w:iCs w:val="1"/>
          <w:color w:val="auto"/>
        </w:rPr>
        <w:t>Plan Administration</w:t>
      </w:r>
      <w:r>
        <w:rPr>
          <w:rFonts w:ascii="Times New Roman" w:cs="Times New Roman" w:eastAsia="Times New Roman" w:hAnsi="Times New Roman"/>
          <w:sz w:val="17"/>
          <w:szCs w:val="17"/>
          <w:color w:val="auto"/>
        </w:rPr>
        <w:t>. The 2015 Plan is administered by our board of directors. Our board of directors has broad discretion to administer the 2015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67"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 ISOs and NSOs granted under the 2015 Plan are evidenced by award agreements established by our board of directors. Our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230</w:t>
      </w:r>
    </w:p>
    <w:p>
      <w:pPr>
        <w:sectPr>
          <w:pgSz w:w="11900" w:h="16838" w:orient="portrait"/>
          <w:cols w:equalWidth="0" w:num="1">
            <w:col w:w="11300"/>
          </w:cols>
          <w:pgMar w:left="320" w:top="446" w:right="2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171"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i w:val="1"/>
          <w:iCs w:val="1"/>
          <w:color w:val="auto"/>
        </w:rPr>
        <w:t>Tax Limitations on ISOs</w:t>
      </w:r>
      <w:r>
        <w:rPr>
          <w:rFonts w:ascii="Times New Roman" w:cs="Times New Roman" w:eastAsia="Times New Roman" w:hAnsi="Times New Roman"/>
          <w:sz w:val="17"/>
          <w:szCs w:val="17"/>
          <w:color w:val="auto"/>
        </w:rPr>
        <w:t>. The aggregate fair market value, determined at the time of grant, of an award consisting of ISOs that are exercisable for the first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67"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i w:val="1"/>
          <w:iCs w:val="1"/>
          <w:color w:val="auto"/>
        </w:rPr>
        <w:t>Restricted Stock Awards</w:t>
      </w:r>
      <w:r>
        <w:rPr>
          <w:rFonts w:ascii="Times New Roman" w:cs="Times New Roman" w:eastAsia="Times New Roman" w:hAnsi="Times New Roman"/>
          <w:sz w:val="17"/>
          <w:szCs w:val="17"/>
          <w:color w:val="auto"/>
        </w:rPr>
        <w:t>. RSAs may be granted in the form of restricted stock bonuses, which are shares of Class A common stock for which no monetary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75" w:lineRule="exact"/>
        <w:rPr>
          <w:sz w:val="20"/>
          <w:szCs w:val="20"/>
          <w:color w:val="auto"/>
        </w:rPr>
      </w:pPr>
    </w:p>
    <w:p>
      <w:pPr>
        <w:jc w:val="both"/>
        <w:ind w:firstLine="451"/>
        <w:spacing w:after="0" w:line="267" w:lineRule="auto"/>
        <w:rPr>
          <w:sz w:val="20"/>
          <w:szCs w:val="20"/>
          <w:color w:val="auto"/>
        </w:rPr>
      </w:pPr>
      <w:r>
        <w:rPr>
          <w:rFonts w:ascii="Times New Roman" w:cs="Times New Roman" w:eastAsia="Times New Roman" w:hAnsi="Times New Roman"/>
          <w:sz w:val="17"/>
          <w:szCs w:val="17"/>
          <w:i w:val="1"/>
          <w:iCs w:val="1"/>
          <w:color w:val="auto"/>
        </w:rPr>
        <w:t>Restricted Stock Unit Awards</w:t>
      </w:r>
      <w:r>
        <w:rPr>
          <w:rFonts w:ascii="Times New Roman" w:cs="Times New Roman" w:eastAsia="Times New Roman" w:hAnsi="Times New Roman"/>
          <w:sz w:val="17"/>
          <w:szCs w:val="17"/>
          <w:color w:val="auto"/>
        </w:rPr>
        <w:t>. An RSU represents the right to receive on a future date or event a share of Class A common stock or an amount of cash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general, RSU awards that have been granted under the 2015 Plan are subject to both a multi-year service-based vesting requirement and a “Liquidity Event” vesting requirement. The Liquidity Event requirement will be 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78" w:lineRule="exact"/>
        <w:rPr>
          <w:sz w:val="20"/>
          <w:szCs w:val="20"/>
          <w:color w:val="auto"/>
        </w:rPr>
      </w:pPr>
    </w:p>
    <w:p>
      <w:pPr>
        <w:ind w:left="1000" w:hanging="551"/>
        <w:spacing w:after="0"/>
        <w:tabs>
          <w:tab w:leader="none" w:pos="10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RSUs will vest prior to the Liquidity Event Date.</w:t>
      </w:r>
    </w:p>
    <w:p>
      <w:pPr>
        <w:spacing w:after="0" w:line="131"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70"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231</w:t>
      </w:r>
    </w:p>
    <w:p>
      <w:pPr>
        <w:sectPr>
          <w:pgSz w:w="11900" w:h="16838" w:orient="portrait"/>
          <w:cols w:equalWidth="0" w:num="1">
            <w:col w:w="11300"/>
          </w:cols>
          <w:pgMar w:left="320" w:top="446" w:right="2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left="1000" w:hanging="551"/>
        <w:spacing w:after="0" w:line="276" w:lineRule="auto"/>
        <w:tabs>
          <w:tab w:leader="none" w:pos="10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6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have also granted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 In July 2023, our board of directors approved the removal of the performance-vesting condition, following which the PSUs are treated as RSUs as the terms of such PSUs are consistent with those of our outstanding RSUs.</w:t>
      </w:r>
    </w:p>
    <w:p>
      <w:pPr>
        <w:spacing w:after="0" w:line="169" w:lineRule="exact"/>
        <w:rPr>
          <w:sz w:val="20"/>
          <w:szCs w:val="20"/>
          <w:color w:val="auto"/>
        </w:rPr>
      </w:pPr>
    </w:p>
    <w:p>
      <w:pPr>
        <w:jc w:val="both"/>
        <w:ind w:right="20" w:firstLine="451"/>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Transferability. </w:t>
      </w:r>
      <w:r>
        <w:rPr>
          <w:rFonts w:ascii="Times New Roman" w:cs="Times New Roman" w:eastAsia="Times New Roman" w:hAnsi="Times New Roman"/>
          <w:sz w:val="17"/>
          <w:szCs w:val="17"/>
          <w:color w:val="auto"/>
        </w:rPr>
        <w:t>Awards are generally not transferable other than by will or the laws of descent and distribution. The board, in its discretion, may allow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transfers of options as set forth in an award agreement and subject to certain securities law restrictions.</w:t>
      </w:r>
    </w:p>
    <w:p>
      <w:pPr>
        <w:spacing w:after="0" w:line="142" w:lineRule="exact"/>
        <w:rPr>
          <w:sz w:val="20"/>
          <w:szCs w:val="20"/>
          <w:color w:val="auto"/>
        </w:rPr>
      </w:pPr>
    </w:p>
    <w:p>
      <w:pPr>
        <w:jc w:val="both"/>
        <w:ind w:firstLine="451"/>
        <w:spacing w:after="0" w:line="277" w:lineRule="auto"/>
        <w:rPr>
          <w:sz w:val="20"/>
          <w:szCs w:val="20"/>
          <w:color w:val="auto"/>
        </w:rPr>
      </w:pPr>
      <w:r>
        <w:rPr>
          <w:rFonts w:ascii="Times New Roman" w:cs="Times New Roman" w:eastAsia="Times New Roman" w:hAnsi="Times New Roman"/>
          <w:sz w:val="17"/>
          <w:szCs w:val="17"/>
          <w:i w:val="1"/>
          <w:iCs w:val="1"/>
          <w:color w:val="auto"/>
        </w:rPr>
        <w:t>Adjustments</w:t>
      </w:r>
      <w:r>
        <w:rPr>
          <w:rFonts w:ascii="Times New Roman" w:cs="Times New Roman" w:eastAsia="Times New Roman" w:hAnsi="Times New Roman"/>
          <w:sz w:val="17"/>
          <w:szCs w:val="17"/>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Change in Control</w:t>
      </w:r>
      <w:r>
        <w:rPr>
          <w:rFonts w:ascii="Times New Roman" w:cs="Times New Roman" w:eastAsia="Times New Roman" w:hAnsi="Times New Roman"/>
          <w:sz w:val="17"/>
          <w:szCs w:val="17"/>
          <w:color w:val="auto"/>
        </w:rPr>
        <w:t>. Upon a change in control, without the consent of any participant, the board may provide for any one or more of the following:</w:t>
      </w:r>
    </w:p>
    <w:p>
      <w:pPr>
        <w:spacing w:after="0" w:line="133" w:lineRule="exact"/>
        <w:rPr>
          <w:sz w:val="20"/>
          <w:szCs w:val="20"/>
          <w:color w:val="auto"/>
        </w:rPr>
      </w:pPr>
    </w:p>
    <w:p>
      <w:pPr>
        <w:ind w:left="1000" w:hanging="551"/>
        <w:spacing w:after="0"/>
        <w:tabs>
          <w:tab w:leader="none" w:pos="10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the time of exercisability, vesting and/or settlement of an award,</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or substitution of outstanding award by a surviving, continuing, successor or purchasing corporation or other business entity (or any parent thereof); or</w:t>
      </w:r>
    </w:p>
    <w:p>
      <w:pPr>
        <w:spacing w:after="0" w:line="55" w:lineRule="exact"/>
        <w:rPr>
          <w:rFonts w:ascii="Times New Roman" w:cs="Times New Roman" w:eastAsia="Times New Roman" w:hAnsi="Times New Roman"/>
          <w:sz w:val="17"/>
          <w:szCs w:val="17"/>
          <w:color w:val="auto"/>
        </w:rPr>
      </w:pPr>
    </w:p>
    <w:p>
      <w:pPr>
        <w:jc w:val="both"/>
        <w:ind w:left="1000" w:hanging="551"/>
        <w:spacing w:after="0" w:line="276" w:lineRule="auto"/>
        <w:tabs>
          <w:tab w:leader="none" w:pos="10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6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60" w:lineRule="exact"/>
        <w:rPr>
          <w:sz w:val="20"/>
          <w:szCs w:val="20"/>
          <w:color w:val="auto"/>
        </w:rPr>
      </w:pPr>
    </w:p>
    <w:p>
      <w:pPr>
        <w:jc w:val="both"/>
        <w:ind w:right="20" w:firstLine="451"/>
        <w:spacing w:after="0" w:line="277" w:lineRule="auto"/>
        <w:rPr>
          <w:sz w:val="20"/>
          <w:szCs w:val="20"/>
          <w:color w:val="auto"/>
        </w:rPr>
      </w:pPr>
      <w:r>
        <w:rPr>
          <w:rFonts w:ascii="Times New Roman" w:cs="Times New Roman" w:eastAsia="Times New Roman" w:hAnsi="Times New Roman"/>
          <w:sz w:val="17"/>
          <w:szCs w:val="17"/>
          <w:i w:val="1"/>
          <w:iCs w:val="1"/>
          <w:color w:val="auto"/>
        </w:rPr>
        <w:t>Withholding</w:t>
      </w:r>
      <w:r>
        <w:rPr>
          <w:rFonts w:ascii="Times New Roman" w:cs="Times New Roman" w:eastAsia="Times New Roman" w:hAnsi="Times New Roman"/>
          <w:sz w:val="17"/>
          <w:szCs w:val="17"/>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6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i w:val="1"/>
          <w:iCs w:val="1"/>
          <w:color w:val="auto"/>
        </w:rPr>
        <w:t>Plan Amendment and Termination</w:t>
      </w:r>
      <w:r>
        <w:rPr>
          <w:rFonts w:ascii="Times New Roman" w:cs="Times New Roman" w:eastAsia="Times New Roman" w:hAnsi="Times New Roman"/>
          <w:sz w:val="17"/>
          <w:szCs w:val="17"/>
          <w:color w:val="auto"/>
        </w:rPr>
        <w:t>. The 2015 Plan will continue in effect until its termination by our board, provided that all awards under the 2015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232</w:t>
      </w:r>
    </w:p>
    <w:p>
      <w:pPr>
        <w:sectPr>
          <w:pgSz w:w="11900" w:h="16838" w:orient="portrait"/>
          <w:cols w:equalWidth="0" w:num="1">
            <w:col w:w="11300"/>
          </w:cols>
          <w:pgMar w:left="320" w:top="446" w:right="2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of Liability and Indemnification Matters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0" w:lineRule="exact"/>
        <w:rPr>
          <w:sz w:val="20"/>
          <w:szCs w:val="20"/>
          <w:color w:val="auto"/>
        </w:rPr>
      </w:pPr>
    </w:p>
    <w:p>
      <w:pPr>
        <w:ind w:left="1000" w:hanging="551"/>
        <w:spacing w:after="0"/>
        <w:tabs>
          <w:tab w:leader="none" w:pos="10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the corporation or its stockholders;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or</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Such limitation of liability does not apply to liabilities arising under federal securities laws and does not affect the availability of equitable remedies such as injunctive relief or rescission.</w:t>
      </w:r>
    </w:p>
    <w:p>
      <w:pPr>
        <w:spacing w:after="0" w:line="147"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0"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381" w:lineRule="exact"/>
        <w:rPr>
          <w:sz w:val="20"/>
          <w:szCs w:val="20"/>
          <w:color w:val="auto"/>
        </w:rPr>
      </w:pPr>
    </w:p>
    <w:p>
      <w:pPr>
        <w:jc w:val="both"/>
        <w:ind w:firstLine="451"/>
        <w:spacing w:after="0" w:line="288"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Sales Plans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233</w:t>
      </w:r>
    </w:p>
    <w:p>
      <w:pPr>
        <w:sectPr>
          <w:pgSz w:w="11900" w:h="16838" w:orient="portrait"/>
          <w:cols w:equalWidth="0" w:num="1">
            <w:col w:w="11300"/>
          </w:cols>
          <w:pgMar w:left="320" w:top="446" w:right="2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25"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Other than compensation arrangements for our directors and executive officers, which are described elsewhere in this prospectus, below we describe transactions since January 1, 2021 to which we were a party or will be a party, in which:</w:t>
      </w:r>
    </w:p>
    <w:p>
      <w:pPr>
        <w:spacing w:after="0" w:line="55" w:lineRule="exact"/>
        <w:rPr>
          <w:sz w:val="20"/>
          <w:szCs w:val="20"/>
          <w:color w:val="auto"/>
        </w:rPr>
      </w:pPr>
    </w:p>
    <w:p>
      <w:pPr>
        <w:ind w:left="1000" w:hanging="551"/>
        <w:spacing w:after="0"/>
        <w:tabs>
          <w:tab w:leader="none" w:pos="10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involved exceeded or will exceed $120,000; and</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Series G-2 Convertible Preferred Stock Financing</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09"/>
        </w:trPr>
        <w:tc>
          <w:tcPr>
            <w:tcW w:w="9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0" w:type="dxa"/>
            <w:vAlign w:val="bottom"/>
            <w:gridSpan w:val="2"/>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Number of Series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Participants</w:t>
            </w:r>
          </w:p>
        </w:tc>
        <w:tc>
          <w:tcPr>
            <w:tcW w:w="2200" w:type="dxa"/>
            <w:vAlign w:val="bottom"/>
            <w:gridSpan w:val="2"/>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G-2 Shares</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216"/>
        </w:trPr>
        <w:tc>
          <w:tcPr>
            <w:tcW w:w="6220" w:type="dxa"/>
            <w:vAlign w:val="bottom"/>
            <w:gridSpan w:val="2"/>
            <w:vMerge w:val="continue"/>
          </w:tcPr>
          <w:p>
            <w:pPr>
              <w:spacing w:after="0"/>
              <w:rPr>
                <w:sz w:val="18"/>
                <w:szCs w:val="18"/>
                <w:color w:val="auto"/>
              </w:rPr>
            </w:pPr>
          </w:p>
        </w:tc>
        <w:tc>
          <w:tcPr>
            <w:tcW w:w="220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Purchase Price</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Novo Holdings A/S.</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97"/>
              </w:rPr>
              <w:t>261,748</w:t>
            </w:r>
          </w:p>
        </w:tc>
        <w:tc>
          <w:tcPr>
            <w:tcW w:w="9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$ 14,999,966.47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20" w:type="dxa"/>
            <w:vAlign w:val="bottom"/>
            <w:gridSpan w:val="2"/>
          </w:tcPr>
          <w:p>
            <w:pPr>
              <w:spacing w:after="0" w:line="209" w:lineRule="exact"/>
              <w:rPr>
                <w:sz w:val="20"/>
                <w:szCs w:val="20"/>
                <w:color w:val="auto"/>
              </w:rPr>
            </w:pPr>
            <w:r>
              <w:rPr>
                <w:rFonts w:ascii="Times New Roman" w:cs="Times New Roman" w:eastAsia="Times New Roman" w:hAnsi="Times New Roman"/>
                <w:sz w:val="16"/>
                <w:szCs w:val="16"/>
                <w:color w:val="auto"/>
              </w:rPr>
              <w:t>Blue Media, LLC</w:t>
            </w:r>
            <w:r>
              <w:rPr>
                <w:rFonts w:ascii="Times New Roman" w:cs="Times New Roman" w:eastAsia="Times New Roman" w:hAnsi="Times New Roman"/>
                <w:sz w:val="24"/>
                <w:szCs w:val="24"/>
                <w:color w:val="auto"/>
                <w:vertAlign w:val="superscript"/>
              </w:rPr>
              <w:t>(2)</w:t>
            </w:r>
          </w:p>
        </w:tc>
        <w:tc>
          <w:tcPr>
            <w:tcW w:w="2200" w:type="dxa"/>
            <w:vAlign w:val="bottom"/>
            <w:gridSpan w:val="2"/>
          </w:tcPr>
          <w:p>
            <w:pPr>
              <w:ind w:left="720"/>
              <w:spacing w:after="0" w:line="209" w:lineRule="exact"/>
              <w:rPr>
                <w:sz w:val="20"/>
                <w:szCs w:val="20"/>
                <w:color w:val="auto"/>
              </w:rPr>
            </w:pPr>
            <w:r>
              <w:rPr>
                <w:rFonts w:ascii="Times New Roman" w:cs="Times New Roman" w:eastAsia="Times New Roman" w:hAnsi="Times New Roman"/>
                <w:sz w:val="16"/>
                <w:szCs w:val="16"/>
                <w:color w:val="auto"/>
              </w:rPr>
              <w:t>130,876</w:t>
            </w:r>
            <w:r>
              <w:rPr>
                <w:rFonts w:ascii="Times New Roman" w:cs="Times New Roman" w:eastAsia="Times New Roman" w:hAnsi="Times New Roman"/>
                <w:sz w:val="24"/>
                <w:szCs w:val="24"/>
                <w:color w:val="auto"/>
                <w:vertAlign w:val="superscript"/>
              </w:rPr>
              <w:t>(3)</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7,500,097.84</w:t>
            </w:r>
          </w:p>
        </w:tc>
        <w:tc>
          <w:tcPr>
            <w:tcW w:w="0" w:type="dxa"/>
            <w:vAlign w:val="bottom"/>
          </w:tcPr>
          <w:p>
            <w:pPr>
              <w:spacing w:after="0"/>
              <w:rPr>
                <w:sz w:val="1"/>
                <w:szCs w:val="1"/>
                <w:color w:val="auto"/>
              </w:rPr>
            </w:pPr>
          </w:p>
        </w:tc>
      </w:tr>
      <w:tr>
        <w:trPr>
          <w:trHeight w:val="209"/>
        </w:trPr>
        <w:tc>
          <w:tcPr>
            <w:tcW w:w="622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Scottish Mortgage Investment plc</w:t>
            </w:r>
            <w:r>
              <w:rPr>
                <w:rFonts w:ascii="Times New Roman" w:cs="Times New Roman" w:eastAsia="Times New Roman" w:hAnsi="Times New Roman"/>
                <w:sz w:val="24"/>
                <w:szCs w:val="24"/>
                <w:color w:val="auto"/>
                <w:vertAlign w:val="superscript"/>
              </w:rPr>
              <w:t>(4)</w:t>
            </w:r>
          </w:p>
        </w:tc>
        <w:tc>
          <w:tcPr>
            <w:tcW w:w="22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872,495</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49,999,983.72</w:t>
            </w:r>
          </w:p>
        </w:tc>
        <w:tc>
          <w:tcPr>
            <w:tcW w:w="0" w:type="dxa"/>
            <w:vAlign w:val="bottom"/>
          </w:tcPr>
          <w:p>
            <w:pPr>
              <w:spacing w:after="0"/>
              <w:rPr>
                <w:sz w:val="1"/>
                <w:szCs w:val="1"/>
                <w:color w:val="auto"/>
              </w:rPr>
            </w:pPr>
          </w:p>
        </w:tc>
      </w:tr>
      <w:tr>
        <w:trPr>
          <w:trHeight w:val="343"/>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Schiehallion Fund Limited</w:t>
            </w:r>
            <w:r>
              <w:rPr>
                <w:rFonts w:ascii="Times New Roman" w:cs="Times New Roman" w:eastAsia="Times New Roman" w:hAnsi="Times New Roman"/>
                <w:sz w:val="26"/>
                <w:szCs w:val="26"/>
                <w:color w:val="auto"/>
                <w:vertAlign w:val="superscript"/>
              </w:rPr>
              <w:t>(4)</w:t>
            </w:r>
          </w:p>
        </w:tc>
        <w:tc>
          <w:tcPr>
            <w:tcW w:w="2200" w:type="dxa"/>
            <w:vAlign w:val="bottom"/>
            <w:gridSpan w:val="2"/>
          </w:tcPr>
          <w:p>
            <w:pPr>
              <w:jc w:val="right"/>
              <w:ind w:right="920"/>
              <w:spacing w:after="0"/>
              <w:rPr>
                <w:sz w:val="20"/>
                <w:szCs w:val="20"/>
                <w:color w:val="auto"/>
              </w:rPr>
            </w:pPr>
            <w:r>
              <w:rPr>
                <w:rFonts w:ascii="Times New Roman" w:cs="Times New Roman" w:eastAsia="Times New Roman" w:hAnsi="Times New Roman"/>
                <w:sz w:val="17"/>
                <w:szCs w:val="17"/>
                <w:color w:val="auto"/>
              </w:rPr>
              <w:t>43,625</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2,500,013.52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886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4" w:lineRule="exact"/>
        <w:rPr>
          <w:sz w:val="20"/>
          <w:szCs w:val="20"/>
          <w:color w:val="auto"/>
        </w:rPr>
      </w:pPr>
    </w:p>
    <w:p>
      <w:pPr>
        <w:ind w:left="440" w:right="20" w:hanging="435"/>
        <w:spacing w:after="0" w:line="267" w:lineRule="auto"/>
        <w:tabs>
          <w:tab w:leader="none" w:pos="4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Robert Ghenchev, a member of our board of directors, is the Managing Partner and Head of Growth Investments at Novo Holdings US, Inc., which provides consulting services to Novo Holdings A/S.</w:t>
      </w:r>
    </w:p>
    <w:p>
      <w:pPr>
        <w:spacing w:after="0" w:line="1" w:lineRule="exact"/>
        <w:rPr>
          <w:rFonts w:ascii="Times New Roman" w:cs="Times New Roman" w:eastAsia="Times New Roman" w:hAnsi="Times New Roman"/>
          <w:sz w:val="17"/>
          <w:szCs w:val="17"/>
          <w:color w:val="auto"/>
        </w:rPr>
      </w:pPr>
    </w:p>
    <w:p>
      <w:pPr>
        <w:ind w:left="440" w:hanging="435"/>
        <w:spacing w:after="0"/>
        <w:tabs>
          <w:tab w:leader="none" w:pos="4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Blue Media, LLC is controlled by Eric Lefkofsky, our Chief Executive Officer, Founder and Chairman.</w:t>
      </w:r>
    </w:p>
    <w:p>
      <w:pPr>
        <w:spacing w:after="0" w:line="13" w:lineRule="exact"/>
        <w:rPr>
          <w:rFonts w:ascii="Times New Roman" w:cs="Times New Roman" w:eastAsia="Times New Roman" w:hAnsi="Times New Roman"/>
          <w:sz w:val="17"/>
          <w:szCs w:val="17"/>
          <w:color w:val="auto"/>
        </w:rPr>
      </w:pPr>
    </w:p>
    <w:p>
      <w:pPr>
        <w:jc w:val="both"/>
        <w:ind w:left="440" w:right="20" w:hanging="435"/>
        <w:spacing w:after="0" w:line="256" w:lineRule="auto"/>
        <w:tabs>
          <w:tab w:leader="none" w:pos="4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Blue Media, LLC purchased an aggregate of 130,876 shares of our Series G-2 convertible preferred stock, all of which were repurchased by us in January 2021. See the section titled “—Repurchases of Equity Securities—Redemptions of Common and Preferred Stock” below. As a result, Blue Media, LLC is no longer a holder of our Series G-2 convertible preferred stock.</w:t>
      </w:r>
    </w:p>
    <w:p>
      <w:pPr>
        <w:spacing w:after="0" w:line="1" w:lineRule="exact"/>
        <w:rPr>
          <w:rFonts w:ascii="Times New Roman" w:cs="Times New Roman" w:eastAsia="Times New Roman" w:hAnsi="Times New Roman"/>
          <w:sz w:val="17"/>
          <w:szCs w:val="17"/>
          <w:color w:val="auto"/>
        </w:rPr>
      </w:pPr>
    </w:p>
    <w:p>
      <w:pPr>
        <w:ind w:left="440" w:hanging="435"/>
        <w:spacing w:after="0" w:line="273" w:lineRule="auto"/>
        <w:tabs>
          <w:tab w:leader="none" w:pos="4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Schiehallion Fund Limited and Scottish Mortgage Investment Trust plc are controlled by Baillie Gifford &amp; Co., a holder of more than 5% of our capital stock.</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Series G-3 Convertible Preferred Stock Financing</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April 2022 and May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234</w:t>
      </w:r>
    </w:p>
    <w:p>
      <w:pPr>
        <w:sectPr>
          <w:pgSz w:w="11900" w:h="16838" w:orient="portrait"/>
          <w:cols w:equalWidth="0" w:num="1">
            <w:col w:w="11300"/>
          </w:cols>
          <w:pgMar w:left="320" w:top="447" w:right="2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85% of the public offering price in this offering. The holders of our Series G-3 convertible preferred stock are entitled to paid-in-kind dividends at a rate of 4% of the original issue price, payable in shares of Series G-3 convertible preferred stock. For more information regarding such dividend, see the sections titled “Dividend Policy” and “Prospectus Summary—The Offering—Additional Class A Conversion Shares” in this prospectus. The holders of our Series G-3 convertible preferred stock listed below are also entitled to specified registration rights. See the section titled “Description of Capital Stock—Registration Rights” for additional information regarding these registration rights.</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209"/>
        </w:trPr>
        <w:tc>
          <w:tcPr>
            <w:tcW w:w="9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160" w:type="dxa"/>
            <w:vAlign w:val="bottom"/>
            <w:gridSpan w:val="2"/>
          </w:tcPr>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Number of Series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Participants</w:t>
            </w:r>
          </w:p>
        </w:tc>
        <w:tc>
          <w:tcPr>
            <w:tcW w:w="2160" w:type="dxa"/>
            <w:vAlign w:val="bottom"/>
            <w:gridSpan w:val="2"/>
          </w:tcPr>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G-3 Shares</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216"/>
        </w:trPr>
        <w:tc>
          <w:tcPr>
            <w:tcW w:w="6260" w:type="dxa"/>
            <w:vAlign w:val="bottom"/>
            <w:gridSpan w:val="2"/>
            <w:vMerge w:val="continue"/>
          </w:tcPr>
          <w:p>
            <w:pPr>
              <w:spacing w:after="0"/>
              <w:rPr>
                <w:sz w:val="18"/>
                <w:szCs w:val="18"/>
                <w:color w:val="auto"/>
              </w:rPr>
            </w:pPr>
          </w:p>
        </w:tc>
        <w:tc>
          <w:tcPr>
            <w:tcW w:w="2160" w:type="dxa"/>
            <w:vAlign w:val="bottom"/>
            <w:gridSpan w:val="2"/>
          </w:tcPr>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Purchase Price</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shd w:val="clear" w:color="auto" w:fill="000000"/>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92,483</w:t>
            </w:r>
          </w:p>
        </w:tc>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5,299,914.03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60" w:type="dxa"/>
            <w:vAlign w:val="bottom"/>
            <w:gridSpan w:val="2"/>
          </w:tcPr>
          <w:p>
            <w:pPr>
              <w:spacing w:after="0" w:line="209" w:lineRule="exact"/>
              <w:rPr>
                <w:sz w:val="20"/>
                <w:szCs w:val="20"/>
                <w:color w:val="auto"/>
              </w:rPr>
            </w:pPr>
            <w:r>
              <w:rPr>
                <w:rFonts w:ascii="Times New Roman" w:cs="Times New Roman" w:eastAsia="Times New Roman" w:hAnsi="Times New Roman"/>
                <w:sz w:val="16"/>
                <w:szCs w:val="16"/>
                <w:color w:val="auto"/>
              </w:rPr>
              <w:t>Scottish Mortgage Investment plc</w:t>
            </w:r>
            <w:r>
              <w:rPr>
                <w:rFonts w:ascii="Times New Roman" w:cs="Times New Roman" w:eastAsia="Times New Roman" w:hAnsi="Times New Roman"/>
                <w:sz w:val="24"/>
                <w:szCs w:val="24"/>
                <w:color w:val="auto"/>
                <w:vertAlign w:val="superscript"/>
              </w:rPr>
              <w:t>(2)</w:t>
            </w:r>
          </w:p>
        </w:tc>
        <w:tc>
          <w:tcPr>
            <w:tcW w:w="21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872,495</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49,999,983.72</w:t>
            </w:r>
          </w:p>
        </w:tc>
        <w:tc>
          <w:tcPr>
            <w:tcW w:w="0" w:type="dxa"/>
            <w:vAlign w:val="bottom"/>
          </w:tcPr>
          <w:p>
            <w:pPr>
              <w:spacing w:after="0"/>
              <w:rPr>
                <w:sz w:val="1"/>
                <w:szCs w:val="1"/>
                <w:color w:val="auto"/>
              </w:rPr>
            </w:pPr>
          </w:p>
        </w:tc>
      </w:tr>
      <w:tr>
        <w:trPr>
          <w:trHeight w:val="209"/>
        </w:trPr>
        <w:tc>
          <w:tcPr>
            <w:tcW w:w="626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6"/>
                <w:szCs w:val="16"/>
                <w:color w:val="auto"/>
              </w:rPr>
              <w:t>The Schiehallion Fund Limited</w:t>
            </w:r>
            <w:r>
              <w:rPr>
                <w:rFonts w:ascii="Times New Roman" w:cs="Times New Roman" w:eastAsia="Times New Roman" w:hAnsi="Times New Roman"/>
                <w:sz w:val="24"/>
                <w:szCs w:val="24"/>
                <w:color w:val="auto"/>
                <w:vertAlign w:val="superscript"/>
              </w:rPr>
              <w:t>(2)</w:t>
            </w:r>
          </w:p>
        </w:tc>
        <w:tc>
          <w:tcPr>
            <w:tcW w:w="21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rPr>
              <w:t>87,250</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5,000,027.03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886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8" w:lineRule="exact"/>
        <w:rPr>
          <w:sz w:val="20"/>
          <w:szCs w:val="20"/>
          <w:color w:val="auto"/>
        </w:rPr>
      </w:pPr>
    </w:p>
    <w:p>
      <w:pPr>
        <w:ind w:left="440" w:hanging="435"/>
        <w:spacing w:after="0"/>
        <w:tabs>
          <w:tab w:leader="none" w:pos="4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Blue Media, LLC is controlled by Eric Lefkofsky, our Chief Executive Officer, Founder and Chairman.</w:t>
      </w:r>
    </w:p>
    <w:p>
      <w:pPr>
        <w:spacing w:after="0" w:line="31" w:lineRule="exact"/>
        <w:rPr>
          <w:rFonts w:ascii="Times New Roman" w:cs="Times New Roman" w:eastAsia="Times New Roman" w:hAnsi="Times New Roman"/>
          <w:sz w:val="17"/>
          <w:szCs w:val="17"/>
          <w:color w:val="auto"/>
        </w:rPr>
      </w:pPr>
    </w:p>
    <w:p>
      <w:pPr>
        <w:ind w:left="440" w:hanging="435"/>
        <w:spacing w:after="0" w:line="273" w:lineRule="auto"/>
        <w:tabs>
          <w:tab w:leader="none" w:pos="4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Schiehallion Fund Limited and Scottish Mortgage Investment Trust plc are controlled by Baillie Gifford &amp; Co., a holder of more than 5% of our capital stock.</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Series G-4 Convertible Preferred Stock Financing</w:t>
      </w:r>
    </w:p>
    <w:p>
      <w:pPr>
        <w:spacing w:after="0" w:line="120"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In October 2023, we sold an aggregate of 785,245 shares of our Series G-4 convertible preferred stock at a price per share of $57.3069 for an aggregate purchase price of approximately $45.0 million in private placements to accredited investors. The table below sets forth the number of shares of our Series G-4 preferred stock purchased by our executive officers, directors, holders of more than 5% of our capital stock, and their affiliated entities or immediate family members. The terms of our Series G-4 preferred stock provide that in the event of an initial public offering of our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in this offering. The holders of our Series G-4 convertible preferred stock are entitled to paid-in-kind dividends at a rate of 5.25% of the original issue price, payable in shares of Series G-4 convertible preferred stock. For more information regarding such dividend, see the sections titled “Dividend Policy” and “Prospectus Summary—The Offering—Additional Class A Conversion Shares” in this prospectus. In addition, we agreed to pay to each holder of Series G-4 preferred stock an amount equal to 5% of the per share price for each share of Series G-4 preferred stock purchased by such holder,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holders within thirty (30) days following this offering. The holders of our Series G-4 preferred stock listed below are entitled to specified registration rights. See the section titled “Description of Capital Stock—Registration Rights” for additional information regarding these registration rights.</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09"/>
        </w:trPr>
        <w:tc>
          <w:tcPr>
            <w:tcW w:w="9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Number of Series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Participants</w:t>
            </w: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G-4 Shares</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216"/>
        </w:trPr>
        <w:tc>
          <w:tcPr>
            <w:tcW w:w="6340" w:type="dxa"/>
            <w:vAlign w:val="bottom"/>
            <w:gridSpan w:val="2"/>
            <w:vMerge w:val="continue"/>
          </w:tcPr>
          <w:p>
            <w:pPr>
              <w:spacing w:after="0"/>
              <w:rPr>
                <w:sz w:val="18"/>
                <w:szCs w:val="18"/>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Purchase Price</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Scottish Mortgage Investment Trust plc</w:t>
            </w:r>
            <w:r>
              <w:rPr>
                <w:rFonts w:ascii="Times New Roman" w:cs="Times New Roman" w:eastAsia="Times New Roman" w:hAnsi="Times New Roman"/>
                <w:sz w:val="22"/>
                <w:szCs w:val="22"/>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348,998</w:t>
            </w: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$ 19,999,993.49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886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5" w:lineRule="exact"/>
        <w:rPr>
          <w:sz w:val="20"/>
          <w:szCs w:val="20"/>
          <w:color w:val="auto"/>
        </w:rPr>
      </w:pPr>
    </w:p>
    <w:p>
      <w:pPr>
        <w:ind w:left="5520" w:right="2140" w:hanging="5515"/>
        <w:spacing w:after="0" w:line="472" w:lineRule="auto"/>
        <w:tabs>
          <w:tab w:leader="none" w:pos="44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Scottish Mortgage Investment Trust plc is controlled by Baillie Gifford &amp; Co., a holder of more than 5% of our capital stock. 235</w:t>
      </w:r>
    </w:p>
    <w:p>
      <w:pPr>
        <w:sectPr>
          <w:pgSz w:w="11900" w:h="16838" w:orient="portrait"/>
          <w:cols w:equalWidth="0" w:num="1">
            <w:col w:w="11300"/>
          </w:cols>
          <w:pgMar w:left="320" w:top="446" w:right="2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 Payment</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On June 4, 2024, we paid an aggregate of approximately $5.6 million of accrued and unpaid cash dividends in respect of certain shares of our convertible preferred stock. Of this amount, approximately $5.3 million was paid to entities controlled by Mr. Lefkofsky and approximately $67,000 was paid to each of BK TL21 LLC and Red Sky LLC.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Rights, Voting, and Right of First Refusal and Co-Sale Agreements</w:t>
      </w:r>
    </w:p>
    <w:p>
      <w:pPr>
        <w:spacing w:after="0" w:line="120" w:lineRule="exact"/>
        <w:rPr>
          <w:sz w:val="20"/>
          <w:szCs w:val="20"/>
          <w:color w:val="auto"/>
        </w:rPr>
      </w:pPr>
    </w:p>
    <w:p>
      <w:pPr>
        <w:jc w:val="both"/>
        <w:ind w:firstLine="451"/>
        <w:spacing w:after="0" w:line="273" w:lineRule="auto"/>
        <w:rPr>
          <w:sz w:val="20"/>
          <w:szCs w:val="20"/>
          <w:color w:val="auto"/>
        </w:rPr>
      </w:pPr>
      <w:r>
        <w:rPr>
          <w:rFonts w:ascii="Times New Roman" w:cs="Times New Roman" w:eastAsia="Times New Roman" w:hAnsi="Times New Roman"/>
          <w:sz w:val="17"/>
          <w:szCs w:val="17"/>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37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Stockholders” for additional information regarding beneficial ownership of our capital stock.</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 Property Leases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$0.7 million remains to be amortized. We currently sublease a portion of this office space to Lightbank LLC, Lefkofsky Family Foundation and 346 Investment Partners, each an entity affiliated with and controlled by Mr. Lefkofsky, on a month-to-month basis. As of March 31, 2024, we have received an aggregate of $0.7 million in sublease income from these related parties.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Aircraft for Business Travel</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March 31, 2024, we have paid an aggregate of $0.2 million to 346 Investment Partners LLC pursuant to this arrangement.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Agreements with Pathos</w:t>
      </w:r>
    </w:p>
    <w:p>
      <w:pPr>
        <w:spacing w:after="0" w:line="120"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We entered into a master agreement in August 2021, as amended and restated in February 2024,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16.5%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measured from February 2024,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236</w:t>
      </w:r>
    </w:p>
    <w:p>
      <w:pPr>
        <w:sectPr>
          <w:pgSz w:w="11900" w:h="16838" w:orient="portrait"/>
          <w:cols w:equalWidth="0" w:num="1">
            <w:col w:w="11300"/>
          </w:cols>
          <w:pgMar w:left="320" w:top="447" w:right="2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Either party may terminate the agreement after the initial five-year term by prior written notice to the other party. As of the date of this prospectus, Pathos has paid us an aggregate of $0.8 million in annual subscription fee, and we have not exercised the warrant to purchase shares of Pathos common stock.</w:t>
      </w:r>
    </w:p>
    <w:p>
      <w:pPr>
        <w:spacing w:after="0" w:line="14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In March 2022, we and Pathos entered into a sequencing pilot project under the master agreement pursuant to which we ran our xT NGS assay on 15 samples provided by Pathos in exchange for a one-time discounted fee of less than $0.1 million.</w:t>
      </w:r>
    </w:p>
    <w:p>
      <w:pPr>
        <w:spacing w:after="0" w:line="147"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April 2022, we and Pathos entered into a non-exclusive analytical services program under the master agreement pursuant to which we provide services to help Pathos use our de-identified data to answer research and development questions posed by Pathos. Under the program, we initially provided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increases proportionally.</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April 2023, Ryan Fukushima, Tempus’s Chief Operating Officer, was appointed as interim Chief Executive Officer of Pathos. In connection with such appointment, our Board of Directors has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1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May 2024, we and Pathos entered into an order form under the master agreement pursuant to which we will license organoids and organoid data sets to Pathos. Under this order form, we granted Pathos a revocable, limited, non-transferable, non-exclusive right and license, without right of sublicense, to use certain organoid material and organoid data. Pathos in turn agreed to pay us certain license fees depending on the number of organoid materials and data it elects to license and the term of such license. The order form provides for an initial term of two years, subject to annual renewal upon written confirmation from us and Pathos. As of the date of this prospectus, we have not received license fee payment from Pathos.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Grants to Directors and Executive Officers</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Repurchases of Equity Securities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Redemptions of Common and Preferred Stock</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February 2021, we repurchased an aggregate of 130,876 shares of various series of convertible preferred stock from entities affiliated with and controlled by Eric Lefkofsky at the original issue price for a total purchase price of approximately $7.5 million. Such repurchases were affected in order to accommodate the issuance and sale of convertible preferred stock to additional purchasers.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Acceleration of Vesting for RSUs</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237</w:t>
      </w:r>
    </w:p>
    <w:p>
      <w:pPr>
        <w:sectPr>
          <w:pgSz w:w="11900" w:h="16838" w:orient="portrait"/>
          <w:cols w:equalWidth="0" w:num="1">
            <w:col w:w="11300"/>
          </w:cols>
          <w:pgMar w:left="320" w:top="446" w:right="2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Transactions with Related Persons</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238</w:t>
      </w:r>
    </w:p>
    <w:p>
      <w:pPr>
        <w:sectPr>
          <w:pgSz w:w="11900" w:h="16838" w:orient="portrait"/>
          <w:cols w:equalWidth="0" w:num="1">
            <w:col w:w="11300"/>
          </w:cols>
          <w:pgMar w:left="320" w:top="446" w:right="2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of our shares as of April 15, 2024 by:</w:t>
      </w:r>
    </w:p>
    <w:p>
      <w:pPr>
        <w:spacing w:after="0" w:line="131" w:lineRule="exact"/>
        <w:rPr>
          <w:sz w:val="20"/>
          <w:szCs w:val="20"/>
          <w:color w:val="auto"/>
        </w:rPr>
      </w:pPr>
    </w:p>
    <w:p>
      <w:pPr>
        <w:ind w:left="1000" w:hanging="551"/>
        <w:spacing w:after="0"/>
        <w:tabs>
          <w:tab w:leader="none" w:pos="10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named executive officer;</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directors and executive officers as a group; and</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other person or entity known by us to own beneficially more than 5% of our Class A common stock and Class B common stock (by number or by voting power).</w:t>
      </w:r>
    </w:p>
    <w:p>
      <w:pPr>
        <w:spacing w:after="0" w:line="147"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6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Applicable percentage ownership before this offering is based on 130,041,582 shares of Class A common stock and 5,374,899 shares of Class B common stock outstanding as of April 15, 2024, assuming (i) the conversion of all outstanding shares of our Series B redeemable convertible preferred stock into an aggregate of 5,374,899 shares of Class B common stock (without giving effect to the Class B Transfer), (ii) the issuance and sale of 3,489,981 shares of Series G-5 Convertible preferred stock in April 2024 as if such issuance and sale had occurred on April 15, 2024, (iii) the Preferred Stock Conversion, assuming an initial public offering price of $36.00 per share, the midpoint of the estimated price range set forth on the cover page of this prospectus and (iv) the automatic conversion of all outstanding shares of our nonvoting common stock into 5,069,477 shares of Class A common stock.</w:t>
      </w:r>
    </w:p>
    <w:p>
      <w:pPr>
        <w:spacing w:after="0" w:line="173"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Applicable percentage ownership after this offering gives effect to (a) the Additional Class A Conversion Share Issuance resulting in the issuance of 5,227,001 Additional Class A Conversion Shares, assuming an initial public offering price of $36.00 per share, the midpoint of the estimated price range set forth on the cover page of this prospectus and (b) the net issuance of 2,527,923 shares of Class A common stock upon the RSU Net Settlement and the issuance of 10,724,524 shares of Class A common stock upon the Additional RSU Settlement. See “Prospectus Summary—The Offering—Additional Class A Conversion Shares” for a description of the Additional Class A Conversion Shares, as the number of Additional Class A Conversion Shares that will be issued depends on the initial public offering price of our Class A common stock. Applicable percentage ownership after this offering assumes that the underwriters’ option to purchase additional shares to cover over-allotments, if any, is not exercised and is based on (1) 160,060,473 shares of Class A common stock and (2) 5,043,789 shares of Class B common stock outstanding immediately after the closing of this offering. Applicable percentage ownership after this offering if the underwriters’ option to purchase additional shares to cover over-allotments, if any, is exercised in full is based on (1) 161,725,473 shares of Class A common stock and (2) 5,043,789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April 15, 2024. However, except as described above, we did not deem such shares outstanding for the purpose of computing the percentage ownership of any other person.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239</w:t>
      </w:r>
    </w:p>
    <w:p>
      <w:pPr>
        <w:sectPr>
          <w:pgSz w:w="11900" w:h="16838" w:orient="portrait"/>
          <w:cols w:equalWidth="0" w:num="1">
            <w:col w:w="11300"/>
          </w:cols>
          <w:pgMar w:left="320" w:top="446" w:right="2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Unless otherwise indicated, the address for each beneficial owner listed in the table below is c/o Tempus AI, Inc., 600 West Chicago Avenue, Suite 510 Chicago, Illinois 60654.</w:t>
      </w:r>
    </w:p>
    <w:p>
      <w:pPr>
        <w:sectPr>
          <w:pgSz w:w="11900" w:h="16838" w:orient="portrait"/>
          <w:cols w:equalWidth="0" w:num="1">
            <w:col w:w="11300"/>
          </w:cols>
          <w:pgMar w:left="320" w:top="44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440" w:firstLine="605"/>
        <w:spacing w:after="0" w:line="285" w:lineRule="auto"/>
        <w:rPr>
          <w:sz w:val="20"/>
          <w:szCs w:val="20"/>
          <w:color w:val="auto"/>
        </w:rPr>
      </w:pPr>
      <w:r>
        <w:rPr>
          <w:rFonts w:ascii="Times New Roman" w:cs="Times New Roman" w:eastAsia="Times New Roman" w:hAnsi="Times New Roman"/>
          <w:sz w:val="11"/>
          <w:szCs w:val="11"/>
          <w:b w:val="1"/>
          <w:bCs w:val="1"/>
          <w:color w:val="auto"/>
        </w:rPr>
        <w:t>Name of Beneficial Owner 5% Stockholders:</w:t>
      </w:r>
    </w:p>
    <w:p>
      <w:pPr>
        <w:spacing w:after="0" w:line="187" w:lineRule="auto"/>
        <w:rPr>
          <w:sz w:val="20"/>
          <w:szCs w:val="20"/>
          <w:color w:val="auto"/>
        </w:rPr>
      </w:pPr>
      <w:r>
        <w:rPr>
          <w:rFonts w:ascii="Times New Roman" w:cs="Times New Roman" w:eastAsia="Times New Roman" w:hAnsi="Times New Roman"/>
          <w:sz w:val="11"/>
          <w:szCs w:val="11"/>
          <w:color w:val="auto"/>
        </w:rPr>
        <w:t>Eric Lefkofsky</w:t>
      </w:r>
      <w:r>
        <w:rPr>
          <w:rFonts w:ascii="Times New Roman" w:cs="Times New Roman" w:eastAsia="Times New Roman" w:hAnsi="Times New Roman"/>
          <w:sz w:val="16"/>
          <w:szCs w:val="16"/>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Red Sky LLC</w:t>
      </w:r>
      <w:r>
        <w:rPr>
          <w:rFonts w:ascii="Times New Roman" w:cs="Times New Roman" w:eastAsia="Times New Roman" w:hAnsi="Times New Roman"/>
          <w:sz w:val="16"/>
          <w:szCs w:val="16"/>
          <w:color w:val="auto"/>
          <w:vertAlign w:val="superscript"/>
        </w:rPr>
        <w:t>(2)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BK TL21 LLC</w:t>
      </w:r>
      <w:r>
        <w:rPr>
          <w:rFonts w:ascii="Times New Roman" w:cs="Times New Roman" w:eastAsia="Times New Roman" w:hAnsi="Times New Roman"/>
          <w:sz w:val="16"/>
          <w:szCs w:val="16"/>
          <w:color w:val="auto"/>
          <w:vertAlign w:val="superscript"/>
        </w:rPr>
        <w:t>(3)</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Entities affiliated with Baillie Gifford &amp; Co.</w:t>
      </w:r>
      <w:r>
        <w:rPr>
          <w:rFonts w:ascii="Times New Roman" w:cs="Times New Roman" w:eastAsia="Times New Roman" w:hAnsi="Times New Roman"/>
          <w:sz w:val="16"/>
          <w:szCs w:val="16"/>
          <w:color w:val="auto"/>
          <w:vertAlign w:val="superscript"/>
        </w:rPr>
        <w:t>(4)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Other Directors and Named Executive Officers: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James Rogers</w:t>
      </w:r>
      <w:r>
        <w:rPr>
          <w:rFonts w:ascii="Times New Roman" w:cs="Times New Roman" w:eastAsia="Times New Roman" w:hAnsi="Times New Roman"/>
          <w:sz w:val="16"/>
          <w:szCs w:val="16"/>
          <w:color w:val="auto"/>
          <w:vertAlign w:val="superscript"/>
        </w:rPr>
        <w:t>(5)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Ryan Fukushima</w:t>
      </w:r>
      <w:r>
        <w:rPr>
          <w:rFonts w:ascii="Times New Roman" w:cs="Times New Roman" w:eastAsia="Times New Roman" w:hAnsi="Times New Roman"/>
          <w:sz w:val="16"/>
          <w:szCs w:val="16"/>
          <w:color w:val="auto"/>
          <w:vertAlign w:val="superscript"/>
        </w:rPr>
        <w:t>(6)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Peter J. Barris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Eric D. Belcher</w:t>
      </w:r>
      <w:r>
        <w:rPr>
          <w:rFonts w:ascii="Times New Roman" w:cs="Times New Roman" w:eastAsia="Times New Roman" w:hAnsi="Times New Roman"/>
          <w:sz w:val="16"/>
          <w:szCs w:val="16"/>
          <w:color w:val="auto"/>
          <w:vertAlign w:val="superscript"/>
        </w:rPr>
        <w:t>(7)</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Jennifer A. Doudna, Ph.D.</w:t>
      </w:r>
      <w:r>
        <w:rPr>
          <w:rFonts w:ascii="Times New Roman" w:cs="Times New Roman" w:eastAsia="Times New Roman" w:hAnsi="Times New Roman"/>
          <w:sz w:val="16"/>
          <w:szCs w:val="16"/>
          <w:color w:val="auto"/>
          <w:vertAlign w:val="superscript"/>
        </w:rPr>
        <w:t>(8)</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David R. Epstein</w:t>
      </w:r>
      <w:r>
        <w:rPr>
          <w:rFonts w:ascii="Times New Roman" w:cs="Times New Roman" w:eastAsia="Times New Roman" w:hAnsi="Times New Roman"/>
          <w:sz w:val="16"/>
          <w:szCs w:val="16"/>
          <w:color w:val="auto"/>
          <w:vertAlign w:val="superscript"/>
        </w:rPr>
        <w:t>(9)</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Wayne A.I. Frederick, M.D.</w:t>
      </w:r>
      <w:r>
        <w:rPr>
          <w:rFonts w:ascii="Times New Roman" w:cs="Times New Roman" w:eastAsia="Times New Roman" w:hAnsi="Times New Roman"/>
          <w:sz w:val="16"/>
          <w:szCs w:val="16"/>
          <w:color w:val="auto"/>
          <w:vertAlign w:val="superscript"/>
        </w:rPr>
        <w:t>(10)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Robert Ghenchev</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Scott Gottlieb, M.D.</w:t>
      </w:r>
      <w:r>
        <w:rPr>
          <w:rFonts w:ascii="Times New Roman" w:cs="Times New Roman" w:eastAsia="Times New Roman" w:hAnsi="Times New Roman"/>
          <w:sz w:val="16"/>
          <w:szCs w:val="16"/>
          <w:color w:val="auto"/>
          <w:vertAlign w:val="superscript"/>
        </w:rPr>
        <w:t>(11)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Theodore J. Leonsis</w:t>
      </w:r>
      <w:r>
        <w:rPr>
          <w:rFonts w:ascii="Times New Roman" w:cs="Times New Roman" w:eastAsia="Times New Roman" w:hAnsi="Times New Roman"/>
          <w:sz w:val="16"/>
          <w:szCs w:val="16"/>
          <w:color w:val="auto"/>
          <w:vertAlign w:val="superscript"/>
        </w:rPr>
        <w:t>(12)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Nadja West, M.D.</w:t>
      </w:r>
      <w:r>
        <w:rPr>
          <w:rFonts w:ascii="Times New Roman" w:cs="Times New Roman" w:eastAsia="Times New Roman" w:hAnsi="Times New Roman"/>
          <w:sz w:val="16"/>
          <w:szCs w:val="16"/>
          <w:color w:val="auto"/>
          <w:vertAlign w:val="superscript"/>
        </w:rPr>
        <w:t>(13)</w:t>
      </w:r>
    </w:p>
    <w:p>
      <w:pPr>
        <w:spacing w:after="0" w:line="119" w:lineRule="exact"/>
        <w:rPr>
          <w:sz w:val="20"/>
          <w:szCs w:val="20"/>
          <w:color w:val="auto"/>
        </w:rPr>
      </w:pPr>
    </w:p>
    <w:p>
      <w:pPr>
        <w:ind w:left="120" w:right="40" w:hanging="112"/>
        <w:spacing w:after="0" w:line="297" w:lineRule="auto"/>
        <w:rPr>
          <w:sz w:val="20"/>
          <w:szCs w:val="20"/>
          <w:color w:val="auto"/>
        </w:rPr>
      </w:pPr>
      <w:r>
        <w:rPr>
          <w:rFonts w:ascii="Times New Roman" w:cs="Times New Roman" w:eastAsia="Times New Roman" w:hAnsi="Times New Roman"/>
          <w:sz w:val="11"/>
          <w:szCs w:val="11"/>
          <w:color w:val="auto"/>
        </w:rPr>
        <w:t>All directors and executive officers as a group (14 persons)</w:t>
      </w:r>
      <w:r>
        <w:rPr>
          <w:rFonts w:ascii="Times New Roman" w:cs="Times New Roman" w:eastAsia="Times New Roman" w:hAnsi="Times New Roman"/>
          <w:sz w:val="16"/>
          <w:szCs w:val="16"/>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886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8"/>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8"/>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7"/>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40" w:type="dxa"/>
            <w:vAlign w:val="bottom"/>
            <w:gridSpan w:val="1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After the Offering if Underwriters’ Option is</w:t>
            </w:r>
          </w:p>
        </w:tc>
        <w:tc>
          <w:tcPr>
            <w:tcW w:w="2860" w:type="dxa"/>
            <w:vAlign w:val="bottom"/>
            <w:gridSpan w:val="1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After the Offering if Underwriters’ Option is</w:t>
            </w:r>
          </w:p>
        </w:tc>
        <w:tc>
          <w:tcPr>
            <w:tcW w:w="0" w:type="dxa"/>
            <w:vAlign w:val="bottom"/>
          </w:tcPr>
          <w:p>
            <w:pPr>
              <w:spacing w:after="0"/>
              <w:rPr>
                <w:sz w:val="1"/>
                <w:szCs w:val="1"/>
                <w:color w:val="auto"/>
              </w:rPr>
            </w:pPr>
          </w:p>
        </w:tc>
      </w:tr>
      <w:tr>
        <w:trPr>
          <w:trHeight w:val="141"/>
        </w:trPr>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Before the Offering</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Not Exercised</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Exercised in Full</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700" w:type="dxa"/>
            <w:vAlign w:val="bottom"/>
            <w:gridSpan w:val="2"/>
            <w:vMerge w:val="restart"/>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vMerge w:val="restart"/>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9"/>
                <w:szCs w:val="9"/>
                <w:color w:val="auto"/>
              </w:rPr>
            </w:pPr>
          </w:p>
        </w:tc>
        <w:tc>
          <w:tcPr>
            <w:tcW w:w="720" w:type="dxa"/>
            <w:vAlign w:val="bottom"/>
            <w:gridSpan w:val="2"/>
            <w:vMerge w:val="restart"/>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vMerge w:val="restart"/>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9"/>
                <w:szCs w:val="9"/>
                <w:color w:val="auto"/>
              </w:rPr>
            </w:pPr>
          </w:p>
        </w:tc>
        <w:tc>
          <w:tcPr>
            <w:tcW w:w="720" w:type="dxa"/>
            <w:vAlign w:val="bottom"/>
            <w:gridSpan w:val="2"/>
            <w:vMerge w:val="restart"/>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 of 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7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7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7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0" w:type="dxa"/>
            <w:vAlign w:val="bottom"/>
          </w:tcPr>
          <w:p>
            <w:pPr>
              <w:spacing w:after="0"/>
              <w:rPr>
                <w:sz w:val="1"/>
                <w:szCs w:val="1"/>
                <w:color w:val="auto"/>
              </w:rPr>
            </w:pPr>
          </w:p>
        </w:tc>
      </w:tr>
      <w:tr>
        <w:trPr>
          <w:trHeight w:val="52"/>
        </w:trPr>
        <w:tc>
          <w:tcPr>
            <w:tcW w:w="70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3"/>
            <w:vMerge w:val="restart"/>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vMerge w:val="restart"/>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7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7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7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Power</w:t>
            </w:r>
          </w:p>
        </w:tc>
        <w:tc>
          <w:tcPr>
            <w:tcW w:w="0" w:type="dxa"/>
            <w:vAlign w:val="bottom"/>
          </w:tcPr>
          <w:p>
            <w:pPr>
              <w:spacing w:after="0"/>
              <w:rPr>
                <w:sz w:val="1"/>
                <w:szCs w:val="1"/>
                <w:color w:val="auto"/>
              </w:rPr>
            </w:pPr>
          </w:p>
        </w:tc>
      </w:tr>
      <w:tr>
        <w:trPr>
          <w:trHeight w:val="52"/>
        </w:trPr>
        <w:tc>
          <w:tcPr>
            <w:tcW w:w="700" w:type="dxa"/>
            <w:vAlign w:val="bottom"/>
            <w:gridSpan w:val="2"/>
            <w:vMerge w:val="restart"/>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vMerge w:val="restart"/>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20" w:type="dxa"/>
            <w:vAlign w:val="bottom"/>
            <w:gridSpan w:val="2"/>
            <w:vMerge w:val="restart"/>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3"/>
            <w:vMerge w:val="restart"/>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700" w:type="dxa"/>
            <w:vAlign w:val="bottom"/>
            <w:tcBorders>
              <w:bottom w:val="single" w:sz="8" w:color="auto"/>
            </w:tcBorders>
            <w:gridSpan w:val="2"/>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Before the</w:t>
            </w:r>
          </w:p>
        </w:tc>
        <w:tc>
          <w:tcPr>
            <w:tcW w:w="720" w:type="dxa"/>
            <w:vAlign w:val="bottom"/>
            <w:tcBorders>
              <w:bottom w:val="single" w:sz="8" w:color="auto"/>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After the</w:t>
            </w:r>
          </w:p>
        </w:tc>
        <w:tc>
          <w:tcPr>
            <w:tcW w:w="720" w:type="dxa"/>
            <w:vAlign w:val="bottom"/>
            <w:tcBorders>
              <w:bottom w:val="single" w:sz="8" w:color="auto"/>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After the</w:t>
            </w:r>
          </w:p>
        </w:tc>
        <w:tc>
          <w:tcPr>
            <w:tcW w:w="0" w:type="dxa"/>
            <w:vAlign w:val="bottom"/>
          </w:tcPr>
          <w:p>
            <w:pPr>
              <w:spacing w:after="0"/>
              <w:rPr>
                <w:sz w:val="1"/>
                <w:szCs w:val="1"/>
                <w:color w:val="auto"/>
              </w:rPr>
            </w:pPr>
          </w:p>
        </w:tc>
      </w:tr>
      <w:tr>
        <w:trPr>
          <w:trHeight w:val="22"/>
        </w:trPr>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140" w:type="dxa"/>
            <w:vAlign w:val="bottom"/>
          </w:tcPr>
          <w:p>
            <w:pPr>
              <w:spacing w:after="0"/>
              <w:rPr>
                <w:sz w:val="12"/>
                <w:szCs w:val="12"/>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50,857,963</w:t>
            </w:r>
          </w:p>
        </w:tc>
        <w:tc>
          <w:tcPr>
            <w:tcW w:w="140" w:type="dxa"/>
            <w:vAlign w:val="bottom"/>
          </w:tcPr>
          <w:p>
            <w:pPr>
              <w:spacing w:after="0"/>
              <w:rPr>
                <w:sz w:val="23"/>
                <w:szCs w:val="23"/>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39.1</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5,374,899</w:t>
            </w:r>
          </w:p>
        </w:tc>
        <w:tc>
          <w:tcPr>
            <w:tcW w:w="60" w:type="dxa"/>
            <w:vAlign w:val="bottom"/>
          </w:tcPr>
          <w:p>
            <w:pPr>
              <w:spacing w:after="0"/>
              <w:rPr>
                <w:sz w:val="23"/>
                <w:szCs w:val="2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72.2</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48,754,202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30.5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5,043,789</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48,754,202</w:t>
            </w:r>
          </w:p>
        </w:tc>
        <w:tc>
          <w:tcPr>
            <w:tcW w:w="140" w:type="dxa"/>
            <w:vAlign w:val="bottom"/>
          </w:tcPr>
          <w:p>
            <w:pPr>
              <w:spacing w:after="0"/>
              <w:rPr>
                <w:sz w:val="23"/>
                <w:szCs w:val="23"/>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30.1</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5,043,789</w:t>
            </w:r>
          </w:p>
        </w:tc>
        <w:tc>
          <w:tcPr>
            <w:tcW w:w="60" w:type="dxa"/>
            <w:vAlign w:val="bottom"/>
          </w:tcPr>
          <w:p>
            <w:pPr>
              <w:spacing w:after="0"/>
              <w:rPr>
                <w:sz w:val="23"/>
                <w:szCs w:val="2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0" w:type="dxa"/>
            <w:vAlign w:val="bottom"/>
          </w:tcPr>
          <w:p>
            <w:pPr>
              <w:spacing w:after="0"/>
              <w:rPr>
                <w:sz w:val="1"/>
                <w:szCs w:val="1"/>
                <w:color w:val="auto"/>
              </w:rPr>
            </w:pPr>
          </w:p>
        </w:tc>
      </w:tr>
      <w:tr>
        <w:trPr>
          <w:trHeight w:val="209"/>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16,544,420</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12.7</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16,549,877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16,549,877</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10.2</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209"/>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16,544,419</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12.7</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16,549,873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5.4</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16,549,873</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10.2</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209"/>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8,401,309</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2.9</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9,298,270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5.8</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9,298,270</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5.7</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418"/>
        </w:trPr>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200,500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110,275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110,275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1,429,969</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1,236,482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1,236,482</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14,034</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14,034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17,500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17,500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17,500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50,000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50,000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50,000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3,473,060</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2.7</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3,881,557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3,881,557</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209"/>
        </w:trPr>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56,780,971</w:t>
            </w:r>
          </w:p>
        </w:tc>
        <w:tc>
          <w:tcPr>
            <w:tcW w:w="140" w:type="dxa"/>
            <w:vAlign w:val="bottom"/>
          </w:tcPr>
          <w:p>
            <w:pPr>
              <w:spacing w:after="0"/>
              <w:rPr>
                <w:sz w:val="24"/>
                <w:szCs w:val="2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43.7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5,374,899</w:t>
            </w:r>
          </w:p>
        </w:tc>
        <w:tc>
          <w:tcPr>
            <w:tcW w:w="6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73.4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54,537,712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34.1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5,043,789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67.0</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54,537,712</w:t>
            </w:r>
          </w:p>
        </w:tc>
        <w:tc>
          <w:tcPr>
            <w:tcW w:w="14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33.7</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5,043,789</w:t>
            </w:r>
          </w:p>
        </w:tc>
        <w:tc>
          <w:tcPr>
            <w:tcW w:w="6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6"/>
              </w:rPr>
              <w:t>100.0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-2228215</wp:posOffset>
            </wp:positionV>
            <wp:extent cx="7169785" cy="132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9785" cy="13271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-1962785</wp:posOffset>
            </wp:positionV>
            <wp:extent cx="7169785" cy="132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9785" cy="13271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-1697355</wp:posOffset>
            </wp:positionV>
            <wp:extent cx="7169785" cy="132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9785" cy="13271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-1431925</wp:posOffset>
            </wp:positionV>
            <wp:extent cx="7169785" cy="132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9785" cy="13271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-1165860</wp:posOffset>
            </wp:positionV>
            <wp:extent cx="7169785" cy="132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9785" cy="13271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-900430</wp:posOffset>
            </wp:positionV>
            <wp:extent cx="7169785" cy="132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9785" cy="13271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-635000</wp:posOffset>
            </wp:positionV>
            <wp:extent cx="7169785" cy="132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9785" cy="13271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-369570</wp:posOffset>
            </wp:positionV>
            <wp:extent cx="7169785" cy="132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9785" cy="13271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-2411095</wp:posOffset>
            </wp:positionV>
            <wp:extent cx="7169785" cy="914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9785" cy="9144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2320" w:space="280"/>
            <w:col w:w="8700"/>
          </w:cols>
          <w:pgMar w:left="320" w:top="446" w:right="279" w:bottom="1440" w:gutter="0" w:footer="0" w:header="0"/>
          <w:type w:val="continuous"/>
        </w:sectPr>
      </w:pPr>
    </w:p>
    <w:p>
      <w:pPr>
        <w:ind w:left="440" w:hanging="435"/>
        <w:spacing w:after="0"/>
        <w:tabs>
          <w:tab w:leader="none" w:pos="4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jc w:val="both"/>
        <w:ind w:left="440" w:hanging="435"/>
        <w:spacing w:after="0" w:line="214" w:lineRule="auto"/>
        <w:tabs>
          <w:tab w:leader="none" w:pos="4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 entitled to 30 votes per share, and holders of our Class A common stock are entitled to one vote per share. See the section titled “Description of Capital Stock—Class A Common Stock and</w:t>
      </w:r>
    </w:p>
    <w:p>
      <w:pPr>
        <w:ind w:left="440"/>
        <w:spacing w:after="0" w:line="214" w:lineRule="auto"/>
        <w:rPr>
          <w:sz w:val="20"/>
          <w:szCs w:val="20"/>
          <w:color w:val="auto"/>
        </w:rPr>
      </w:pPr>
      <w:r>
        <w:rPr>
          <w:rFonts w:ascii="Times New Roman" w:cs="Times New Roman" w:eastAsia="Times New Roman" w:hAnsi="Times New Roman"/>
          <w:sz w:val="14"/>
          <w:szCs w:val="14"/>
          <w:color w:val="auto"/>
        </w:rPr>
        <w:t>Class B Common Stock” for additional information about the voting rights of our Class A and Class B common stock.</w:t>
      </w:r>
    </w:p>
    <w:p>
      <w:pPr>
        <w:spacing w:after="0" w:line="1" w:lineRule="exact"/>
        <w:rPr>
          <w:sz w:val="20"/>
          <w:szCs w:val="20"/>
          <w:color w:val="auto"/>
        </w:rPr>
      </w:pPr>
    </w:p>
    <w:p>
      <w:pPr>
        <w:jc w:val="both"/>
        <w:ind w:left="440" w:hanging="435"/>
        <w:spacing w:after="0" w:line="217" w:lineRule="auto"/>
        <w:tabs>
          <w:tab w:leader="none" w:pos="4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(a) 21,866,021 shares of Class A common stock held by Blue Media, LLC (assuming, with respect to the conversion of shares of Series G-3 convertible preferred stock, an initial public offering price of $36.00 per share, the midpoint of the estimated price range set forth on the cover page of this prospectus), (b) 178,485 shares of Class B common stock held by Black Media, LLC, (c) 8,625,000 shares of Class A common stock held by Gray Media, LLC, (d) 2,789,336 shares of Class A common stock held by Innovation Group Investors, L.P. -2011 Series, (e) 145,875 shares of Class A common stock held by Innovation Group Investors, L.P. -Series 1B, (f) 248,476 shares of Class A common stock held by Lightbank Investments 1B, LLC, (g) 1,603,279 shares of Class A common stock held by Tempus Series A Investments, LLC, (h) 5,196,414 shares of Class B common stock held by Tempus Series B Investments, LLC, (i) 1,500,071 shares of Class A common stock held by Tempus Series B-1 Investments, LLC, (j) 2,111,415 shares of Class A common stock held by Tempus Series B-2 Investments, LLC, (k) 3,911,762 shares of Class A common stock held by Tempus Series C Investments, LLC, (l) 2,133,583 shares of Class A common stock held by Tempus Series D Investments, LLC, (m) 248,512 shares of Class A common stock held by Tempus Series E Investments, LLC, (n) 321,008 shares of Class A common stock held by Tempus Series G Investments, LLC and (o) 1,400,000 shares of Class A common stock held by Mr. Lefkofsky. Upon the consummation of this offering, shares of Class A common stock held by each of Tempus Series A Investments, LLC, Tempus Series B-1 Investments, LLC,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240</w:t>
      </w:r>
    </w:p>
    <w:p>
      <w:pPr>
        <w:sectPr>
          <w:pgSz w:w="11900" w:h="16838" w:orient="portrait"/>
          <w:cols w:equalWidth="0" w:num="1">
            <w:col w:w="11300"/>
          </w:cols>
          <w:pgMar w:left="320" w:top="446" w:right="279" w:bottom="144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8" w:lineRule="exact"/>
        <w:rPr>
          <w:sz w:val="20"/>
          <w:szCs w:val="20"/>
          <w:color w:val="auto"/>
        </w:rPr>
      </w:pPr>
    </w:p>
    <w:p>
      <w:pPr>
        <w:jc w:val="both"/>
        <w:ind w:left="440"/>
        <w:spacing w:after="0" w:line="216" w:lineRule="auto"/>
        <w:rPr>
          <w:sz w:val="20"/>
          <w:szCs w:val="20"/>
          <w:color w:val="auto"/>
        </w:rPr>
      </w:pPr>
      <w:r>
        <w:rPr>
          <w:rFonts w:ascii="Times New Roman" w:cs="Times New Roman" w:eastAsia="Times New Roman" w:hAnsi="Times New Roman"/>
          <w:sz w:val="14"/>
          <w:szCs w:val="14"/>
          <w:color w:val="auto"/>
        </w:rPr>
        <w:t>Tempus Series B-2 Investments, LLC, Tempus Series C Investments, LLC, Tempus Series D Investments, LLC, Tempus Series E Investments, LLC and Tempus Series G Investments, LLC and shares of Class B common stock held by Tempus Series B Investments, LLC will be distributed pro rata to the members of each entity, or the LLC Distributions. Mr. Lefkofsky’s beneficial ownership after the offering gives effect to the LLC Distributions, the Class B Transfer and the receipt of the Additional Class A Conversion Shares in the Additional Class A Conversion Share Issuance, and consists of (i) 27,625,232 shares of Class A common stock (assuming, with respect to the conversion of shares of Series G-3 convertible preferred stock, an initial public offering price of $36.00 per share, the midpoint of the estimated price range set forth on the cover page of this prospectus) and 3,972,878 shares of Class B common stock held by Blue Media, LLC, (ii) 209 shares of Class A common stock and 178,485 shares of Class B common stock held by Black Media, LLC, (iii) 9,607,349 shares of Class A common stock held by Gray Media, LLC, (iv) 145,967 shares of Class A common stock held by Innovation Group Investors, L.P. -Series 1B, (v) 4,084,121 shares of Class A common stock and 892,426 shares of Class B common stock held by Innovation Group Investors, L.P. -2011 Series, (vi) 1,397,602 shares of Class A common stock held by Lightbank Global LLC, (vii) 248,633 shares of Class A common stock held by Lightbank Investments 1B, LLC, (viii) 333,079 shares of Class A common stock held by the Lefkofsky Family Foundation and (ix) 1,400,000 shares of Class A common stock held by Mr. Lefkofsky. Mr. Lefkofsky is the controlling member of, and may be deemed to have shared voting, investment and dispositive power with respect to the shares held by, the aforementioned entities. Prior to this offering, includes 3,953,625 shares of Class A common stock issuable upon settlement of RSUs for which the service-based vesting condition would be satisfied within 60 days of April 15, 2024. After this offering, includes 50,862 shares of Class A common stock issuable to Mr. Lefkofsky pursuant to the RSU Net Settlement and 3,861,148 additional RSUs, for which the service-based vesting condition would be satisfied within 60 days of April 15, 2024.</w:t>
      </w:r>
    </w:p>
    <w:p>
      <w:pPr>
        <w:spacing w:after="0" w:line="1" w:lineRule="exact"/>
        <w:rPr>
          <w:sz w:val="20"/>
          <w:szCs w:val="20"/>
          <w:color w:val="auto"/>
        </w:rPr>
      </w:pPr>
    </w:p>
    <w:p>
      <w:pPr>
        <w:jc w:val="both"/>
        <w:ind w:left="44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16,544,420 shares of Class A common stock held by Red Sky LLC. In May 2024, Keeks, LLC, which beneficially owned more than 5% of our Class A common stock as of April 15, 2024, assigned an aggregate of 16,544,420 and 16,544,419 shares of Class A common stock to Red Sky LLC and BK TL21 LLC, respectively. The information set forth in the table above reflects such assignment as if it had occurred on April 15, 2024. Kimberly Keywell is the controlling shareholder of, and may be deemed to have shared voting, investment and dispositive power with respect to the shares held by, Red Sky LLC. Ms. Keywell executed an irrevocable proxy and power of attorney providing that Bradley A. Keywell may vote and exercise all voting rights with respect to the shares of Class A common stock held by Red Sky LLC until the consummation of this offering.</w:t>
      </w:r>
    </w:p>
    <w:p>
      <w:pPr>
        <w:spacing w:after="0" w:line="1" w:lineRule="exact"/>
        <w:rPr>
          <w:rFonts w:ascii="Times New Roman" w:cs="Times New Roman" w:eastAsia="Times New Roman" w:hAnsi="Times New Roman"/>
          <w:sz w:val="14"/>
          <w:szCs w:val="14"/>
          <w:color w:val="auto"/>
        </w:rPr>
      </w:pPr>
    </w:p>
    <w:p>
      <w:pPr>
        <w:jc w:val="both"/>
        <w:ind w:left="44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16,544,419 shares of Class A common stock held by BK TL21 LLC. In May 2024, Keeks, LLC, which beneficially owned more than 5% of our Class A common stock as of April 15, 2024, assigned an aggregate of 16,544,420 and 16,544,419 shares of Class A common stock to Red Sky LLC and BK TL21 LLC, respectively. The information set forth in the table above reflects such assignment as if it had occurred on April 15, 2024. Bradley A. Keywell is the controlling shareholder of, and may be deemed to have voting, investment and dispositive control over the shares held by, BK TL21 LLC.</w:t>
      </w:r>
    </w:p>
    <w:p>
      <w:pPr>
        <w:jc w:val="both"/>
        <w:ind w:left="44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7,696,632 shares of Class A common stock held by Scottish Mortgage Investment Trust plc, or SMIT, and (ii) 704,677 shares of Class A common stock held by the Schiehallion Fund Limited, or TSFL (in each case, assuming, with respect to the conversion of shares of Series G-3 convertible preferred stock and Series G-4 preferred stock, as applicable, an initial public offering price of $36.00 per share, the midpoint of the estimated price range set forth on the cover page of this prospectus). Baillie Gifford &amp; Co Ltd, as direct investment manager, and its affiliate group entity, Baillie Gifford &amp; Co, on a delegated basis, have been appointed to act for and on behalf of SMIT with full voting and investment power. Baillie Gifford Overseas Limited has been appointed to act for and on behalf of, as direct investment manager, for TSFL with full voting and investment power. The address for SMIT is Calton Square, 1 Greenside Row. Edinburgh, United Kingdom, EH1 3AN, and the address for TSFL is First Floor, Albert House, South Esplanade, St Peter Port, Guernsey, GY1 1AJ.</w:t>
      </w:r>
    </w:p>
    <w:p>
      <w:pPr>
        <w:spacing w:after="0" w:line="1" w:lineRule="exact"/>
        <w:rPr>
          <w:rFonts w:ascii="Times New Roman" w:cs="Times New Roman" w:eastAsia="Times New Roman" w:hAnsi="Times New Roman"/>
          <w:sz w:val="14"/>
          <w:szCs w:val="14"/>
          <w:color w:val="auto"/>
        </w:rPr>
      </w:pPr>
    </w:p>
    <w:p>
      <w:pPr>
        <w:ind w:left="44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represents 200,500 shares of Class A common stock issuable upon settlement of RSUs for which the service-based vesting condition would be satisfied within 60 days of April 15, 2024. After this offering, represents 110,275 shares of Class A common stock issuable to Mr. Rogers in connection with the RSU Net Settlement.</w:t>
      </w:r>
    </w:p>
    <w:p>
      <w:pPr>
        <w:jc w:val="both"/>
        <w:ind w:left="44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(a) 1,000,000 shares of Class A common stock, including (i) 725,664 shares of Class A common stock held by Ryan Fukushima, (ii) 131,893 shares of Class A common stock held by Ryan Fukushima Irrevocable Family Trust, (iii) 47,481 shares of Class A common stock held by Kubo Irrevocable Trust, (iv) 47,481 shares of Class A common stock held by Charlie Olivia Akiko Fukushima Irrevocable Trust and (v) 47,481 shares of Class A common stock held by Fukushima Irrevocable Trust, or collectively, Fukushima Class A common stock, and (b) 429,969 shares of Class A common stock issuable upon settlement of RSUs for which the service-based vesting condition would be satisfied within 60 days of April 15, 2024. After this offering, consists of (a) 1,000,000 shares of Fukushima Class A common stock and (b) 236,482 shares of Class A common stock issuable to Mr. Fukushima in connection with the RSU Net Settlement.</w:t>
      </w:r>
    </w:p>
    <w:p>
      <w:pPr>
        <w:spacing w:after="0" w:line="1" w:lineRule="exact"/>
        <w:rPr>
          <w:rFonts w:ascii="Times New Roman" w:cs="Times New Roman" w:eastAsia="Times New Roman" w:hAnsi="Times New Roman"/>
          <w:sz w:val="14"/>
          <w:szCs w:val="14"/>
          <w:color w:val="auto"/>
        </w:rPr>
      </w:pPr>
    </w:p>
    <w:p>
      <w:pPr>
        <w:ind w:left="44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14,034 shares of Class A common stock to be transferred to Nob Hill Ventures LLC upon the consummation of this offering in the LLC Distributions. Mr. Belcher is the controlling shareholder of, and may be deemed to have shared voting, investment and dispositive power with respect to the shares held by Nob Hill Ventures LLC.</w:t>
      </w:r>
    </w:p>
    <w:p>
      <w:pPr>
        <w:ind w:left="440" w:right="2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16,250 shares of Class A common stock issuable upon settlement of RSUs held by Dr. Doudna for which the service-based vesting condition would be satisfied within 60 days of April 15, 2024.</w:t>
      </w:r>
    </w:p>
    <w:p>
      <w:pPr>
        <w:ind w:left="44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1,000 shares of Class A common stock issuable upon settlement of RSUs held by Mr. Epstein for which the service based vesting condition would be satisfied within 60 days of April 15, 2024.</w:t>
      </w:r>
    </w:p>
    <w:p>
      <w:pPr>
        <w:ind w:left="440" w:right="2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17,500 shares of Class A common stock issuable upon settlement of RSUs held by Dr. Frederick for which the service-based vesting condition would be satisfied within 60 days of April 15, 2024.</w:t>
      </w:r>
    </w:p>
    <w:p>
      <w:pPr>
        <w:ind w:left="440" w:right="2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50,000 shares of Class A common stock issuable upon settlement of RSUs held by Dr. Gottlieb for which the service-based vesting condition would be satisfied within 60 days of April 15, 2024.</w:t>
      </w:r>
    </w:p>
    <w:p>
      <w:pPr>
        <w:jc w:val="both"/>
        <w:ind w:left="440" w:hanging="435"/>
        <w:spacing w:after="0" w:line="214"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3,263,060 shares of Class A common stock held by Revolution Growth III, LP, or RG III, and 210,000 shares of Class A common stock issuable upon the exercise of a stock option held by Revolution Growth Management Company, Inc., or RGMC, that is exercisable within 60 days of April 15, 2024. Mr. Leonsis, as a member of the investment committee of the ultimate general partner of RG III and a member of the board of directors of RGMC, may be deemed to share dispositive power over the shares held by RG III and RGMC. The address for Mr. Leonsis is 1717 Rhode Island Ave., NW, 10th Floor, Washington, DC 20036.</w:t>
      </w:r>
    </w:p>
    <w:p>
      <w:pPr>
        <w:ind w:left="440" w:right="20" w:hanging="435"/>
        <w:spacing w:after="0" w:line="230" w:lineRule="auto"/>
        <w:tabs>
          <w:tab w:leader="none" w:pos="4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16,250 shares of Class A common stock issuable upon settlement of RSUs held by Dr. West for which the service-based vesting condition would be satisfied within 60 days of April 15, 2024.</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241</w:t>
      </w:r>
    </w:p>
    <w:p>
      <w:pPr>
        <w:sectPr>
          <w:pgSz w:w="11900" w:h="16838" w:orient="portrait"/>
          <w:cols w:equalWidth="0" w:num="1">
            <w:col w:w="11300"/>
          </w:cols>
          <w:pgMar w:left="320" w:top="447" w:right="2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8" w:lineRule="exact"/>
        <w:rPr>
          <w:sz w:val="20"/>
          <w:szCs w:val="20"/>
          <w:color w:val="auto"/>
        </w:rPr>
      </w:pPr>
    </w:p>
    <w:p>
      <w:pPr>
        <w:jc w:val="both"/>
        <w:ind w:left="440" w:hanging="435"/>
        <w:spacing w:after="0" w:line="223" w:lineRule="auto"/>
        <w:tabs>
          <w:tab w:leader="none" w:pos="4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offering, consists of (a) 51,267,398 shares of Class A common stock, (b) 5,374,899 shares of Class B common stock, (c) 210,000 shares of Class A common stock issuable upon the exercise of a stock option that is exercisable within 60 days of April 15, 2024 and (d) 5,303,573 shares of Class A common stock issuable upon the settlement of RSUs for which the service-based vesting condition would be satisfied within 60 days of April 15, 2024. After this offering, consists of (a) 49,627,783 shares of Class A common stock, (b) 5,043,789 shares of Class B common stock, (c) 210,000 shares of Class A common stock issuable upon the exercise of a stock option that is exercisable within 60 days of April 15, 2024, (d) 874,544 shares of Class A common stock issuable in the RSU Net Settlement and (e) 3,713,488 shares of Class A common stock issuable upon settlement of RSUs for which the service-based vesting condition would be satisfied within 60 days of April 15, 2024.</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242</w:t>
      </w:r>
    </w:p>
    <w:p>
      <w:pPr>
        <w:sectPr>
          <w:pgSz w:w="11900" w:h="16838" w:orient="portrait"/>
          <w:cols w:equalWidth="0" w:num="1">
            <w:col w:w="11300"/>
          </w:cols>
          <w:pgMar w:left="320" w:top="446" w:right="2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7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Upon the closing of this offering, our authorized capital stock will consist of 1,025,500,000 shares, all with a par value of $0.0001 per share, of which:</w:t>
      </w:r>
    </w:p>
    <w:p>
      <w:pPr>
        <w:spacing w:after="0" w:line="131" w:lineRule="exact"/>
        <w:rPr>
          <w:sz w:val="20"/>
          <w:szCs w:val="20"/>
          <w:color w:val="auto"/>
        </w:rPr>
      </w:pPr>
    </w:p>
    <w:p>
      <w:pPr>
        <w:ind w:left="1000" w:hanging="551"/>
        <w:spacing w:after="0"/>
        <w:tabs>
          <w:tab w:leader="none" w:pos="10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1,000,000,000 shares are designated Class A common stock;</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5,500,000 shares are designated Class B common stock; and</w:t>
      </w:r>
    </w:p>
    <w:p>
      <w:pPr>
        <w:spacing w:after="0" w:line="131"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20,000,000 shares are designated preferred stock.</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March 31, 2024, we had outstanding:</w:t>
      </w:r>
    </w:p>
    <w:p>
      <w:pPr>
        <w:spacing w:after="0" w:line="131" w:lineRule="exact"/>
        <w:rPr>
          <w:sz w:val="20"/>
          <w:szCs w:val="20"/>
          <w:color w:val="auto"/>
        </w:rPr>
      </w:pPr>
    </w:p>
    <w:p>
      <w:pPr>
        <w:jc w:val="both"/>
        <w:ind w:left="1000" w:hanging="551"/>
        <w:spacing w:after="0" w:line="262" w:lineRule="auto"/>
        <w:tabs>
          <w:tab w:leader="none" w:pos="10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148,960,473 shares of Class A common stock, which gives effect to (1) the issuance and sale of 3,489,981 shares of Series G-5 convertible preferred stock in April 2024 as if such issuance and sale had occurred on March 31, 2024; (2) the Preferred Stock Conversion, resulting in 66,935,254 shares of Class A common stock, assuming an initial public offering price of $36.00 per share, the midpoint of the estimated price range set forth on the cover page of this prospectus; (3) the Additional Class A Conversion Share Issuance resulting in the issuance of 5,227,001 Additional Class A Conversion Shares upon the closing of this offering, assuming an initial public offering price of $36.00 per share, the midpoint of the estimated price range set forth on the cover page of this prospectus; (4) the conversion of all outstanding shares of nonvoting common stock into 5,069,477 shares of Class A common stock; (5) the net issuance of 2,527,923 shares of Class A common stock upon the RSU Net Settlement and the issuance of shares of Class A common stock in connection with the Additional RSU Net Settlement; and (6) the Warrant Net Settlement</w:t>
      </w:r>
    </w:p>
    <w:p>
      <w:pPr>
        <w:spacing w:after="0" w:line="83"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5,043,789 shares of Class B common stock, which assumes the Series B Preferred Conversion and Transfer.</w:t>
      </w:r>
    </w:p>
    <w:p>
      <w:pPr>
        <w:spacing w:after="0" w:line="223"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147"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Our outstanding capital stock was held by 92 stockholders of record as of March 31, 2024. Our board of directors is authorized, without stockholder approval except as required by the listing standards of the Nasdaq stock market, to issue additional shares of our capital stock.</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243</w:t>
      </w:r>
    </w:p>
    <w:p>
      <w:pPr>
        <w:sectPr>
          <w:pgSz w:w="11900" w:h="16838" w:orient="portrait"/>
          <w:cols w:equalWidth="0" w:num="1">
            <w:col w:w="11300"/>
          </w:cols>
          <w:pgMar w:left="320" w:top="446" w:right="2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Common Stock and Class B Common Stock</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Class A common stock is entitled to one vote per share on any matter that is submitted to a vote of our stockholders. Holders of our Class B common stock are entitled to 30 votes per share on any matter submitted to 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69"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174"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Our amended and restated certificate of incorporation that will be in effect on the closing of this offering will not provide for cumulative voting for the election of directors.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Economic Rights</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60" w:lineRule="exact"/>
        <w:rPr>
          <w:sz w:val="20"/>
          <w:szCs w:val="20"/>
          <w:color w:val="auto"/>
        </w:rPr>
      </w:pPr>
    </w:p>
    <w:p>
      <w:pPr>
        <w:jc w:val="both"/>
        <w:ind w:firstLine="451"/>
        <w:spacing w:after="0" w:line="270" w:lineRule="auto"/>
        <w:rPr>
          <w:sz w:val="20"/>
          <w:szCs w:val="20"/>
          <w:color w:val="auto"/>
        </w:rPr>
      </w:pPr>
      <w:r>
        <w:rPr>
          <w:rFonts w:ascii="Times New Roman" w:cs="Times New Roman" w:eastAsia="Times New Roman" w:hAnsi="Times New Roman"/>
          <w:sz w:val="17"/>
          <w:szCs w:val="17"/>
          <w:i w:val="1"/>
          <w:iCs w:val="1"/>
          <w:color w:val="auto"/>
        </w:rPr>
        <w:t>Dividends and Distributions</w:t>
      </w:r>
      <w:r>
        <w:rPr>
          <w:rFonts w:ascii="Times New Roman" w:cs="Times New Roman" w:eastAsia="Times New Roman" w:hAnsi="Times New Roman"/>
          <w:sz w:val="17"/>
          <w:szCs w:val="17"/>
          <w:color w:val="auto"/>
        </w:rPr>
        <w:t>. Subject to preferences that may apply to any shares of preferred stock outstanding at the time, the holders of Class A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66" w:lineRule="exact"/>
        <w:rPr>
          <w:sz w:val="20"/>
          <w:szCs w:val="20"/>
          <w:color w:val="auto"/>
        </w:rPr>
      </w:pPr>
    </w:p>
    <w:p>
      <w:pPr>
        <w:jc w:val="both"/>
        <w:ind w:right="20" w:firstLine="451"/>
        <w:spacing w:after="0" w:line="270" w:lineRule="auto"/>
        <w:rPr>
          <w:sz w:val="20"/>
          <w:szCs w:val="20"/>
          <w:color w:val="auto"/>
        </w:rPr>
      </w:pPr>
      <w:r>
        <w:rPr>
          <w:rFonts w:ascii="Times New Roman" w:cs="Times New Roman" w:eastAsia="Times New Roman" w:hAnsi="Times New Roman"/>
          <w:sz w:val="17"/>
          <w:szCs w:val="17"/>
          <w:i w:val="1"/>
          <w:iCs w:val="1"/>
          <w:color w:val="auto"/>
        </w:rPr>
        <w:t>Liquidation Rights</w:t>
      </w:r>
      <w:r>
        <w:rPr>
          <w:rFonts w:ascii="Times New Roman" w:cs="Times New Roman" w:eastAsia="Times New Roman" w:hAnsi="Times New Roman"/>
          <w:sz w:val="17"/>
          <w:szCs w:val="17"/>
          <w:color w:val="auto"/>
        </w:rPr>
        <w:t>. On our liquidation, dissolution, or winding-up, the holders of Class A common stock and Class B common stock will be entitled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66" w:lineRule="exact"/>
        <w:rPr>
          <w:sz w:val="20"/>
          <w:szCs w:val="20"/>
          <w:color w:val="auto"/>
        </w:rPr>
      </w:pPr>
    </w:p>
    <w:p>
      <w:pPr>
        <w:jc w:val="both"/>
        <w:ind w:firstLine="451"/>
        <w:spacing w:after="0" w:line="270" w:lineRule="auto"/>
        <w:rPr>
          <w:sz w:val="20"/>
          <w:szCs w:val="20"/>
          <w:color w:val="auto"/>
        </w:rPr>
      </w:pPr>
      <w:r>
        <w:rPr>
          <w:rFonts w:ascii="Times New Roman" w:cs="Times New Roman" w:eastAsia="Times New Roman" w:hAnsi="Times New Roman"/>
          <w:sz w:val="17"/>
          <w:szCs w:val="17"/>
          <w:i w:val="1"/>
          <w:iCs w:val="1"/>
          <w:color w:val="auto"/>
        </w:rPr>
        <w:t>Change of Control Transactions</w:t>
      </w:r>
      <w:r>
        <w:rPr>
          <w:rFonts w:ascii="Times New Roman" w:cs="Times New Roman" w:eastAsia="Times New Roman" w:hAnsi="Times New Roman"/>
          <w:sz w:val="17"/>
          <w:szCs w:val="17"/>
          <w:color w:val="auto"/>
        </w:rPr>
        <w:t>. The holders of Class A common stock and Class B common stock will be treated equally and identically with respect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244</w:t>
      </w:r>
    </w:p>
    <w:p>
      <w:pPr>
        <w:sectPr>
          <w:pgSz w:w="11900" w:h="16838" w:orient="portrait"/>
          <w:cols w:equalWidth="0" w:num="1">
            <w:col w:w="11300"/>
          </w:cols>
          <w:pgMar w:left="320" w:top="446" w:right="2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386" w:lineRule="exact"/>
        <w:rPr>
          <w:sz w:val="20"/>
          <w:szCs w:val="20"/>
          <w:color w:val="auto"/>
        </w:rPr>
      </w:pPr>
    </w:p>
    <w:p>
      <w:pPr>
        <w:jc w:val="both"/>
        <w:ind w:firstLine="451"/>
        <w:spacing w:after="0" w:line="298" w:lineRule="auto"/>
        <w:rPr>
          <w:sz w:val="20"/>
          <w:szCs w:val="20"/>
          <w:color w:val="auto"/>
        </w:rPr>
      </w:pPr>
      <w:r>
        <w:rPr>
          <w:rFonts w:ascii="Times New Roman" w:cs="Times New Roman" w:eastAsia="Times New Roman" w:hAnsi="Times New Roman"/>
          <w:sz w:val="17"/>
          <w:szCs w:val="17"/>
          <w:i w:val="1"/>
          <w:iCs w:val="1"/>
          <w:color w:val="auto"/>
        </w:rPr>
        <w:t>Subdivisions and Combinations</w:t>
      </w:r>
      <w:r>
        <w:rPr>
          <w:rFonts w:ascii="Times New Roman" w:cs="Times New Roman" w:eastAsia="Times New Roman" w:hAnsi="Times New Roman"/>
          <w:sz w:val="17"/>
          <w:szCs w:val="17"/>
          <w:color w:val="auto"/>
        </w:rPr>
        <w:t>. If we subdivide or combine in any manner outstanding shares of Class A common stock or Class B common stock,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shares of the other classes will be subdivided or combined in the same manner.</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No Preemptive or Similar Rights</w:t>
      </w:r>
    </w:p>
    <w:p>
      <w:pPr>
        <w:spacing w:after="0" w:line="12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Conversion</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69"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trading day that is no less than 90 days and no more than 150 days following the twenty-year anniversary of the filing of our amended and restated certificate of incorporation, in connection with the closing of this offering; (3) the date on which Mr. Lefkofsky is no longer providing services to us as an executive officer or member of our board of directors; and</w:t>
      </w:r>
    </w:p>
    <w:p>
      <w:pPr>
        <w:spacing w:after="0" w:line="1" w:lineRule="exact"/>
        <w:rPr>
          <w:sz w:val="20"/>
          <w:szCs w:val="20"/>
          <w:color w:val="auto"/>
        </w:rPr>
      </w:pPr>
    </w:p>
    <w:p>
      <w:pPr>
        <w:ind w:right="20" w:firstLine="5"/>
        <w:spacing w:after="0" w:line="273" w:lineRule="auto"/>
        <w:tabs>
          <w:tab w:leader="none" w:pos="24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day that is no less than 90 days and no more than 150 days following the date that Mr. Lefkofsky and his controlled entities hold, in the aggregate, fewer than 10,000,000 shares of our capital stock (as adjusted for stock splits, stock dividends, combinations, subdivisions and recapitalizations).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Once transferred and converted into Class A common stock, the Class B common stock may not be reissued.</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Fully Paid and Non-Assessable</w:t>
      </w:r>
    </w:p>
    <w:p>
      <w:pPr>
        <w:spacing w:after="0" w:line="122"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In connection with this offering, our legal counsel will opine that the shares of our Class A common stock to be issued under this offering will be fully paid and non-assessable.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Promissory Note</w:t>
      </w:r>
    </w:p>
    <w:p>
      <w:pPr>
        <w:spacing w:after="0" w:line="120"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In June 2020, in connection with our entry into an agreement for use of Google LLC’s, or Google’s, Google Cloud Platform, we issued Google a convertible promissory note, or the Note, in the original principal amount 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245</w:t>
      </w:r>
    </w:p>
    <w:p>
      <w:pPr>
        <w:sectPr>
          <w:pgSz w:w="11900" w:h="16838" w:orient="portrait"/>
          <w:cols w:equalWidth="0" w:num="1">
            <w:col w:w="11300"/>
          </w:cols>
          <w:pgMar w:left="320" w:top="446" w:right="2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March 31, 2024, the value of the Amended Note was $186.7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 upon exercise of the warrant will be determined based on the initial public offering price in this offering (2,777,778 shares of Class A common stock, assuming an initial public offering price of $36.00 per share, the midpoint of the estimated price range set forth on the cover page of 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Collaboration—AstraZeneca Master Services Agreement.”</w:t>
      </w:r>
    </w:p>
    <w:p>
      <w:pPr>
        <w:spacing w:after="0" w:line="178"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December 2023, in connection with our entry into a letter agreement with Allen for certain financial advisory services provided by Allen to us, we issued, as compensation for such services, a warrant to Allen to purchase up to 150,000 shares of our Class A common stock at an exercise price of $10.00 per share, subject to adjustments provided therein. Pursuant to the Warrant Net Exercise, Allen will receive 108,333 shares of Class A common stock following this offering (assuming an initial public offering price of $36.00 per share, the midpoint of the estimated price range set forth on the cover page of this prospectus).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As of March 31, 2024, there were 67,093,065 shares of our convertible preferred stock outstanding (including 3,489,981 shares of Series G-5 convertible preferred stock issued in April 2024).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 offering, we expect to issue 5,227,001 additional shares of Class A common stock upon the conversion of all of our outstanding shares of our preferred stock, pursuant to provisions of our certificate of incorporation as currently in effect, assuming an initial public offering price of $36.00 per share, the midpoint of the estimated price range set forth on the cover page of this prospectus, which we refer to as the Additional Class A Conversion Shares. See “Prospectus Summary—The Offering—Additional Class A Conversion Shares” for additional information.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246</w:t>
      </w:r>
    </w:p>
    <w:p>
      <w:pPr>
        <w:sectPr>
          <w:pgSz w:w="11900" w:h="16838" w:orient="portrait"/>
          <w:cols w:equalWidth="0" w:num="1">
            <w:col w:w="11300"/>
          </w:cols>
          <w:pgMar w:left="320" w:top="447" w:right="2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 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March 31, 2024, we had outstanding a stock option to purchase 210,000 shares under the 2015 Plan.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 (RSUs)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March 31, 2024, we had outstanding 20,793,305 RSUs under the 2015 Plan.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Performance-Vesting Restricted Stock Units (PSUs)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March 31, 2024, we had no outstanding PSUs under the 2015 Plan.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Stockholder Registration Rights</w:t>
      </w:r>
    </w:p>
    <w:p>
      <w:pPr>
        <w:spacing w:after="0" w:line="12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April 2024.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71"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See “Prospectus Summary—The Offering—Additional Class A Conversion Shares” for a description of the Additional Class A Conversion Shares, as the number of Additional Class A Conversion Shares that will be issued depends on the initial public offering price of our Class A common stock.</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247</w:t>
      </w:r>
    </w:p>
    <w:p>
      <w:pPr>
        <w:sectPr>
          <w:pgSz w:w="11900" w:h="16838" w:orient="portrait"/>
          <w:cols w:equalWidth="0" w:num="1">
            <w:col w:w="11300"/>
          </w:cols>
          <w:pgMar w:left="320" w:top="446" w:right="2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Demand Registration Rights</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holders of an aggregate of 135,574,005 shares of our Class A common stock and Class B common stock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Piggyback Registration Rights</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connection with this offering, the holders of an aggregate of 135,574,005 shares of our Class A common stock and Class B common stock (after giving effect to the issuance of Series G-5 preferred stock in April 2024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00" w:lineRule="exact"/>
        <w:rPr>
          <w:sz w:val="20"/>
          <w:szCs w:val="20"/>
          <w:color w:val="auto"/>
        </w:rPr>
      </w:pP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Form S-3 Registration Rights</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holders of an aggregate of at least 20% of the then outstanding shares of Class A common stock and Class B common stock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Certificate of Incorporation and Bylaws to Be in Effect on the Closing of this Offering</w:t>
      </w:r>
    </w:p>
    <w:p>
      <w:pPr>
        <w:spacing w:after="0" w:line="12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388"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248</w:t>
      </w:r>
    </w:p>
    <w:p>
      <w:pPr>
        <w:sectPr>
          <w:pgSz w:w="11900" w:h="16838" w:orient="portrait"/>
          <w:cols w:equalWidth="0" w:num="1">
            <w:col w:w="11300"/>
          </w:cols>
          <w:pgMar w:left="320" w:top="447" w:right="2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 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73"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69"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Section 203 of the Delaware General Corporation Law</w:t>
      </w:r>
    </w:p>
    <w:p>
      <w:pPr>
        <w:spacing w:after="0" w:line="12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Choice of Forum</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249</w:t>
      </w:r>
    </w:p>
    <w:p>
      <w:pPr>
        <w:sectPr>
          <w:pgSz w:w="11900" w:h="16838" w:orient="portrait"/>
          <w:cols w:equalWidth="0" w:num="1">
            <w:col w:w="11300"/>
          </w:cols>
          <w:pgMar w:left="320" w:top="446" w:right="2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statement made by that person or entity and who has prepared or certified any part of the documents underlying the offering. Investors cannot waive compliance with the federal securities laws and the rules and regulations thereunder.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of Liability and Indemnification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the section titled “Executive Compensation—Limitations of Liability and Indemnification Matters.”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Listing</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Our Class A common stock is currently not listed on any securities exchange. Our Class A common stock has been approved for listing on the Nasdaq Global Select Market under the symbol “TEM.”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20" w:lineRule="exact"/>
        <w:rPr>
          <w:sz w:val="20"/>
          <w:szCs w:val="20"/>
          <w:color w:val="auto"/>
        </w:rPr>
      </w:pPr>
    </w:p>
    <w:p>
      <w:pPr>
        <w:jc w:val="both"/>
        <w:ind w:firstLine="451"/>
        <w:spacing w:after="0" w:line="288" w:lineRule="auto"/>
        <w:rPr>
          <w:sz w:val="20"/>
          <w:szCs w:val="20"/>
          <w:color w:val="auto"/>
        </w:rPr>
      </w:pPr>
      <w:r>
        <w:rPr>
          <w:rFonts w:ascii="Times New Roman" w:cs="Times New Roman" w:eastAsia="Times New Roman" w:hAnsi="Times New Roman"/>
          <w:sz w:val="17"/>
          <w:szCs w:val="17"/>
          <w:color w:val="auto"/>
        </w:rPr>
        <w:t>On the closing of this offering, the transfer agent and registrar for our Class A common stock and Class B common stock will be Equiniti Trust Company, LLC (formerly known as American Stock Transfer &amp; Trust Company, LLC). The transfer agent’s address is 55 Challenger Road, Ridgefield Park, New Jersey 07660.</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250</w:t>
      </w:r>
    </w:p>
    <w:p>
      <w:pPr>
        <w:sectPr>
          <w:pgSz w:w="11900" w:h="16838" w:orient="portrait"/>
          <w:cols w:equalWidth="0" w:num="1">
            <w:col w:w="11300"/>
          </w:cols>
          <w:pgMar w:left="320" w:top="446" w:right="2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p>
      <w:pPr>
        <w:spacing w:after="0" w:line="225"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6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Upon the closing of this offering, a total of 160,060,473 shares of Class A common stock and 5,043,789 shares of Class B common stock will be outstanding, assuming (i) the Series B Preferred Stock Conversion and Transfer resulting in 5,043,789 shares of Class B common stock outstanding immediately following the consummation of this offering, (ii) the issuance and sale of 3,489,981 shares of Series G-5 convertible preferred stock in April 2024 as if such issuance and sale had occurred on March 31, 2024, (iii) the Preferred Stock Conversion, assuming an initial public offering price of $36.00 per share, the midpoint of the estimated price range set forth on the cover page of this prospectus, (iv) the Additional Class A Conversion Share Issuance resulting in 5,227,001 Additional Class A Conversion Shares, assuming an initial public offering price of $36.00 per share, the midpoint of the estimated price range set forth on the cover page of this prospectus, (v) the automatic conversion of all outstanding shares of our nonvoting common stock into 5,069,477 shares of Class A common stock, and (vi) the net issuance of 2,527,923 shares of Class A common stock upon the RSU Net Settlement. Of these shares, all of the Class A common stock sold in this offering by us, plus any shares sold by us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w:t>
      </w:r>
    </w:p>
    <w:p>
      <w:pPr>
        <w:spacing w:after="0" w:line="39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addition, there were 210,000 shares of Class A common stock issuable upon the exercise of a stock option outstanding as of March 31, 2024 and we intend to register all of the shares of Class A common stock issued upon the exercise of the outstanding option, settlement of outstanding RSUs and other equity incentives we may grant in the future for resale under the Securities Act.</w:t>
      </w:r>
    </w:p>
    <w:p>
      <w:pPr>
        <w:spacing w:after="0" w:line="16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AstraZeneca also holds an outstanding warrant, pursuant to which AstraZeneca has the right to purchase $100 million in shares of our Class A common stock at an exercise price equal to the public offering price in this offering. The shares of Class A common stock will become eligible for sale in the public market to the extent such warrant is exercised, subject to the market standoff provisions included in such agreement and described in the section titled “Underwriting” and compliance with applicable securities laws. In addition, pursuant to the Warrant Net Exercise, Allen, an underwriter in this offering, will receive 108,333 shares of Class A common stock following this offering (assuming an initial public offering price of $36.00 per share, the midpoint of the estimated price range set forth on the cover page of this prospectus). The shares of Class A common stock issued pursuant to the Warrant Net Exercise will become eligible for sale in the public market, subject to the market standoff provision contained in the Allen warrant agreement and described in the section titled “Underwriting” and compliance with applicable securities laws.</w:t>
      </w:r>
    </w:p>
    <w:p>
      <w:pPr>
        <w:spacing w:after="0" w:line="175"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remaining shares of Class A common stock and Class B common stock will be, and shares of Class A common stock issued on settlement of RSUs or exercise of options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251</w:t>
      </w:r>
    </w:p>
    <w:p>
      <w:pPr>
        <w:sectPr>
          <w:pgSz w:w="11900" w:h="16838" w:orient="portrait"/>
          <w:cols w:equalWidth="0" w:num="1">
            <w:col w:w="11300"/>
          </w:cols>
          <w:pgMar w:left="320" w:top="446" w:right="2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Subject to the lock-up and market standoff agreements described below and the provisions of Rule 144 or 701 or Regulation S under the Securities Act, as well as our insider trading policy, these restricted securities will be available for sale in the public market as follows:</w:t>
      </w:r>
    </w:p>
    <w:p>
      <w:pPr>
        <w:sectPr>
          <w:pgSz w:w="11900" w:h="16838" w:orient="portrait"/>
          <w:cols w:equalWidth="0" w:num="1">
            <w:col w:w="11300"/>
          </w:cols>
          <w:pgMar w:left="320" w:top="446" w:right="27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Earliest Date Available for Sale in the Public Market</w:t>
      </w:r>
    </w:p>
    <w:p>
      <w:pPr>
        <w:spacing w:after="0" w:line="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the closing price of our Class A common stock on The Nasdaq Stock Market LLC is at least 30% greater than the initial public offering price per share set forth on the cover page of this prospectus for (i) any 10 trading days (which need not be consecutive trading days) during the period ending on, and including, the date that we publicly announce our earnings for the first completed quarterly period following the most recent period for which financial statements are included in this prospectus, or the Initial Earnings Release, and (ii) any one trading day following the Initial Earnings Release, then the later of (a) the date on which the conditions set forth in both (i) and (ii) above are satisfied and (b) two trading days following our Initial Earnings Release.</w:t>
      </w:r>
    </w:p>
    <w:p>
      <w:pPr>
        <w:spacing w:after="0" w:line="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180 days after the date of this prospectus unless such date falls within one of our quarterly blackout periods under our insider trading policy, in which case the restricted period will expire on the date that is the later of (i) 10 trading days prior to the date such blackout period begins and (ii) the 150th day after the date of this prospectus.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Number of Shares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46,201,278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5806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80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All remaining shares held by our stockholders not previously eligible for sale, subject to applicable limitations under Rule 144, including for “affiliates” and compliance with other applicable law, as described below.</w:t>
      </w:r>
    </w:p>
    <w:p>
      <w:pPr>
        <w:spacing w:after="0" w:line="169" w:lineRule="exact"/>
        <w:rPr>
          <w:sz w:val="20"/>
          <w:szCs w:val="20"/>
          <w:color w:val="auto"/>
        </w:rPr>
      </w:pPr>
    </w:p>
    <w:p>
      <w:pPr>
        <w:sectPr>
          <w:pgSz w:w="11900" w:h="16838" w:orient="portrait"/>
          <w:cols w:equalWidth="0" w:num="2">
            <w:col w:w="7000" w:space="240"/>
            <w:col w:w="4060"/>
          </w:cols>
          <w:pgMar w:left="320" w:top="446" w:right="279" w:bottom="1440" w:gutter="0" w:footer="0" w:header="0"/>
          <w:type w:val="continuous"/>
        </w:sect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pursuant to certain exceptions in the lock-up agreements and because of our ability to release RSU holders early under the market standoff agreements, certain shares of our Class A common stock will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w:t>
      </w:r>
    </w:p>
    <w:p>
      <w:pPr>
        <w:sectPr>
          <w:pgSz w:w="11900" w:h="16838" w:orient="portrait"/>
          <w:cols w:equalWidth="0" w:num="1">
            <w:col w:w="11300"/>
          </w:cols>
          <w:pgMar w:left="320" w:top="44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u w:val="single" w:color="auto"/>
          <w:color w:val="auto"/>
        </w:rPr>
        <w:t>Date First Available for Sale into the Market</w:t>
      </w:r>
    </w:p>
    <w:p>
      <w:pPr>
        <w:spacing w:after="0" w:line="34"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7"/>
          <w:szCs w:val="17"/>
          <w:color w:val="auto"/>
        </w:rPr>
        <w:t>91 days after the date of this prospectus (or the next trading day if such date is not a trading day)</w:t>
      </w:r>
    </w:p>
    <w:p>
      <w:pPr>
        <w:spacing w:after="0" w:line="1"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120 days after the date of this prospectus (or the next trading day if such date is not a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886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2640" w:type="dxa"/>
            <w:vAlign w:val="bottom"/>
            <w:gridSpan w:val="2"/>
          </w:tcPr>
          <w:p>
            <w:pPr>
              <w:jc w:val="center"/>
              <w:ind w:left="893"/>
              <w:spacing w:after="0"/>
              <w:rPr>
                <w:sz w:val="20"/>
                <w:szCs w:val="20"/>
                <w:color w:val="auto"/>
              </w:rPr>
            </w:pPr>
            <w:r>
              <w:rPr>
                <w:rFonts w:ascii="Times New Roman" w:cs="Times New Roman" w:eastAsia="Times New Roman" w:hAnsi="Times New Roman"/>
                <w:sz w:val="17"/>
                <w:szCs w:val="17"/>
                <w:b w:val="1"/>
                <w:bCs w:val="1"/>
                <w:color w:val="auto"/>
              </w:rPr>
              <w:t>Approximate Number</w:t>
            </w:r>
          </w:p>
        </w:tc>
      </w:tr>
      <w:tr>
        <w:trPr>
          <w:trHeight w:val="209"/>
        </w:trPr>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Shares of Class A</w:t>
            </w:r>
          </w:p>
        </w:tc>
      </w:tr>
      <w:tr>
        <w:trPr>
          <w:trHeight w:val="209"/>
        </w:trPr>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to be</w:t>
            </w:r>
          </w:p>
        </w:tc>
      </w:tr>
      <w:tr>
        <w:trPr>
          <w:trHeight w:val="209"/>
        </w:trPr>
        <w:tc>
          <w:tcPr>
            <w:tcW w:w="1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9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Sold in Sell-to-Cover</w:t>
            </w:r>
          </w:p>
        </w:tc>
      </w:tr>
      <w:tr>
        <w:trPr>
          <w:trHeight w:val="229"/>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Eligible to Settle</w:t>
            </w:r>
          </w:p>
        </w:tc>
        <w:tc>
          <w:tcPr>
            <w:tcW w:w="98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Transactions</w:t>
            </w:r>
            <w:r>
              <w:rPr>
                <w:rFonts w:ascii="Times New Roman" w:cs="Times New Roman" w:eastAsia="Times New Roman" w:hAnsi="Times New Roman"/>
                <w:sz w:val="17"/>
                <w:szCs w:val="17"/>
                <w:color w:val="auto"/>
                <w:w w:val="98"/>
                <w:vertAlign w:val="superscript"/>
              </w:rPr>
              <w:t>(1)</w:t>
            </w:r>
          </w:p>
        </w:tc>
      </w:tr>
      <w:tr>
        <w:trPr>
          <w:trHeight w:val="220"/>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5,362,261</w:t>
            </w:r>
          </w:p>
        </w:tc>
        <w:tc>
          <w:tcPr>
            <w:tcW w:w="980" w:type="dxa"/>
            <w:vAlign w:val="bottom"/>
          </w:tcPr>
          <w:p>
            <w:pPr>
              <w:spacing w:after="0"/>
              <w:rPr>
                <w:sz w:val="19"/>
                <w:szCs w:val="19"/>
                <w:color w:val="auto"/>
              </w:rPr>
            </w:pPr>
          </w:p>
        </w:tc>
        <w:tc>
          <w:tcPr>
            <w:tcW w:w="166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w w:val="99"/>
              </w:rPr>
              <w:t>2,413,017</w:t>
            </w:r>
          </w:p>
        </w:tc>
      </w:tr>
      <w:tr>
        <w:trPr>
          <w:trHeight w:val="439"/>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5,362,262</w:t>
            </w:r>
          </w:p>
        </w:tc>
        <w:tc>
          <w:tcPr>
            <w:tcW w:w="2640" w:type="dxa"/>
            <w:vAlign w:val="bottom"/>
            <w:gridSpan w:val="2"/>
          </w:tcPr>
          <w:p>
            <w:pPr>
              <w:jc w:val="right"/>
              <w:ind w:right="873"/>
              <w:spacing w:after="0"/>
              <w:rPr>
                <w:sz w:val="20"/>
                <w:szCs w:val="20"/>
                <w:color w:val="auto"/>
              </w:rPr>
            </w:pPr>
            <w:r>
              <w:rPr>
                <w:rFonts w:ascii="Times New Roman" w:cs="Times New Roman" w:eastAsia="Times New Roman" w:hAnsi="Times New Roman"/>
                <w:sz w:val="17"/>
                <w:szCs w:val="17"/>
                <w:color w:val="auto"/>
              </w:rPr>
              <w:t>2,413,018</w:t>
            </w:r>
          </w:p>
        </w:tc>
      </w:tr>
    </w:tbl>
    <w:p>
      <w:pPr>
        <w:spacing w:after="0" w:line="387" w:lineRule="exact"/>
        <w:rPr>
          <w:sz w:val="20"/>
          <w:szCs w:val="20"/>
          <w:color w:val="auto"/>
        </w:rPr>
      </w:pPr>
    </w:p>
    <w:p>
      <w:pPr>
        <w:sectPr>
          <w:pgSz w:w="11900" w:h="16838" w:orient="portrait"/>
          <w:cols w:equalWidth="0" w:num="2">
            <w:col w:w="6680" w:space="720"/>
            <w:col w:w="3900"/>
          </w:cols>
          <w:pgMar w:left="320" w:top="446" w:right="279" w:bottom="1440" w:gutter="0" w:footer="0" w:header="0"/>
          <w:type w:val="continuous"/>
        </w:sectPr>
      </w:pPr>
    </w:p>
    <w:p>
      <w:pPr>
        <w:ind w:left="440" w:right="20" w:hanging="435"/>
        <w:spacing w:after="0" w:line="211" w:lineRule="auto"/>
        <w:tabs>
          <w:tab w:leader="none" w:pos="4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a 45% tax rate. Includes an estimated approximately 868,758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7"/>
          <w:szCs w:val="17"/>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day following the date of this prospectus in respect of settlement of RSUs held by our Chief Executive Officer.</w:t>
      </w:r>
    </w:p>
    <w:p>
      <w:pPr>
        <w:spacing w:after="0" w:line="193"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252</w:t>
      </w:r>
    </w:p>
    <w:p>
      <w:pPr>
        <w:sectPr>
          <w:pgSz w:w="11900" w:h="16838" w:orient="portrait"/>
          <w:cols w:equalWidth="0" w:num="1">
            <w:col w:w="11300"/>
          </w:cols>
          <w:pgMar w:left="320" w:top="446" w:right="279" w:bottom="1440" w:gutter="0" w:footer="0" w:header="0"/>
          <w:type w:val="continuous"/>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and market standoff agreements described below.</w:t>
      </w:r>
    </w:p>
    <w:p>
      <w:pPr>
        <w:spacing w:after="0" w:line="175" w:lineRule="exact"/>
        <w:rPr>
          <w:sz w:val="20"/>
          <w:szCs w:val="20"/>
          <w:color w:val="auto"/>
        </w:rPr>
      </w:pPr>
    </w:p>
    <w:p>
      <w:pPr>
        <w:jc w:val="both"/>
        <w:ind w:firstLine="451"/>
        <w:spacing w:after="0" w:line="273" w:lineRule="auto"/>
        <w:rPr>
          <w:sz w:val="20"/>
          <w:szCs w:val="20"/>
          <w:color w:val="auto"/>
        </w:rPr>
      </w:pPr>
      <w:r>
        <w:rPr>
          <w:rFonts w:ascii="Times New Roman" w:cs="Times New Roman" w:eastAsia="Times New Roman" w:hAnsi="Times New Roman"/>
          <w:sz w:val="17"/>
          <w:szCs w:val="17"/>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287" w:lineRule="exact"/>
        <w:rPr>
          <w:sz w:val="20"/>
          <w:szCs w:val="20"/>
          <w:color w:val="auto"/>
        </w:rPr>
      </w:pPr>
    </w:p>
    <w:p>
      <w:pPr>
        <w:ind w:left="1000" w:right="20" w:hanging="551"/>
        <w:spacing w:after="0" w:line="295" w:lineRule="auto"/>
        <w:tabs>
          <w:tab w:leader="none" w:pos="10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number of shares of Class A common stock then outstanding, which will equal approximately 1,600,605 shares immediately after this offering; or</w:t>
      </w:r>
    </w:p>
    <w:p>
      <w:pPr>
        <w:spacing w:after="0" w:line="55"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trading volume of our Class A common stock on the Nasdaq Stock Market during the four calendar weeks preceding the filing of a notice on Form 144 with respect to such sale.</w:t>
      </w:r>
    </w:p>
    <w:p>
      <w:pPr>
        <w:spacing w:after="0" w:line="14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701</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and market standoff agreements described below.</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S-8 Registration Statements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with the SEC to register the offer and sale of shares of our Class A common stock that are issuable under the 2015 Plan, the 2024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and Market Standoff Agreements</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We, all of our directors, executive officers, and the holders of substantially all of our common stock and securities exercisable for or convertible into our common stock outstanding immediately prior to the closing of this offering (except for the RSUs previously issued to our employees other than our executive officers, including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253</w:t>
      </w:r>
    </w:p>
    <w:p>
      <w:pPr>
        <w:sectPr>
          <w:pgSz w:w="11900" w:h="16838" w:orient="portrait"/>
          <w:cols w:equalWidth="0" w:num="1">
            <w:col w:w="11300"/>
          </w:cols>
          <w:pgMar w:left="320" w:top="447" w:right="2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RSUs that will settle in connection with the RSU Net Settlement or the Additional RSU Settlement and the warrants issued to Allen and AstraZeneca), have agreed with the underwriters that, until 180 days (or, subject to certain conditions described in the section titled “Underwriting,” a shorter period) after the date of this prospectus, or the restricted period,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In addition, the restricted period may be shortened with respect to a portion of the locked-up securities under certain circumstances and the lock-up agreements are subject to a number of important exceptions, all of which are described in the section titled “Underwriting”. Morgan Stanley &amp; Co. LLC and J.P. Morgan Securities LLC may release any of the securities subject to these lock-up agreements at any time, subject to applicable notice requirements. In addition to the restrictions contained in the lock-up agreements, we have entered into market standoff agreements with substantially all of our RSU holders, including the holders of RSUs that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w:t>
      </w:r>
    </w:p>
    <w:p>
      <w:pPr>
        <w:spacing w:after="0" w:line="177"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addition to the restrictions contained in the lock-up agreements described above, we have entered into agreements with all of our RSU holders that contain market standoff provisions imposing restrictions on the ability of such security holders to offer, sell or transfer our equity securities for a period of 180 days following the date of this prospectus. If not earlier released, all of the shares of Class A common stock not sold in this offering will become eligible for sale upon expiration of the restricted period, except for any shares held by our affiliates as defined in Rule 144.</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Upon the closing of this offering, the holders of an aggregate of 135,574,005 shares of our Class A common stock and Class B common stock, or their transferees,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254</w:t>
      </w:r>
    </w:p>
    <w:p>
      <w:pPr>
        <w:sectPr>
          <w:pgSz w:w="11900" w:h="16838" w:orient="portrait"/>
          <w:cols w:equalWidth="0" w:num="1">
            <w:col w:w="11300"/>
          </w:cols>
          <w:pgMar w:left="320" w:top="446" w:right="2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 TO NON-U.S. HOLDERS OF OUR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100" w:lineRule="exact"/>
        <w:rPr>
          <w:sz w:val="20"/>
          <w:szCs w:val="20"/>
          <w:color w:val="auto"/>
        </w:rPr>
      </w:pPr>
    </w:p>
    <w:p>
      <w:pPr>
        <w:jc w:val="both"/>
        <w:ind w:firstLine="451"/>
        <w:spacing w:after="0" w:line="258" w:lineRule="auto"/>
        <w:rPr>
          <w:sz w:val="20"/>
          <w:szCs w:val="20"/>
          <w:color w:val="auto"/>
        </w:rPr>
      </w:pPr>
      <w:r>
        <w:rPr>
          <w:rFonts w:ascii="Times New Roman" w:cs="Times New Roman" w:eastAsia="Times New Roman" w:hAnsi="Times New Roman"/>
          <w:sz w:val="17"/>
          <w:szCs w:val="17"/>
          <w:color w:val="auto"/>
        </w:rPr>
        <w:t>The following summary describes certain material U.S. federal income tax consequences to Non-U.S. Holders (as defined below) of the ownership, and disposition of our Class A common stock acquired in this offering. This discussion is not a complete analysis of all potential U.S. federal income tax consequences relating thereto, and does not address non-U.S.,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(as defined below)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Internal Revenue Code, of 1986, as amended or the Code, and Treasury Regulations, administrative announcements and rulings of the Internal Revenue Service, or the IRS,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397"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non-U.S. tax consequences.</w:t>
      </w:r>
    </w:p>
    <w:p>
      <w:pPr>
        <w:spacing w:after="0" w:line="16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70" w:lineRule="exact"/>
        <w:rPr>
          <w:sz w:val="20"/>
          <w:szCs w:val="20"/>
          <w:color w:val="auto"/>
        </w:rPr>
      </w:pPr>
    </w:p>
    <w:p>
      <w:pPr>
        <w:ind w:left="1000" w:hanging="551"/>
        <w:spacing w:after="0"/>
        <w:tabs>
          <w:tab w:leader="none" w:pos="10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31" w:lineRule="exact"/>
        <w:rPr>
          <w:rFonts w:ascii="Times New Roman" w:cs="Times New Roman" w:eastAsia="Times New Roman" w:hAnsi="Times New Roman"/>
          <w:sz w:val="17"/>
          <w:szCs w:val="17"/>
          <w:color w:val="auto"/>
        </w:rPr>
      </w:pPr>
    </w:p>
    <w:p>
      <w:pPr>
        <w:ind w:left="1000" w:right="20" w:hanging="551"/>
        <w:spacing w:after="0" w:line="295" w:lineRule="auto"/>
        <w:tabs>
          <w:tab w:leader="none" w:pos="10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55" w:lineRule="exact"/>
        <w:rPr>
          <w:rFonts w:ascii="Times New Roman" w:cs="Times New Roman" w:eastAsia="Times New Roman" w:hAnsi="Times New Roman"/>
          <w:sz w:val="17"/>
          <w:szCs w:val="17"/>
          <w:color w:val="auto"/>
        </w:rPr>
      </w:pPr>
    </w:p>
    <w:p>
      <w:pPr>
        <w:ind w:left="1000" w:hanging="551"/>
        <w:spacing w:after="0"/>
        <w:tabs>
          <w:tab w:leader="none" w:pos="10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131" w:lineRule="exact"/>
        <w:rPr>
          <w:rFonts w:ascii="Times New Roman" w:cs="Times New Roman" w:eastAsia="Times New Roman" w:hAnsi="Times New Roman"/>
          <w:sz w:val="17"/>
          <w:szCs w:val="17"/>
          <w:color w:val="auto"/>
        </w:rPr>
      </w:pPr>
    </w:p>
    <w:p>
      <w:pPr>
        <w:ind w:left="1000" w:hanging="551"/>
        <w:spacing w:after="0" w:line="295" w:lineRule="auto"/>
        <w:tabs>
          <w:tab w:leader="none" w:pos="10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255</w:t>
      </w:r>
    </w:p>
    <w:p>
      <w:pPr>
        <w:sectPr>
          <w:pgSz w:w="11900" w:h="16838" w:orient="portrait"/>
          <w:cols w:equalWidth="0" w:num="1">
            <w:col w:w="11300"/>
          </w:cols>
          <w:pgMar w:left="320" w:top="446" w:right="2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120"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386"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75"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 on Disposition of Our Class A Common Stock</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256</w:t>
      </w:r>
    </w:p>
    <w:p>
      <w:pPr>
        <w:sectPr>
          <w:pgSz w:w="11900" w:h="16838" w:orient="portrait"/>
          <w:cols w:equalWidth="0" w:num="1">
            <w:col w:w="11300"/>
          </w:cols>
          <w:pgMar w:left="320" w:top="446" w:right="2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78"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Reporting Requirements and Backup Withholding</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69"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5"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257</w:t>
      </w:r>
    </w:p>
    <w:p>
      <w:pPr>
        <w:sectPr>
          <w:pgSz w:w="11900" w:h="16838" w:orient="portrait"/>
          <w:cols w:equalWidth="0" w:num="1">
            <w:col w:w="11300"/>
          </w:cols>
          <w:pgMar w:left="320" w:top="446" w:right="2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Accounts</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75"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71" w:lineRule="exact"/>
        <w:rPr>
          <w:sz w:val="20"/>
          <w:szCs w:val="20"/>
          <w:color w:val="auto"/>
        </w:rPr>
      </w:pPr>
    </w:p>
    <w:p>
      <w:pPr>
        <w:jc w:val="both"/>
        <w:ind w:firstLine="451"/>
        <w:spacing w:after="0" w:line="277" w:lineRule="auto"/>
        <w:rPr>
          <w:sz w:val="20"/>
          <w:szCs w:val="20"/>
          <w:color w:val="auto"/>
        </w:rPr>
      </w:pPr>
      <w:r>
        <w:rPr>
          <w:rFonts w:ascii="Times New Roman" w:cs="Times New Roman" w:eastAsia="Times New Roman" w:hAnsi="Times New Roman"/>
          <w:sz w:val="17"/>
          <w:szCs w:val="17"/>
          <w:b w:val="1"/>
          <w:bCs w:val="1"/>
          <w:color w:val="auto"/>
        </w:rPr>
        <w:t>EACH PROSPECTIVE INVESTOR SHOULD CONSULT ITS OWN TAX ADVISOR REGARDING THE TAX CONSEQUENCES OF ACQUIRING, OWNING, AND DISPOSING OF OUR CLASS A COMMON STOCK, INCLUDING THE CONSEQUENCES OF ANY RECENT OR PROPOSED CHANGE IN APPLICABLE LAW FROM ALL FEDERAL, STATE, ESTATE, AND GIFT TAX PERSPECTIVES.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258</w:t>
      </w:r>
    </w:p>
    <w:p>
      <w:pPr>
        <w:sectPr>
          <w:pgSz w:w="11900" w:h="16838" w:orient="portrait"/>
          <w:cols w:equalWidth="0" w:num="1">
            <w:col w:w="11300"/>
          </w:cols>
          <w:pgMar w:left="320" w:top="446" w:right="2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182"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8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5"/>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Morgan Stanley &amp; Co. LLC</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 xml:space="preserve">             </w:t>
            </w:r>
          </w:p>
        </w:tc>
        <w:tc>
          <w:tcPr>
            <w:tcW w:w="60" w:type="dxa"/>
            <w:vAlign w:val="bottom"/>
            <w:gridSpan w:val="2"/>
            <w:shd w:val="clear" w:color="auto" w:fill="CCEEFF"/>
          </w:tcPr>
          <w:p>
            <w:pPr>
              <w:spacing w:after="0"/>
              <w:rPr>
                <w:sz w:val="16"/>
                <w:szCs w:val="16"/>
                <w:color w:val="auto"/>
              </w:rPr>
            </w:pPr>
          </w:p>
        </w:tc>
      </w:tr>
      <w:tr>
        <w:trPr>
          <w:trHeight w:val="209"/>
        </w:trPr>
        <w:tc>
          <w:tcPr>
            <w:tcW w:w="8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J.P. Morgan Securities LLC</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Allen &amp; Company LLC</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8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BofA Securities, Inc.</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TD Securities (USA) LLC</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8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Stifel, Nicolaus &amp; Company, Incorporated</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Blair &amp; Company, L.L.C.</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8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Loop Capital Markets LLC</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Needham &amp; Company, LLC</w:t>
            </w:r>
          </w:p>
        </w:tc>
        <w:tc>
          <w:tcPr>
            <w:tcW w:w="11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8080" w:type="dxa"/>
            <w:vAlign w:val="bottom"/>
          </w:tcPr>
          <w:p>
            <w:pPr>
              <w:ind w:left="71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11,100,000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4"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7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underwriters initially propose to offer part of the shares of Class A common stock directly to the public at the offering price listed on the cover page of 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62"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We have granted to the underwriters an option, exercisable for 30 days from the date of this prospectus, to purchase up to additional 1,665,000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259</w:t>
      </w:r>
    </w:p>
    <w:p>
      <w:pPr>
        <w:sectPr>
          <w:pgSz w:w="11900" w:h="16838" w:orient="portrait"/>
          <w:cols w:equalWidth="0" w:num="1">
            <w:col w:w="11300"/>
          </w:cols>
          <w:pgMar w:left="320" w:top="446" w:right="27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following table shows the per share and total initial public offering price, underwriting discounts and commissions, and proceeds before expenses to us. These amounts are shown assuming both no exercise and full exercise of the underwriters’ option to purchase up to an additional 1,665,000 shares of Class A common stock.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2"/>
        </w:trPr>
        <w:tc>
          <w:tcPr>
            <w:tcW w:w="848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Per</w:t>
            </w:r>
          </w:p>
        </w:tc>
        <w:tc>
          <w:tcPr>
            <w:tcW w:w="380" w:type="dxa"/>
            <w:vAlign w:val="bottom"/>
          </w:tcPr>
          <w:p>
            <w:pPr>
              <w:spacing w:after="0"/>
              <w:rPr>
                <w:sz w:val="9"/>
                <w:szCs w:val="9"/>
                <w:color w:val="auto"/>
              </w:rPr>
            </w:pPr>
          </w:p>
        </w:tc>
        <w:tc>
          <w:tcPr>
            <w:tcW w:w="1040" w:type="dxa"/>
            <w:vAlign w:val="bottom"/>
            <w:gridSpan w:val="2"/>
          </w:tcPr>
          <w:p>
            <w:pPr>
              <w:jc w:val="center"/>
              <w:ind w:right="40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66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9"/>
                <w:szCs w:val="9"/>
                <w:color w:val="auto"/>
              </w:rPr>
            </w:pPr>
          </w:p>
        </w:tc>
      </w:tr>
      <w:tr>
        <w:trPr>
          <w:trHeight w:val="168"/>
        </w:trPr>
        <w:tc>
          <w:tcPr>
            <w:tcW w:w="8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Exercise</w:t>
            </w:r>
          </w:p>
        </w:tc>
      </w:tr>
      <w:tr>
        <w:trPr>
          <w:trHeight w:val="202"/>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price</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discounts and commissions to be paid by us</w:t>
            </w: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r>
      <w:tr>
        <w:trPr>
          <w:trHeight w:val="209"/>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r>
    </w:tbl>
    <w:p>
      <w:pPr>
        <w:spacing w:after="0" w:line="191"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estimated offering expenses payable by us, exclusive of the underwriting discounts and commissions, are approximately $10.5 million. We have agreed to reimburse the underwriters for expenses relating to clearance of this offering with the Financial Industry Regulatory Authority up to $75,000.</w:t>
      </w:r>
    </w:p>
    <w:p>
      <w:pPr>
        <w:spacing w:after="0" w:line="14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underwriters have informed us that they do not intend sales to discretionary accounts to exceed 5% of the total number of shares of Class A common stock offered by them. Our Class A common stock has been approved for listing on the Nasdaq Global Select Market under the trading symbol “TEM.”</w:t>
      </w:r>
    </w:p>
    <w:p>
      <w:pPr>
        <w:spacing w:after="0" w:line="147"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or the lock-up securities, or (ii) enter into any swap or other arrangement that transfers to another, in whole or in part, any of the economic consequences of ownership of our common stock, whether any such transaction described in clause (i) or</w:t>
      </w:r>
    </w:p>
    <w:p>
      <w:pPr>
        <w:spacing w:after="0" w:line="1" w:lineRule="exact"/>
        <w:rPr>
          <w:sz w:val="20"/>
          <w:szCs w:val="20"/>
          <w:color w:val="auto"/>
        </w:rPr>
      </w:pPr>
    </w:p>
    <w:p>
      <w:pPr>
        <w:jc w:val="both"/>
        <w:ind w:firstLine="5"/>
        <w:spacing w:after="0" w:line="265" w:lineRule="auto"/>
        <w:tabs>
          <w:tab w:leader="none" w:pos="27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is to be settled by delivery of the lock-up securities, in cash or otherwise, or (iii) file any registration statement with the Securities and Exchange Commission, or the SEC, relating to the offering of any lock-up securities, in each case without the prior written consent of Morgan Stanley &amp; Co. LLC and J.P. Morgan Securities LLC, for a period of 180 days after the date of this prospectus, or the restricted period.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restrictions set forth above applicable to us are subject to specified exceptions, including:</w:t>
      </w:r>
    </w:p>
    <w:p>
      <w:pPr>
        <w:spacing w:after="0" w:line="131" w:lineRule="exact"/>
        <w:rPr>
          <w:sz w:val="20"/>
          <w:szCs w:val="20"/>
          <w:color w:val="auto"/>
        </w:rPr>
      </w:pPr>
    </w:p>
    <w:p>
      <w:pPr>
        <w:ind w:left="1000" w:hanging="427"/>
        <w:spacing w:after="0"/>
        <w:tabs>
          <w:tab w:leader="none" w:pos="10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Class A common stock to be sold hereunder,</w:t>
      </w:r>
    </w:p>
    <w:p>
      <w:pPr>
        <w:spacing w:after="0" w:line="131" w:lineRule="exact"/>
        <w:rPr>
          <w:rFonts w:ascii="Times New Roman" w:cs="Times New Roman" w:eastAsia="Times New Roman" w:hAnsi="Times New Roman"/>
          <w:sz w:val="17"/>
          <w:szCs w:val="17"/>
          <w:color w:val="auto"/>
        </w:rPr>
      </w:pPr>
    </w:p>
    <w:p>
      <w:pPr>
        <w:jc w:val="both"/>
        <w:ind w:left="1000" w:hanging="427"/>
        <w:spacing w:after="0" w:line="276" w:lineRule="auto"/>
        <w:tabs>
          <w:tab w:leader="none" w:pos="10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by us of lock-up securities pursuant to the conversion or exchange of convertible or exchangeable securities or the exercise of warrants or options (including net exercise) or the settlement of restricted stock units (including net settlement), in each case outstanding on the date of the underwriting agreement and described in this prospectus,</w:t>
      </w:r>
    </w:p>
    <w:p>
      <w:pPr>
        <w:spacing w:after="0" w:line="70" w:lineRule="exact"/>
        <w:rPr>
          <w:rFonts w:ascii="Times New Roman" w:cs="Times New Roman" w:eastAsia="Times New Roman" w:hAnsi="Times New Roman"/>
          <w:sz w:val="17"/>
          <w:szCs w:val="17"/>
          <w:color w:val="auto"/>
        </w:rPr>
      </w:pPr>
    </w:p>
    <w:p>
      <w:pPr>
        <w:ind w:left="1000" w:right="20" w:hanging="427"/>
        <w:spacing w:after="0" w:line="295" w:lineRule="auto"/>
        <w:tabs>
          <w:tab w:leader="none" w:pos="10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issuance of shares of our common stock as payment of accrued dividends in connection with the conversion of our shares of preferred stock in this offering,</w:t>
      </w:r>
    </w:p>
    <w:p>
      <w:pPr>
        <w:spacing w:after="0" w:line="55" w:lineRule="exact"/>
        <w:rPr>
          <w:rFonts w:ascii="Times New Roman" w:cs="Times New Roman" w:eastAsia="Times New Roman" w:hAnsi="Times New Roman"/>
          <w:sz w:val="17"/>
          <w:szCs w:val="17"/>
          <w:color w:val="auto"/>
        </w:rPr>
      </w:pPr>
    </w:p>
    <w:p>
      <w:pPr>
        <w:jc w:val="both"/>
        <w:ind w:left="1000" w:hanging="427"/>
        <w:spacing w:after="0" w:line="276" w:lineRule="auto"/>
        <w:tabs>
          <w:tab w:leader="none" w:pos="10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grants of stock options, stock awards, restricted stock, restricted stock units or other equity awards and the issuance of lock-up securities (whether upon the exercise of stock options or otherwise) to our employees, officers, directors, advisors, or consultants pursuant to the terms of a plan in effect on the date hereof and described in this prospectus,</w:t>
      </w:r>
    </w:p>
    <w:p>
      <w:pPr>
        <w:spacing w:after="0" w:line="70" w:lineRule="exact"/>
        <w:rPr>
          <w:rFonts w:ascii="Times New Roman" w:cs="Times New Roman" w:eastAsia="Times New Roman" w:hAnsi="Times New Roman"/>
          <w:sz w:val="17"/>
          <w:szCs w:val="17"/>
          <w:color w:val="auto"/>
        </w:rPr>
      </w:pPr>
    </w:p>
    <w:p>
      <w:pPr>
        <w:jc w:val="both"/>
        <w:ind w:left="1000" w:hanging="427"/>
        <w:spacing w:after="0" w:line="266" w:lineRule="auto"/>
        <w:tabs>
          <w:tab w:leader="none" w:pos="10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or amendment of a trading plan on behalf of any of our stockholders, officers or directors pursuant to Rule 10b5-1 under the Exchange Act for the transfer of shares of our common stock, provided that (i) such plan does not provide for the transfer of our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our common stock may be made under such plan during the restricted period,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260</w:t>
      </w:r>
    </w:p>
    <w:p>
      <w:pPr>
        <w:sectPr>
          <w:pgSz w:w="11900" w:h="16838" w:orient="portrait"/>
          <w:cols w:equalWidth="0" w:num="1">
            <w:col w:w="11300"/>
          </w:cols>
          <w:pgMar w:left="320" w:top="447" w:right="2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left="1000" w:right="20" w:hanging="427"/>
        <w:spacing w:after="0" w:line="288" w:lineRule="auto"/>
        <w:tabs>
          <w:tab w:leader="none" w:pos="10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any registration statement on Form S-8 relating to securities (i) granted or to be granted pursuant to any plan in effect on the date hereof and described in this prospectus or (b) otherwise eligible to be included on a registration statement on Form S-8 and described in this prospectus, or</w:t>
      </w:r>
    </w:p>
    <w:p>
      <w:pPr>
        <w:spacing w:after="0" w:line="275" w:lineRule="exact"/>
        <w:rPr>
          <w:rFonts w:ascii="Times New Roman" w:cs="Times New Roman" w:eastAsia="Times New Roman" w:hAnsi="Times New Roman"/>
          <w:sz w:val="17"/>
          <w:szCs w:val="17"/>
          <w:color w:val="auto"/>
        </w:rPr>
      </w:pPr>
    </w:p>
    <w:p>
      <w:pPr>
        <w:jc w:val="both"/>
        <w:ind w:left="1000" w:hanging="427"/>
        <w:spacing w:after="0" w:line="262" w:lineRule="auto"/>
        <w:tabs>
          <w:tab w:leader="none" w:pos="10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offer of, or issuance or agreement to issue lock-up securities in connection with an acquisition, merger, joint venture, strategic alliance, commercial or other collaborative relationship or the acquisition or license by us or any of our subsidiaries of the securities, business, property or other assets of another person or entity or pursuant to any employee benefit plan as assumed by us in connection with any such acquisition or transaction, provided that the aggregate number of lock-up securities that we may sell or issue or agree to sell or issue pursuant to this paragraph shall not exceed 15.0% of the total number of shares of our common stock outstanding immediately following the issuance of our Class A common stock in this offering and provided further that the recipients of such securities provide to Morgan Stanley &amp; Co. LLC and J.P. Morgan Securities LLC a signed lock-up agreement substantially in the form of the lock-up letter delivered by certain of our stockholders, officers and directors as required under the underwriting agreement.</w:t>
      </w:r>
    </w:p>
    <w:p>
      <w:pPr>
        <w:spacing w:after="0" w:line="175"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All of our directors, executive officers and the holders of substantially all of our common stock and securities exercisable for or convertible into our common stock outstanding immediately prior to the closing of this offering (except for RSUs previously issued to our employees other than our executive officers, including the RSUs that will settle in connection with the RSU Net Settlement or the Additional RSU Settlement, and the warrants issued to Allen and AstraZeneca), or the lock-up parties, have entered into lock-up agreements prior to the commencement of this offering pursuant to which each lock-up party, with important exceptions described in the following paragraph, will not (and will not publicly disclose an intention to), for the duration of the restricted period,</w:t>
      </w:r>
    </w:p>
    <w:p>
      <w:pPr>
        <w:spacing w:after="0" w:line="1" w:lineRule="exact"/>
        <w:rPr>
          <w:sz w:val="20"/>
          <w:szCs w:val="20"/>
          <w:color w:val="auto"/>
        </w:rPr>
      </w:pPr>
    </w:p>
    <w:p>
      <w:pPr>
        <w:jc w:val="both"/>
        <w:ind w:firstLine="5"/>
        <w:spacing w:after="0" w:line="260" w:lineRule="auto"/>
        <w:tabs>
          <w:tab w:leader="none" w:pos="218"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 offer, pledge, sell, contract to sell, sell any option or contract to purchase, purchase any option or contract to sell, grant any option, right or warrant to purchase, or otherwise transfer or dispose of, directly or indirectly, any lock-up securities, or (ii) enter into any swap or other arrangement that transfers to another, in whole or in part, any of the economic consequences of ownership of the common stock, whether any such transaction described above is to be settled by delivery of lock-up securities, in cash or otherwise In addition, each lock-up party will agree that such lock-up party will not, during the restricted period, make any demand for, or exercise any right with respect to, the registration of any lock-up securities, for the duration of the restricted period.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restrictions described in the immediately preceding paragraph do not apply to:</w:t>
      </w:r>
    </w:p>
    <w:p>
      <w:pPr>
        <w:spacing w:after="0" w:line="131" w:lineRule="exact"/>
        <w:rPr>
          <w:sz w:val="20"/>
          <w:szCs w:val="20"/>
          <w:color w:val="auto"/>
        </w:rPr>
      </w:pPr>
    </w:p>
    <w:p>
      <w:pPr>
        <w:ind w:left="1000" w:hanging="418"/>
        <w:spacing w:after="0"/>
        <w:tabs>
          <w:tab w:leader="none" w:pos="10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shares of Class A common stock to the underwriters;</w:t>
      </w:r>
    </w:p>
    <w:p>
      <w:pPr>
        <w:spacing w:after="0" w:line="131" w:lineRule="exact"/>
        <w:rPr>
          <w:rFonts w:ascii="Times New Roman" w:cs="Times New Roman" w:eastAsia="Times New Roman" w:hAnsi="Times New Roman"/>
          <w:sz w:val="17"/>
          <w:szCs w:val="17"/>
          <w:color w:val="auto"/>
        </w:rPr>
      </w:pPr>
    </w:p>
    <w:p>
      <w:pPr>
        <w:jc w:val="both"/>
        <w:ind w:left="1000" w:hanging="427"/>
        <w:spacing w:after="0" w:line="269" w:lineRule="auto"/>
        <w:tabs>
          <w:tab w:leader="none" w:pos="10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77" w:lineRule="exact"/>
        <w:rPr>
          <w:rFonts w:ascii="Times New Roman" w:cs="Times New Roman" w:eastAsia="Times New Roman" w:hAnsi="Times New Roman"/>
          <w:sz w:val="17"/>
          <w:szCs w:val="17"/>
          <w:color w:val="auto"/>
        </w:rPr>
      </w:pPr>
    </w:p>
    <w:p>
      <w:pPr>
        <w:jc w:val="both"/>
        <w:ind w:left="1000" w:hanging="418"/>
        <w:spacing w:after="0" w:line="264" w:lineRule="auto"/>
        <w:tabs>
          <w:tab w:leader="none" w:pos="10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lock-up securities (i) as a bona fide gift, (ii) to an immediate family member or to any trust for the direct or indirect benefit of the holder or an immediate family member of the holder, (iii) to any corporation, 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82" w:lineRule="exact"/>
        <w:rPr>
          <w:rFonts w:ascii="Times New Roman" w:cs="Times New Roman" w:eastAsia="Times New Roman" w:hAnsi="Times New Roman"/>
          <w:sz w:val="17"/>
          <w:szCs w:val="17"/>
          <w:color w:val="auto"/>
        </w:rPr>
      </w:pPr>
    </w:p>
    <w:p>
      <w:pPr>
        <w:jc w:val="both"/>
        <w:ind w:left="1000" w:right="20" w:hanging="427"/>
        <w:spacing w:after="0" w:line="276" w:lineRule="auto"/>
        <w:tabs>
          <w:tab w:leader="none" w:pos="10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holder is a corporation, partnership, limited liability company, trust or other business entity, transfers or distributions of lock-up securities to general or limited partners, managers or members, stockholders, other equityholders or direct or indirect affiliates (within the meaning of Rule 405 under the Securities Act) of the holder or to the estates of any of the foregoing, provided that (i) each</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261</w:t>
      </w:r>
    </w:p>
    <w:p>
      <w:pPr>
        <w:sectPr>
          <w:pgSz w:w="11900" w:h="16838" w:orient="portrait"/>
          <w:cols w:equalWidth="0" w:num="1">
            <w:col w:w="11300"/>
          </w:cols>
          <w:pgMar w:left="320" w:top="446" w:right="2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20"/>
        <w:spacing w:after="0" w:line="295" w:lineRule="auto"/>
        <w:rPr>
          <w:sz w:val="20"/>
          <w:szCs w:val="20"/>
          <w:color w:val="auto"/>
        </w:rPr>
      </w:pPr>
      <w:r>
        <w:rPr>
          <w:rFonts w:ascii="Times New Roman" w:cs="Times New Roman" w:eastAsia="Times New Roman" w:hAnsi="Times New Roman"/>
          <w:sz w:val="17"/>
          <w:szCs w:val="17"/>
          <w:color w:val="auto"/>
        </w:rPr>
        <w:t>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55" w:lineRule="exact"/>
        <w:rPr>
          <w:sz w:val="20"/>
          <w:szCs w:val="20"/>
          <w:color w:val="auto"/>
        </w:rPr>
      </w:pPr>
    </w:p>
    <w:p>
      <w:pPr>
        <w:jc w:val="both"/>
        <w:ind w:left="1000" w:hanging="418"/>
        <w:spacing w:after="0" w:line="261" w:lineRule="auto"/>
        <w:tabs>
          <w:tab w:leader="none" w:pos="10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transfer to us of lock-up securities to satisfy any tax, including estimated tax, remittance, or other payment obligations of the holder arising in connection with a vesting event of our securities, upon the settlement of restricted stock units or the payment due for the exercise of options or other rights to purchase our securities (including, in each case, by way of a “cashless” or “net exercise” basis and any transfer to us necessary in respect of such amount needed for the payment of taxes, including estimated taxes, and remittance payments due as a result of such vesting, settlement or exercise including by means of a “net settlement”, “sell-to-cover” or otherwise), in all such cases pursuant to equity awards granted under a stock incentive plan or other of our equity award plans described in this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vesting, settlement or exercise occurs on terms described in this prospectus;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further that (i) any remaining shares of common stock received upon such vesting, settlement or exercise are subject to the aforementioned restrictions,(ii)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82" w:lineRule="exact"/>
        <w:rPr>
          <w:rFonts w:ascii="Times New Roman" w:cs="Times New Roman" w:eastAsia="Times New Roman" w:hAnsi="Times New Roman"/>
          <w:sz w:val="17"/>
          <w:szCs w:val="17"/>
          <w:color w:val="auto"/>
        </w:rPr>
      </w:pPr>
    </w:p>
    <w:p>
      <w:pPr>
        <w:jc w:val="both"/>
        <w:ind w:left="1000" w:hanging="398"/>
        <w:spacing w:after="0" w:line="266" w:lineRule="auto"/>
        <w:tabs>
          <w:tab w:leader="none" w:pos="10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 trading plan by the holder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on our behalf regarding the establishment of such plan, such announcement or filing shall include a statement to the effect that no transfer of common stock may be made under such plan during the restricted period;</w:t>
      </w:r>
    </w:p>
    <w:p>
      <w:pPr>
        <w:spacing w:after="0" w:line="79" w:lineRule="exact"/>
        <w:rPr>
          <w:rFonts w:ascii="Times New Roman" w:cs="Times New Roman" w:eastAsia="Times New Roman" w:hAnsi="Times New Roman"/>
          <w:sz w:val="17"/>
          <w:szCs w:val="17"/>
          <w:color w:val="auto"/>
        </w:rPr>
      </w:pPr>
    </w:p>
    <w:p>
      <w:pPr>
        <w:jc w:val="both"/>
        <w:ind w:left="1000" w:hanging="427"/>
        <w:spacing w:after="0" w:line="269" w:lineRule="auto"/>
        <w:tabs>
          <w:tab w:leader="none" w:pos="10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of lock-up securities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77" w:lineRule="exact"/>
        <w:rPr>
          <w:rFonts w:ascii="Times New Roman" w:cs="Times New Roman" w:eastAsia="Times New Roman" w:hAnsi="Times New Roman"/>
          <w:sz w:val="17"/>
          <w:szCs w:val="17"/>
          <w:color w:val="auto"/>
        </w:rPr>
      </w:pPr>
    </w:p>
    <w:p>
      <w:pPr>
        <w:jc w:val="both"/>
        <w:ind w:left="1000" w:hanging="427"/>
        <w:spacing w:after="0" w:line="266" w:lineRule="auto"/>
        <w:tabs>
          <w:tab w:leader="none" w:pos="10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shares of our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79" w:lineRule="exact"/>
        <w:rPr>
          <w:rFonts w:ascii="Times New Roman" w:cs="Times New Roman" w:eastAsia="Times New Roman" w:hAnsi="Times New Roman"/>
          <w:sz w:val="17"/>
          <w:szCs w:val="17"/>
          <w:color w:val="auto"/>
        </w:rPr>
      </w:pPr>
    </w:p>
    <w:p>
      <w:pPr>
        <w:jc w:val="both"/>
        <w:ind w:left="1000" w:hanging="389"/>
        <w:spacing w:after="0" w:line="269" w:lineRule="auto"/>
        <w:tabs>
          <w:tab w:leader="none" w:pos="10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of lock-up securities pursuant to a bona fide third-party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77" w:lineRule="exact"/>
        <w:rPr>
          <w:rFonts w:ascii="Times New Roman" w:cs="Times New Roman" w:eastAsia="Times New Roman" w:hAnsi="Times New Roman"/>
          <w:sz w:val="17"/>
          <w:szCs w:val="17"/>
          <w:color w:val="auto"/>
        </w:rPr>
      </w:pPr>
    </w:p>
    <w:p>
      <w:pPr>
        <w:jc w:val="both"/>
        <w:ind w:left="1000" w:hanging="389"/>
        <w:spacing w:after="0" w:line="266" w:lineRule="auto"/>
        <w:tabs>
          <w:tab w:leader="none" w:pos="10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of lock-up securities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262</w:t>
      </w:r>
    </w:p>
    <w:p>
      <w:pPr>
        <w:sectPr>
          <w:pgSz w:w="11900" w:h="16838" w:orient="portrait"/>
          <w:cols w:equalWidth="0" w:num="1">
            <w:col w:w="11300"/>
          </w:cols>
          <w:pgMar w:left="320" w:top="446" w:right="2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Morgan Stanley &amp; Co. LLC and J.P. Morgan Securities LLC, in their joint discretion, may release the lock-up securities described above in whole or in part at any time, subject to applicable notice requirements. In addition, subject to certain limited, more favorable exceptions,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With certain limited exceptions,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8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If the closing price per share of our Class A common stock on The Nasdaq Stock Market LLC is at least 30% greater than the initial public offering price per share of our Class A common stock set forth on the cover page of this prospectus for (i) any ten trading days (which, for the avoidance of doubt, need not be consecutive trading days) during the period ending on, and including, the date that we publicly announce our earnings for the first completed quarterly period following the most recent period for which financial statements are included in this prospectus (which, for this purpose, shall not include “flash” numbers or preliminary partial earnings) and (ii) any one trading day following such initial post-offering earnings release date, then the restricted period shall automatically expire on the date that is the later of (a) the date on which the conditions set forth in both (i) and (ii) above are satisfied and (b) two trading days following our initial post-offering earnings release date. Such release will correspond to 30% of the holder’s aggregate shares of our common stock, to the extent vested, and such released shares may be sold in the public market, subject to compliance with applicable securities laws including, without limitation, Rule 144 under the Securities Act, and compliance with our insider trading policy then in effect, beginning at the commencement of the first trading day following the early release date.</w:t>
      </w:r>
    </w:p>
    <w:p>
      <w:pPr>
        <w:spacing w:after="0" w:line="387"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In the event that the end of the restricted period would fall during one of our quarterly blackout periods during which trading by certain of our employees in our securities would not be permitted under our insider trading policy then in effect, the restricted period shall automatically expire on the date that is the later of (i) ten trading days prior to the date that such blackout period begins and (ii) the 150th day after the date of this prospectus.</w:t>
      </w:r>
    </w:p>
    <w:p>
      <w:pPr>
        <w:spacing w:after="0" w:line="162"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addition to the restrictions contained in the lock-up agreements, we have entered into market standoff agreements with substantially all of our RSU holders, including the holders of RSUs that will settle in connection with the RSU Net Settlement and the Additional RSU Settlement, imposing restrictions on the ability of such security holders to offer, sell, contract to sell, pledge, hypothecate, grant any option to purchase or make any short sale of, or otherwise dispose of any shares of our common stock or any rights to acquire our common stock during the restricted period, subject to earlier release at any time by us with the consent of Morgan Stanley &amp; Co. LLC and J.P. Morgan Securities LLC. Similarly, our warrants held by AstraZeneca and Allen also contain market standoff provisions that impose restrictions on the ability of AstraZeneca and Allen to, during the restricted period, sell, dispose of, transfer, grant any option for the purchase of, or enter into any hedging or similar transaction with the same economic effect as a sale, shares of our common stock or any securities convertible into or exercisable or exchangeable for our common stock.</w:t>
      </w:r>
    </w:p>
    <w:p>
      <w:pPr>
        <w:spacing w:after="0" w:line="175"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If not earlier released, all of the shares of Class A common stock not sold in this offering will become eligible for sale upon expiration of the restricted period, except for any shares held by our affiliates as defined in Rule 144.</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263</w:t>
      </w:r>
    </w:p>
    <w:p>
      <w:pPr>
        <w:sectPr>
          <w:pgSz w:w="11900" w:h="16838" w:orient="portrait"/>
          <w:cols w:equalWidth="0" w:num="1">
            <w:col w:w="11300"/>
          </w:cols>
          <w:pgMar w:left="320" w:top="446" w:right="2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Pursuant to certain exceptions in the lock-up agreements and because of our ability to release RSU holders early under the market standoff agreements, certain shares of our Class A common stock will be sold in the open market by our employees, including our Chief Executive Officer, during the restricted period described above in sell-to-cover transactions in order to satisfy tax withholding obligations in connection with the settlement of RSUs for shares of our Class A common stock as follows: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6120" w:type="dxa"/>
            <w:vAlign w:val="bottom"/>
            <w:tcBorders>
              <w:top w:val="single" w:sz="8" w:color="auto"/>
              <w:left w:val="single" w:sz="8" w:color="auto"/>
              <w:right w:val="single" w:sz="8" w:color="auto"/>
            </w:tcBorders>
          </w:tcPr>
          <w:p>
            <w:pPr>
              <w:spacing w:after="0"/>
              <w:rPr>
                <w:sz w:val="17"/>
                <w:szCs w:val="17"/>
                <w:color w:val="auto"/>
              </w:rPr>
            </w:pPr>
          </w:p>
        </w:tc>
        <w:tc>
          <w:tcPr>
            <w:tcW w:w="204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rPr>
              <w:t>Approximate Number of Shares of</w:t>
            </w:r>
          </w:p>
        </w:tc>
        <w:tc>
          <w:tcPr>
            <w:tcW w:w="0" w:type="dxa"/>
            <w:vAlign w:val="bottom"/>
          </w:tcPr>
          <w:p>
            <w:pPr>
              <w:spacing w:after="0"/>
              <w:rPr>
                <w:sz w:val="1"/>
                <w:szCs w:val="1"/>
                <w:color w:val="auto"/>
              </w:rPr>
            </w:pPr>
          </w:p>
        </w:tc>
      </w:tr>
      <w:tr>
        <w:trPr>
          <w:trHeight w:val="209"/>
        </w:trPr>
        <w:tc>
          <w:tcPr>
            <w:tcW w:w="6120" w:type="dxa"/>
            <w:vAlign w:val="bottom"/>
            <w:tcBorders>
              <w:left w:val="single" w:sz="8" w:color="auto"/>
              <w:right w:val="single" w:sz="8" w:color="auto"/>
            </w:tcBorders>
            <w:vMerge w:val="restart"/>
          </w:tcPr>
          <w:p>
            <w:pPr>
              <w:ind w:left="1900"/>
              <w:spacing w:after="0"/>
              <w:rPr>
                <w:sz w:val="20"/>
                <w:szCs w:val="20"/>
                <w:color w:val="auto"/>
              </w:rPr>
            </w:pPr>
            <w:r>
              <w:rPr>
                <w:rFonts w:ascii="Times New Roman" w:cs="Times New Roman" w:eastAsia="Times New Roman" w:hAnsi="Times New Roman"/>
                <w:sz w:val="17"/>
                <w:szCs w:val="17"/>
                <w:b w:val="1"/>
                <w:bCs w:val="1"/>
                <w:color w:val="auto"/>
              </w:rPr>
              <w:t>Date First Available for Sale into</w:t>
            </w:r>
          </w:p>
        </w:tc>
        <w:tc>
          <w:tcPr>
            <w:tcW w:w="204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rPr>
              <w:t>Class A Common</w:t>
            </w:r>
          </w:p>
        </w:tc>
        <w:tc>
          <w:tcPr>
            <w:tcW w:w="0" w:type="dxa"/>
            <w:vAlign w:val="bottom"/>
          </w:tcPr>
          <w:p>
            <w:pPr>
              <w:spacing w:after="0"/>
              <w:rPr>
                <w:sz w:val="1"/>
                <w:szCs w:val="1"/>
                <w:color w:val="auto"/>
              </w:rPr>
            </w:pPr>
          </w:p>
        </w:tc>
      </w:tr>
      <w:tr>
        <w:trPr>
          <w:trHeight w:val="196"/>
        </w:trPr>
        <w:tc>
          <w:tcPr>
            <w:tcW w:w="6120" w:type="dxa"/>
            <w:vAlign w:val="bottom"/>
            <w:tcBorders>
              <w:left w:val="single" w:sz="8" w:color="auto"/>
              <w:right w:val="single" w:sz="8" w:color="auto"/>
            </w:tcBorders>
            <w:vMerge w:val="continue"/>
          </w:tcPr>
          <w:p>
            <w:pPr>
              <w:spacing w:after="0"/>
              <w:rPr>
                <w:sz w:val="17"/>
                <w:szCs w:val="17"/>
                <w:color w:val="auto"/>
              </w:rPr>
            </w:pPr>
          </w:p>
        </w:tc>
        <w:tc>
          <w:tcPr>
            <w:tcW w:w="2040" w:type="dxa"/>
            <w:vAlign w:val="bottom"/>
            <w:tcBorders>
              <w:right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3160" w:type="dxa"/>
            <w:vAlign w:val="bottom"/>
            <w:tcBorders>
              <w:right w:val="single" w:sz="8" w:color="auto"/>
            </w:tcBorders>
          </w:tcPr>
          <w:p>
            <w:pPr>
              <w:jc w:val="center"/>
              <w:ind w:left="153"/>
              <w:spacing w:after="0"/>
              <w:rPr>
                <w:sz w:val="20"/>
                <w:szCs w:val="20"/>
                <w:color w:val="auto"/>
              </w:rPr>
            </w:pPr>
            <w:r>
              <w:rPr>
                <w:rFonts w:ascii="Times New Roman" w:cs="Times New Roman" w:eastAsia="Times New Roman" w:hAnsi="Times New Roman"/>
                <w:sz w:val="17"/>
                <w:szCs w:val="17"/>
                <w:b w:val="1"/>
                <w:bCs w:val="1"/>
                <w:color w:val="auto"/>
              </w:rPr>
              <w:t>Stock to be Sold in Sell-to-</w:t>
            </w:r>
          </w:p>
        </w:tc>
        <w:tc>
          <w:tcPr>
            <w:tcW w:w="0" w:type="dxa"/>
            <w:vAlign w:val="bottom"/>
          </w:tcPr>
          <w:p>
            <w:pPr>
              <w:spacing w:after="0"/>
              <w:rPr>
                <w:sz w:val="1"/>
                <w:szCs w:val="1"/>
                <w:color w:val="auto"/>
              </w:rPr>
            </w:pPr>
          </w:p>
        </w:tc>
      </w:tr>
      <w:tr>
        <w:trPr>
          <w:trHeight w:val="243"/>
        </w:trPr>
        <w:tc>
          <w:tcPr>
            <w:tcW w:w="6120" w:type="dxa"/>
            <w:vAlign w:val="bottom"/>
            <w:tcBorders>
              <w:left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7"/>
                <w:szCs w:val="17"/>
                <w:b w:val="1"/>
                <w:bCs w:val="1"/>
                <w:color w:val="auto"/>
              </w:rPr>
              <w:t>the Market</w:t>
            </w:r>
          </w:p>
        </w:tc>
        <w:tc>
          <w:tcPr>
            <w:tcW w:w="2040" w:type="dxa"/>
            <w:vAlign w:val="bottom"/>
            <w:tcBorders>
              <w:bottom w:val="single" w:sz="8" w:color="auto"/>
              <w:right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Expected to Settle</w:t>
            </w:r>
          </w:p>
        </w:tc>
        <w:tc>
          <w:tcPr>
            <w:tcW w:w="3160" w:type="dxa"/>
            <w:vAlign w:val="bottom"/>
            <w:tcBorders>
              <w:bottom w:val="single" w:sz="8" w:color="auto"/>
              <w:right w:val="single" w:sz="8" w:color="auto"/>
            </w:tcBorders>
          </w:tcPr>
          <w:p>
            <w:pPr>
              <w:jc w:val="center"/>
              <w:ind w:left="153"/>
              <w:spacing w:after="0" w:line="242" w:lineRule="exact"/>
              <w:rPr>
                <w:sz w:val="20"/>
                <w:szCs w:val="20"/>
                <w:color w:val="auto"/>
              </w:rPr>
            </w:pPr>
            <w:r>
              <w:rPr>
                <w:rFonts w:ascii="Times New Roman" w:cs="Times New Roman" w:eastAsia="Times New Roman" w:hAnsi="Times New Roman"/>
                <w:sz w:val="17"/>
                <w:szCs w:val="17"/>
                <w:b w:val="1"/>
                <w:bCs w:val="1"/>
                <w:color w:val="auto"/>
                <w:w w:val="97"/>
              </w:rPr>
              <w:t>Cover Transactions</w:t>
            </w:r>
            <w:r>
              <w:rPr>
                <w:rFonts w:ascii="Times New Roman" w:cs="Times New Roman" w:eastAsia="Times New Roman" w:hAnsi="Times New Roman"/>
                <w:sz w:val="26"/>
                <w:szCs w:val="26"/>
                <w:b w:val="1"/>
                <w:bCs w:val="1"/>
                <w:color w:val="auto"/>
                <w:w w:val="97"/>
                <w:vertAlign w:val="superscript"/>
              </w:rPr>
              <w:t>(1)</w:t>
            </w:r>
          </w:p>
        </w:tc>
        <w:tc>
          <w:tcPr>
            <w:tcW w:w="0" w:type="dxa"/>
            <w:vAlign w:val="bottom"/>
          </w:tcPr>
          <w:p>
            <w:pPr>
              <w:spacing w:after="0"/>
              <w:rPr>
                <w:sz w:val="1"/>
                <w:szCs w:val="1"/>
                <w:color w:val="auto"/>
              </w:rPr>
            </w:pPr>
          </w:p>
        </w:tc>
      </w:tr>
      <w:tr>
        <w:trPr>
          <w:trHeight w:val="184"/>
        </w:trPr>
        <w:tc>
          <w:tcPr>
            <w:tcW w:w="6120" w:type="dxa"/>
            <w:vAlign w:val="bottom"/>
            <w:tcBorders>
              <w:left w:val="single" w:sz="8" w:color="auto"/>
              <w:right w:val="single" w:sz="8" w:color="auto"/>
            </w:tcBorders>
          </w:tcPr>
          <w:p>
            <w:pPr>
              <w:ind w:left="160"/>
              <w:spacing w:after="0" w:line="184" w:lineRule="exact"/>
              <w:rPr>
                <w:sz w:val="20"/>
                <w:szCs w:val="20"/>
                <w:color w:val="auto"/>
              </w:rPr>
            </w:pPr>
            <w:r>
              <w:rPr>
                <w:rFonts w:ascii="Times New Roman" w:cs="Times New Roman" w:eastAsia="Times New Roman" w:hAnsi="Times New Roman"/>
                <w:sz w:val="17"/>
                <w:szCs w:val="17"/>
                <w:color w:val="auto"/>
              </w:rPr>
              <w:t>91 days after the date of this prospectus (or the next trading day if such date is not a</w:t>
            </w:r>
          </w:p>
        </w:tc>
        <w:tc>
          <w:tcPr>
            <w:tcW w:w="204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1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trading day)</w:t>
            </w:r>
          </w:p>
        </w:tc>
        <w:tc>
          <w:tcPr>
            <w:tcW w:w="2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5,362,261</w:t>
            </w:r>
          </w:p>
        </w:tc>
        <w:tc>
          <w:tcPr>
            <w:tcW w:w="31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2,413,017</w:t>
            </w:r>
          </w:p>
        </w:tc>
        <w:tc>
          <w:tcPr>
            <w:tcW w:w="0" w:type="dxa"/>
            <w:vAlign w:val="bottom"/>
          </w:tcPr>
          <w:p>
            <w:pPr>
              <w:spacing w:after="0"/>
              <w:rPr>
                <w:sz w:val="1"/>
                <w:szCs w:val="1"/>
                <w:color w:val="auto"/>
              </w:rPr>
            </w:pPr>
          </w:p>
        </w:tc>
      </w:tr>
      <w:tr>
        <w:trPr>
          <w:trHeight w:val="184"/>
        </w:trPr>
        <w:tc>
          <w:tcPr>
            <w:tcW w:w="6120" w:type="dxa"/>
            <w:vAlign w:val="bottom"/>
            <w:tcBorders>
              <w:left w:val="single" w:sz="8" w:color="auto"/>
              <w:right w:val="single" w:sz="8" w:color="auto"/>
            </w:tcBorders>
          </w:tcPr>
          <w:p>
            <w:pPr>
              <w:ind w:left="160"/>
              <w:spacing w:after="0" w:line="184" w:lineRule="exact"/>
              <w:rPr>
                <w:sz w:val="20"/>
                <w:szCs w:val="20"/>
                <w:color w:val="auto"/>
              </w:rPr>
            </w:pPr>
            <w:r>
              <w:rPr>
                <w:rFonts w:ascii="Times New Roman" w:cs="Times New Roman" w:eastAsia="Times New Roman" w:hAnsi="Times New Roman"/>
                <w:sz w:val="17"/>
                <w:szCs w:val="17"/>
                <w:color w:val="auto"/>
              </w:rPr>
              <w:t>120 days after the date of this prospectus (or the next trading day if such date is not a</w:t>
            </w:r>
          </w:p>
        </w:tc>
        <w:tc>
          <w:tcPr>
            <w:tcW w:w="204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1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trading day)</w:t>
            </w:r>
          </w:p>
        </w:tc>
        <w:tc>
          <w:tcPr>
            <w:tcW w:w="2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5,362,262</w:t>
            </w:r>
          </w:p>
        </w:tc>
        <w:tc>
          <w:tcPr>
            <w:tcW w:w="316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2,413,018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886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8" w:lineRule="exact"/>
        <w:rPr>
          <w:sz w:val="20"/>
          <w:szCs w:val="20"/>
          <w:color w:val="auto"/>
        </w:rPr>
      </w:pPr>
    </w:p>
    <w:p>
      <w:pPr>
        <w:ind w:left="440" w:right="20" w:hanging="435"/>
        <w:spacing w:after="0" w:line="211" w:lineRule="auto"/>
        <w:tabs>
          <w:tab w:leader="none" w:pos="4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a 45% tax rate. Includes an estimated approximately 868,258 shares that may be sold on or after each of the 91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7"/>
          <w:szCs w:val="17"/>
          <w:color w:val="auto"/>
        </w:rPr>
        <w:t xml:space="preserve"> and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day following the date of this prospectus in respect of settlement of RSUs held by our Chief Executive Officer.</w:t>
      </w:r>
    </w:p>
    <w:p>
      <w:pPr>
        <w:spacing w:after="0" w:line="193"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dates and numbers above are estimates. We expect each settlement and sell-to-cover transaction to extend over a multi-day period based on trading volumes. Because the purpose of sell-to-cover transactions is to generate proceeds sufficient to satisfy tax withholding obligations, the exact number of shares sold will depend on the sale prices of the Class A common stock in such transactions and our stockholders’ personal tax rates.</w:t>
      </w:r>
    </w:p>
    <w:p>
      <w:pPr>
        <w:spacing w:after="0" w:line="16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3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and the underwriters have agreed to indemnify each other against certain liabilities, including liabilities under the Securities Act.</w:t>
      </w:r>
    </w:p>
    <w:p>
      <w:pPr>
        <w:spacing w:after="0" w:line="223" w:lineRule="exact"/>
        <w:rPr>
          <w:sz w:val="20"/>
          <w:szCs w:val="20"/>
          <w:color w:val="auto"/>
        </w:rPr>
      </w:pPr>
    </w:p>
    <w:p>
      <w:pPr>
        <w:jc w:val="both"/>
        <w:ind w:right="20" w:firstLine="451"/>
        <w:spacing w:after="0" w:line="288"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264</w:t>
      </w:r>
    </w:p>
    <w:p>
      <w:pPr>
        <w:sectPr>
          <w:pgSz w:w="11900" w:h="16838" w:orient="portrait"/>
          <w:cols w:equalWidth="0" w:num="1">
            <w:col w:w="11300"/>
          </w:cols>
          <w:pgMar w:left="320" w:top="446" w:right="2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Internet distributions will be allocated by the representatives to underwriters that may make Internet distributions on the same basis as other allocations.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9"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3"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In December 2023, in connection with our entry into a letter agreement with Allen for certain financial advisory services provided by Allen to us, we issued, as compensation for such services, a warrant to Allen to purchase up to 150,000 shares of our Class A common stock at an exercise price of $10.00 per share, as more fully described in the section titled “Description of Capital Stock—Warrants” in this prospectus. Pursuant to the Warrant Net Exercise, Allen will receive 108,333 shares of Class A common stock following this offering (assuming an initial public offering price of $36.00 per share, the midpoint of the estimated price range set forth on the cover page of this prospectus). The Financial Industry Regulatory Authority deems such shares to have a compensation value of $    . In no event will total underwriting compensation, as calculated under FINRA rules, exceed 9% of the gross proceeds of this offering. Such shares may not be sold, transferred, assigned, pledged, or hypothecated, or be the subject of any hedging, short sale, derivative, put, or call transaction that would result in the effective economic disposition of the shares for a period of 180 days beginning on the date of this prospectus, except as provided in FINRA Rule 5110(e)(2).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Pricing of the Offering</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European Economic Area</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or an EEA State, no shares of Class A common stock, or the Shares, have been offered or will be offered pursuant to the offering to the public in that EEA State prior to the publication of a prospectus in relation to the Shares which has been approved by the competent authority in that EEA State or, where appropriate, approved in another EEA State and notified to the competent authority in that EEA State, all in accordance with the EU Prospectus Regulation, except that it may make an offer of the Shares to the public in that EEA State at any time under the following exemptions under the EU Prospectus Regulation:</w:t>
      </w:r>
    </w:p>
    <w:p>
      <w:pPr>
        <w:spacing w:after="0" w:line="80" w:lineRule="exact"/>
        <w:rPr>
          <w:sz w:val="20"/>
          <w:szCs w:val="20"/>
          <w:color w:val="auto"/>
        </w:rPr>
      </w:pPr>
    </w:p>
    <w:p>
      <w:pPr>
        <w:ind w:left="5520" w:right="3660" w:hanging="4938"/>
        <w:spacing w:after="0" w:line="472" w:lineRule="auto"/>
        <w:tabs>
          <w:tab w:leader="none" w:pos="998"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under the EU Prospectus Regulation; 265</w:t>
      </w:r>
    </w:p>
    <w:p>
      <w:pPr>
        <w:sectPr>
          <w:pgSz w:w="11900" w:h="16838" w:orient="portrait"/>
          <w:cols w:equalWidth="0" w:num="1">
            <w:col w:w="11300"/>
          </w:cols>
          <w:pgMar w:left="320" w:top="447" w:right="2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000" w:right="20" w:hanging="427"/>
        <w:spacing w:after="0" w:line="295" w:lineRule="auto"/>
        <w:tabs>
          <w:tab w:leader="none" w:pos="10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the EU Prospectus Regulation), subject to obtaining the prior consent of the representatives for any such offer; or</w:t>
      </w:r>
    </w:p>
    <w:p>
      <w:pPr>
        <w:spacing w:after="0" w:line="55" w:lineRule="exact"/>
        <w:rPr>
          <w:rFonts w:ascii="Times New Roman" w:cs="Times New Roman" w:eastAsia="Times New Roman" w:hAnsi="Times New Roman"/>
          <w:sz w:val="17"/>
          <w:szCs w:val="17"/>
          <w:color w:val="auto"/>
        </w:rPr>
      </w:pPr>
    </w:p>
    <w:p>
      <w:pPr>
        <w:jc w:val="both"/>
        <w:ind w:left="1000" w:hanging="418"/>
        <w:spacing w:after="0" w:line="276" w:lineRule="auto"/>
        <w:tabs>
          <w:tab w:leader="none" w:pos="10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EU Prospectus Regulation, provided that no such offer of the Shares shall require the issuer or any underwriter to publish a prospectus pursuant to Article 3 of the EU Prospectus Regulation or supplement a prospectus pursuant to Article 23 of the EU Prospectus Regulation,</w:t>
      </w:r>
    </w:p>
    <w:p>
      <w:pPr>
        <w:spacing w:after="0" w:line="162"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in any EEA State means the communication in any form and by any means of sufficient information on the terms of the offer and the Shares to be offered so as to enable an investor to decide to purchase or subscribe for the Shares, and the expression “EU Prospectus Regulation” means Regulation (EU) 2017/1129.</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This European Economic Area selling restriction is in addition to any other selling restrictions set out below.</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United Kingdom</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relation to the United Kingdom, 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in accordance with the UK Prospectus Regulation, except that it may make an offer to the public in the United Kingdom of the shares of Class A common stock at any time under the following exemptions under the UK Prospectus Regulation:</w:t>
      </w:r>
    </w:p>
    <w:p>
      <w:pPr>
        <w:spacing w:after="0" w:line="78" w:lineRule="exact"/>
        <w:rPr>
          <w:sz w:val="20"/>
          <w:szCs w:val="20"/>
          <w:color w:val="auto"/>
        </w:rPr>
      </w:pPr>
    </w:p>
    <w:p>
      <w:pPr>
        <w:ind w:left="1000" w:hanging="418"/>
        <w:spacing w:after="0"/>
        <w:tabs>
          <w:tab w:leader="none" w:pos="10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under the UK Prospectus Regulation;</w:t>
      </w:r>
    </w:p>
    <w:p>
      <w:pPr>
        <w:spacing w:after="0" w:line="131" w:lineRule="exact"/>
        <w:rPr>
          <w:rFonts w:ascii="Times New Roman" w:cs="Times New Roman" w:eastAsia="Times New Roman" w:hAnsi="Times New Roman"/>
          <w:sz w:val="17"/>
          <w:szCs w:val="17"/>
          <w:color w:val="auto"/>
        </w:rPr>
      </w:pPr>
    </w:p>
    <w:p>
      <w:pPr>
        <w:ind w:left="1000" w:hanging="427"/>
        <w:spacing w:after="0" w:line="295" w:lineRule="auto"/>
        <w:tabs>
          <w:tab w:leader="none" w:pos="10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the UK Prospectus Regulation), subject to obtaining the prior consent of the underwriters for any such offer; or</w:t>
      </w:r>
    </w:p>
    <w:p>
      <w:pPr>
        <w:spacing w:after="0" w:line="55" w:lineRule="exact"/>
        <w:rPr>
          <w:rFonts w:ascii="Times New Roman" w:cs="Times New Roman" w:eastAsia="Times New Roman" w:hAnsi="Times New Roman"/>
          <w:sz w:val="17"/>
          <w:szCs w:val="17"/>
          <w:color w:val="auto"/>
        </w:rPr>
      </w:pPr>
    </w:p>
    <w:p>
      <w:pPr>
        <w:ind w:left="1000" w:hanging="418"/>
        <w:spacing w:after="0"/>
        <w:tabs>
          <w:tab w:leader="none" w:pos="10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UK Prospectus Regulation;</w:t>
      </w:r>
    </w:p>
    <w:p>
      <w:pPr>
        <w:spacing w:after="0" w:line="2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such offer of the shares of Class A common stock shall require the issuer or any underwriter to publish a prospectus pursuant to Article 3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UK Prospectus Regulation or supplement a prospectus pursuant to Article 23 of the UK Prospectus Regulation.</w:t>
      </w:r>
    </w:p>
    <w:p>
      <w:pPr>
        <w:spacing w:after="0" w:line="144" w:lineRule="exact"/>
        <w:rPr>
          <w:sz w:val="20"/>
          <w:szCs w:val="20"/>
          <w:color w:val="auto"/>
        </w:rPr>
      </w:pPr>
    </w:p>
    <w:p>
      <w:pPr>
        <w:jc w:val="both"/>
        <w:ind w:right="20" w:firstLine="451"/>
        <w:spacing w:after="0" w:line="263" w:lineRule="auto"/>
        <w:rPr>
          <w:sz w:val="20"/>
          <w:szCs w:val="20"/>
          <w:color w:val="auto"/>
        </w:rPr>
      </w:pPr>
      <w:r>
        <w:rPr>
          <w:rFonts w:ascii="Times New Roman" w:cs="Times New Roman" w:eastAsia="Times New Roman" w:hAnsi="Times New Roman"/>
          <w:sz w:val="17"/>
          <w:szCs w:val="17"/>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or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387"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of Class A common stock in the United Kingdom means the communication in any form and by any means of sufficient information on the terms of the offerings and the shares of Class A common stock to be offered so as to enable an investor to decide to purchase or subscribe for the shares of Class A common stock, and the expression “UK Prospectus Regulation” means the UK version of Regulation (EU) No 2017/1129 as amended by The Prospectus (Amendment etc.) (EU Exit) Regulations 2019, which is part of UK law by virtue of the European Union (Withdrawal) Act 2018.</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266</w:t>
      </w:r>
    </w:p>
    <w:p>
      <w:pPr>
        <w:sectPr>
          <w:pgSz w:w="11900" w:h="16838" w:orient="portrait"/>
          <w:cols w:equalWidth="0" w:num="1">
            <w:col w:w="11300"/>
          </w:cols>
          <w:pgMar w:left="320" w:top="446" w:right="2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Japan</w:t>
      </w:r>
    </w:p>
    <w:p>
      <w:pPr>
        <w:spacing w:after="0" w:line="12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47"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any other applicable laws, regulations and ministerial guidelines of Japan in effect at the relevant time.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Qualified Institutional Investors (“QII”)</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Non-QII Investors</w:t>
      </w:r>
    </w:p>
    <w:p>
      <w:pPr>
        <w:spacing w:after="0" w:line="120"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267</w:t>
      </w:r>
    </w:p>
    <w:p>
      <w:pPr>
        <w:sectPr>
          <w:pgSz w:w="11900" w:h="16838" w:orient="portrait"/>
          <w:cols w:equalWidth="0" w:num="1">
            <w:col w:w="11300"/>
          </w:cols>
          <w:pgMar w:left="320" w:top="446" w:right="2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Hong Kong</w:t>
      </w:r>
    </w:p>
    <w:p>
      <w:pPr>
        <w:spacing w:after="0" w:line="122"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shares of Class A common stock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Singapore</w:t>
      </w:r>
    </w:p>
    <w:p>
      <w:pPr>
        <w:spacing w:after="0" w:line="122"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73"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5"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of Class A common stock under Section 275 of the SFA except:</w:t>
      </w:r>
    </w:p>
    <w:p>
      <w:pPr>
        <w:spacing w:after="0" w:line="78" w:lineRule="exact"/>
        <w:rPr>
          <w:sz w:val="20"/>
          <w:szCs w:val="20"/>
          <w:color w:val="auto"/>
        </w:rPr>
      </w:pPr>
    </w:p>
    <w:p>
      <w:pPr>
        <w:jc w:val="both"/>
        <w:ind w:left="1000" w:hanging="427"/>
        <w:spacing w:after="0" w:line="266" w:lineRule="auto"/>
        <w:tabs>
          <w:tab w:leader="none" w:pos="10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268</w:t>
      </w:r>
    </w:p>
    <w:p>
      <w:pPr>
        <w:sectPr>
          <w:pgSz w:w="11900" w:h="16838" w:orient="portrait"/>
          <w:cols w:equalWidth="0" w:num="1">
            <w:col w:w="11300"/>
          </w:cols>
          <w:pgMar w:left="320" w:top="446" w:right="2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Solely for the purposes of our obligations pursuant to Section 309B of the SFA, we have determined, and hereby notify all relevant persons (as defined in the Securities and Futures (Capital Markets Products) Regulations 2018, or the CMP Regulations, that the shares of Class A common stock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269</w:t>
      </w:r>
    </w:p>
    <w:p>
      <w:pPr>
        <w:sectPr>
          <w:pgSz w:w="11900" w:h="16838" w:orient="portrait"/>
          <w:cols w:equalWidth="0" w:num="1">
            <w:col w:w="11300"/>
          </w:cols>
          <w:pgMar w:left="320" w:top="446" w:right="2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financial statements as of December 31, 2023 and 2022, and for each of the two years in the period ended December 31, 2023, included in this prospectus, have been so included in reliance on the report of PricewaterhouseCoopers LLP, an independent registered public accounting firm, given on the authority of said firm as experts in auditing and accounting.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270</w:t>
      </w:r>
    </w:p>
    <w:p>
      <w:pPr>
        <w:sectPr>
          <w:pgSz w:w="11900" w:h="16838" w:orient="portrait"/>
          <w:cols w:equalWidth="0" w:num="1">
            <w:col w:w="11300"/>
          </w:cols>
          <w:pgMar w:left="320" w:top="446" w:right="2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ADDITIONAL INFORMATION</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75"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271</w:t>
      </w:r>
    </w:p>
    <w:p>
      <w:pPr>
        <w:sectPr>
          <w:pgSz w:w="11900" w:h="16838" w:orient="portrait"/>
          <w:cols w:equalWidth="0" w:num="1">
            <w:col w:w="11300"/>
          </w:cols>
          <w:pgMar w:left="320" w:top="447" w:right="279"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195"/>
        </w:trPr>
        <w:tc>
          <w:tcPr>
            <w:tcW w:w="916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60" w:type="dxa"/>
            <w:vAlign w:val="bottom"/>
          </w:tcPr>
          <w:p>
            <w:pPr>
              <w:spacing w:after="0"/>
              <w:rPr>
                <w:sz w:val="17"/>
                <w:szCs w:val="17"/>
                <w:color w:val="auto"/>
              </w:rPr>
            </w:pPr>
          </w:p>
        </w:tc>
      </w:tr>
      <w:tr>
        <w:trPr>
          <w:trHeight w:val="495"/>
        </w:trPr>
        <w:tc>
          <w:tcPr>
            <w:tcW w:w="13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gridSpan w:val="2"/>
          </w:tcPr>
          <w:p>
            <w:pPr>
              <w:jc w:val="center"/>
              <w:ind w:right="2400"/>
              <w:spacing w:after="0"/>
              <w:rPr>
                <w:sz w:val="20"/>
                <w:szCs w:val="20"/>
                <w:color w:val="auto"/>
              </w:rPr>
            </w:pPr>
            <w:r>
              <w:rPr>
                <w:rFonts w:ascii="Times New Roman" w:cs="Times New Roman" w:eastAsia="Times New Roman" w:hAnsi="Times New Roman"/>
                <w:sz w:val="17"/>
                <w:szCs w:val="17"/>
                <w:b w:val="1"/>
                <w:bCs w:val="1"/>
                <w:color w:val="auto"/>
                <w:w w:val="99"/>
              </w:rPr>
              <w:t>Tempus AI, Inc.</w:t>
            </w:r>
          </w:p>
        </w:tc>
        <w:tc>
          <w:tcPr>
            <w:tcW w:w="2060" w:type="dxa"/>
            <w:vAlign w:val="bottom"/>
          </w:tcPr>
          <w:p>
            <w:pPr>
              <w:spacing w:after="0"/>
              <w:rPr>
                <w:sz w:val="24"/>
                <w:szCs w:val="24"/>
                <w:color w:val="auto"/>
              </w:rPr>
            </w:pPr>
          </w:p>
        </w:tc>
      </w:tr>
      <w:tr>
        <w:trPr>
          <w:trHeight w:val="209"/>
        </w:trPr>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gridSpan w:val="2"/>
          </w:tcPr>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2060" w:type="dxa"/>
            <w:vAlign w:val="bottom"/>
          </w:tcPr>
          <w:p>
            <w:pPr>
              <w:spacing w:after="0"/>
              <w:rPr>
                <w:sz w:val="18"/>
                <w:szCs w:val="18"/>
                <w:color w:val="auto"/>
              </w:rPr>
            </w:pPr>
          </w:p>
        </w:tc>
      </w:tr>
      <w:tr>
        <w:trPr>
          <w:trHeight w:val="229"/>
        </w:trPr>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20" w:type="dxa"/>
            <w:vAlign w:val="bottom"/>
            <w:gridSpan w:val="2"/>
          </w:tcPr>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060" w:type="dxa"/>
            <w:vAlign w:val="bottom"/>
          </w:tcPr>
          <w:p>
            <w:pPr>
              <w:spacing w:after="0"/>
              <w:rPr>
                <w:sz w:val="19"/>
                <w:szCs w:val="19"/>
                <w:color w:val="auto"/>
              </w:rPr>
            </w:pPr>
          </w:p>
        </w:tc>
      </w:tr>
      <w:tr>
        <w:trPr>
          <w:trHeight w:val="405"/>
        </w:trPr>
        <w:tc>
          <w:tcPr>
            <w:tcW w:w="916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F-2</w:t>
            </w:r>
          </w:p>
        </w:tc>
      </w:tr>
      <w:tr>
        <w:trPr>
          <w:trHeight w:val="210"/>
        </w:trPr>
        <w:tc>
          <w:tcPr>
            <w:tcW w:w="40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tc>
        <w:tc>
          <w:tcPr>
            <w:tcW w:w="5080" w:type="dxa"/>
            <w:vAlign w:val="bottom"/>
            <w:gridSpan w:val="3"/>
          </w:tcPr>
          <w:p>
            <w:pPr>
              <w:spacing w:after="0"/>
              <w:rPr>
                <w:sz w:val="18"/>
                <w:szCs w:val="18"/>
                <w:color w:val="auto"/>
              </w:rPr>
            </w:pPr>
          </w:p>
        </w:tc>
        <w:tc>
          <w:tcPr>
            <w:tcW w:w="2060" w:type="dxa"/>
            <w:vAlign w:val="bottom"/>
          </w:tcPr>
          <w:p>
            <w:pPr>
              <w:spacing w:after="0"/>
              <w:rPr>
                <w:sz w:val="18"/>
                <w:szCs w:val="18"/>
                <w:color w:val="auto"/>
              </w:rPr>
            </w:pPr>
          </w:p>
        </w:tc>
      </w:tr>
      <w:tr>
        <w:trPr>
          <w:trHeight w:val="188"/>
        </w:trPr>
        <w:tc>
          <w:tcPr>
            <w:tcW w:w="916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Consolidated Balance Sheets</w:t>
            </w: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F-3</w:t>
            </w:r>
          </w:p>
        </w:tc>
      </w:tr>
      <w:tr>
        <w:trPr>
          <w:trHeight w:val="20"/>
        </w:trPr>
        <w:tc>
          <w:tcPr>
            <w:tcW w:w="20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9"/>
        </w:trPr>
        <w:tc>
          <w:tcPr>
            <w:tcW w:w="4540" w:type="dxa"/>
            <w:vAlign w:val="bottom"/>
            <w:tcBorders>
              <w:bottom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EE"/>
              </w:rPr>
              <w:t>Consolidated Statements of Operations and Comprehensive Loss</w:t>
            </w:r>
          </w:p>
        </w:tc>
        <w:tc>
          <w:tcPr>
            <w:tcW w:w="4620" w:type="dxa"/>
            <w:vAlign w:val="bottom"/>
            <w:gridSpan w:val="2"/>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F-5</w:t>
            </w:r>
          </w:p>
        </w:tc>
      </w:tr>
      <w:tr>
        <w:trPr>
          <w:trHeight w:val="189"/>
        </w:trPr>
        <w:tc>
          <w:tcPr>
            <w:tcW w:w="916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Consolidated Statements of Cash Flows</w:t>
            </w: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F-6</w:t>
            </w:r>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9"/>
        </w:trPr>
        <w:tc>
          <w:tcPr>
            <w:tcW w:w="7840" w:type="dxa"/>
            <w:vAlign w:val="bottom"/>
            <w:tcBorders>
              <w:bottom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EE"/>
              </w:rPr>
              <w:t>Consolidated Statements of Redeemable Convertible Preferred Stock, Common Stock and Stockholders’ Deficit</w:t>
            </w:r>
          </w:p>
        </w:tc>
        <w:tc>
          <w:tcPr>
            <w:tcW w:w="1320" w:type="dxa"/>
            <w:vAlign w:val="bottom"/>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F-8</w:t>
            </w:r>
          </w:p>
        </w:tc>
      </w:tr>
      <w:tr>
        <w:trPr>
          <w:trHeight w:val="189"/>
        </w:trPr>
        <w:tc>
          <w:tcPr>
            <w:tcW w:w="916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F-10-F-50</w:t>
            </w:r>
          </w:p>
        </w:tc>
      </w:tr>
      <w:tr>
        <w:trPr>
          <w:trHeight w:val="372"/>
        </w:trPr>
        <w:tc>
          <w:tcPr>
            <w:tcW w:w="13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20" w:type="dxa"/>
            <w:vAlign w:val="bottom"/>
            <w:gridSpan w:val="2"/>
          </w:tcPr>
          <w:p>
            <w:pPr>
              <w:jc w:val="center"/>
              <w:ind w:right="2400"/>
              <w:spacing w:after="0"/>
              <w:rPr>
                <w:sz w:val="20"/>
                <w:szCs w:val="20"/>
                <w:color w:val="auto"/>
              </w:rPr>
            </w:pPr>
            <w:r>
              <w:rPr>
                <w:rFonts w:ascii="Times New Roman" w:cs="Times New Roman" w:eastAsia="Times New Roman" w:hAnsi="Times New Roman"/>
                <w:sz w:val="17"/>
                <w:szCs w:val="17"/>
                <w:color w:val="auto"/>
              </w:rPr>
              <w:t>F-1</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20"/>
          </w:cols>
          <w:pgMar w:left="320" w:top="441" w:right="35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Tempus AI,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the Financial Statements</w:t>
      </w:r>
    </w:p>
    <w:p>
      <w:pPr>
        <w:spacing w:after="0" w:line="12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Tempus AI, Inc. and its subsidiaries (the “Company”) as of December 31, 2023 and 2022,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Accounting Principle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discussed in Note 2 to the consolidated financial statements, the Company changed the manner in which it accounts for leases in 2022.</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122"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ind w:firstLine="451"/>
        <w:spacing w:after="0" w:line="288" w:lineRule="auto"/>
        <w:rPr>
          <w:sz w:val="20"/>
          <w:szCs w:val="20"/>
          <w:color w:val="auto"/>
        </w:rPr>
      </w:pPr>
      <w:r>
        <w:rPr>
          <w:rFonts w:ascii="Times New Roman" w:cs="Times New Roman" w:eastAsia="Times New Roman" w:hAnsi="Times New Roman"/>
          <w:sz w:val="17"/>
          <w:szCs w:val="17"/>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367"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1300"/>
          </w:cols>
          <w:pgMar w:left="320" w:top="446" w:right="2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8"/>
        </w:trPr>
        <w:tc>
          <w:tcPr>
            <w:tcW w:w="7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302,938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165,767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79,942</w:t>
            </w:r>
          </w:p>
        </w:tc>
        <w:tc>
          <w:tcPr>
            <w:tcW w:w="0" w:type="dxa"/>
            <w:vAlign w:val="bottom"/>
          </w:tcPr>
          <w:p>
            <w:pPr>
              <w:spacing w:after="0"/>
              <w:rPr>
                <w:sz w:val="1"/>
                <w:szCs w:val="1"/>
                <w:color w:val="auto"/>
              </w:rPr>
            </w:pPr>
          </w:p>
        </w:tc>
      </w:tr>
      <w:tr>
        <w:trPr>
          <w:trHeight w:val="191"/>
        </w:trPr>
        <w:tc>
          <w:tcPr>
            <w:tcW w:w="7460" w:type="dxa"/>
            <w:vAlign w:val="bottom"/>
          </w:tcPr>
          <w:p>
            <w:pPr>
              <w:ind w:left="360"/>
              <w:spacing w:after="0" w:line="191" w:lineRule="exact"/>
              <w:rPr>
                <w:sz w:val="20"/>
                <w:szCs w:val="20"/>
                <w:color w:val="auto"/>
              </w:rPr>
            </w:pPr>
            <w:r>
              <w:rPr>
                <w:rFonts w:ascii="Times New Roman" w:cs="Times New Roman" w:eastAsia="Times New Roman" w:hAnsi="Times New Roman"/>
                <w:sz w:val="17"/>
                <w:szCs w:val="17"/>
                <w:color w:val="auto"/>
              </w:rPr>
              <w:t>Accounts receivable, net of allowances of $2,942, $1,115, and $1,045 at December 31, 2022</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4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and 2023 and March 31, 2024, respectively</w:t>
            </w:r>
          </w:p>
        </w:tc>
        <w:tc>
          <w:tcPr>
            <w:tcW w:w="18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88,684</w:t>
            </w:r>
          </w:p>
        </w:tc>
        <w:tc>
          <w:tcPr>
            <w:tcW w:w="18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94,462</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107,795</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Inventory</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22,282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28,845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30,129</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Warrant asset</w:t>
            </w:r>
          </w:p>
        </w:tc>
        <w:tc>
          <w:tcPr>
            <w:tcW w:w="18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5,070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2,500</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19,450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17,295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23,024</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18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31,807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14,956</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offering costs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5,275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7,085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8,217</w:t>
            </w:r>
          </w:p>
        </w:tc>
        <w:tc>
          <w:tcPr>
            <w:tcW w:w="0" w:type="dxa"/>
            <w:vAlign w:val="bottom"/>
          </w:tcPr>
          <w:p>
            <w:pPr>
              <w:spacing w:after="0"/>
              <w:rPr>
                <w:sz w:val="1"/>
                <w:szCs w:val="1"/>
                <w:color w:val="auto"/>
              </w:rPr>
            </w:pPr>
          </w:p>
        </w:tc>
      </w:tr>
      <w:tr>
        <w:trPr>
          <w:trHeight w:val="215"/>
        </w:trPr>
        <w:tc>
          <w:tcPr>
            <w:tcW w:w="74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438,629</w:t>
            </w:r>
          </w:p>
        </w:tc>
        <w:tc>
          <w:tcPr>
            <w:tcW w:w="62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350,331</w:t>
            </w:r>
          </w:p>
        </w:tc>
        <w:tc>
          <w:tcPr>
            <w:tcW w:w="6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44,105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61,681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59,217</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53,100</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73,354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73,346</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Warrant asset, less current portion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4,930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2,800</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Intangible assets, net</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37,278</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21,916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18,996</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Investments and other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8,830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8,971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7,677</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Warrant contract asset, less current portion</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24,948</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21,499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20,288</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283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23,398</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20,530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19,535</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793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840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15"/>
        </w:trPr>
        <w:tc>
          <w:tcPr>
            <w:tcW w:w="7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631,364</w:t>
            </w: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564,052</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Convertible redeemable preferred stock, and Stockholders’ deficit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45,987</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54,421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43,997</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expenses</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55,272</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82,517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82,250</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revenue</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50,142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64,860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57,352</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2,355</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8,213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7,337</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6,070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6,437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6,542</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288</w:t>
            </w: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Accrued data licensing fees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8,500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6,382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3,703</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dividends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9,797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8,343</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174,239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232,627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209,524</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37,125</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32,040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32,730</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Minimum accrued data licensing fees, less current portion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6,613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Convertible promissory note</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221,094</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193,124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186,733</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Warrant liability</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42,500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34,500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35,300</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9,604</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19,751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18,145</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payable</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39,485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55,321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58,964</w:t>
            </w:r>
          </w:p>
        </w:tc>
        <w:tc>
          <w:tcPr>
            <w:tcW w:w="0" w:type="dxa"/>
            <w:vAlign w:val="bottom"/>
          </w:tcPr>
          <w:p>
            <w:pPr>
              <w:spacing w:after="0"/>
              <w:rPr>
                <w:sz w:val="1"/>
                <w:szCs w:val="1"/>
                <w:color w:val="auto"/>
              </w:rPr>
            </w:pPr>
          </w:p>
        </w:tc>
      </w:tr>
      <w:tr>
        <w:trPr>
          <w:trHeight w:val="209"/>
        </w:trPr>
        <w:tc>
          <w:tcPr>
            <w:tcW w:w="7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Long-term debt, net</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168,452</w:t>
            </w: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256,541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259,196</w:t>
            </w:r>
          </w:p>
        </w:tc>
        <w:tc>
          <w:tcPr>
            <w:tcW w:w="0" w:type="dxa"/>
            <w:vAlign w:val="bottom"/>
          </w:tcPr>
          <w:p>
            <w:pPr>
              <w:spacing w:after="0"/>
              <w:rPr>
                <w:sz w:val="1"/>
                <w:szCs w:val="1"/>
                <w:color w:val="auto"/>
              </w:rPr>
            </w:pPr>
          </w:p>
        </w:tc>
      </w:tr>
      <w:tr>
        <w:trPr>
          <w:trHeight w:val="20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revenue, less current portion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35,136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16,768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8,303</w:t>
            </w:r>
          </w:p>
        </w:tc>
        <w:tc>
          <w:tcPr>
            <w:tcW w:w="0" w:type="dxa"/>
            <w:vAlign w:val="bottom"/>
          </w:tcPr>
          <w:p>
            <w:pPr>
              <w:spacing w:after="0"/>
              <w:rPr>
                <w:sz w:val="1"/>
                <w:szCs w:val="1"/>
                <w:color w:val="auto"/>
              </w:rPr>
            </w:pPr>
          </w:p>
        </w:tc>
      </w:tr>
      <w:tr>
        <w:trPr>
          <w:trHeight w:val="215"/>
        </w:trPr>
        <w:tc>
          <w:tcPr>
            <w:tcW w:w="7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734,248</w:t>
            </w:r>
          </w:p>
        </w:tc>
        <w:tc>
          <w:tcPr>
            <w:tcW w:w="6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840,672</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5520"/>
              <w:spacing w:after="0"/>
              <w:rPr>
                <w:sz w:val="20"/>
                <w:szCs w:val="20"/>
                <w:color w:val="auto"/>
              </w:rPr>
            </w:pPr>
            <w:r>
              <w:rPr>
                <w:rFonts w:ascii="Times New Roman" w:cs="Times New Roman" w:eastAsia="Times New Roman" w:hAnsi="Times New Roman"/>
                <w:sz w:val="17"/>
                <w:szCs w:val="17"/>
                <w:color w:val="auto"/>
              </w:rPr>
              <w:t>F-3</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446" w:right="2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vMerge w:val="restart"/>
          </w:tcPr>
          <w:p>
            <w:pPr>
              <w:ind w:left="338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3"/>
                <w:szCs w:val="13"/>
                <w:color w:val="auto"/>
              </w:rPr>
            </w:pPr>
          </w:p>
        </w:tc>
        <w:tc>
          <w:tcPr>
            <w:tcW w:w="1340" w:type="dxa"/>
            <w:vAlign w:val="bottom"/>
            <w:gridSpan w:val="2"/>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3"/>
                <w:szCs w:val="13"/>
                <w:color w:val="auto"/>
              </w:rPr>
            </w:pPr>
          </w:p>
        </w:tc>
        <w:tc>
          <w:tcPr>
            <w:tcW w:w="1180" w:type="dxa"/>
            <w:vAlign w:val="bottom"/>
            <w:gridSpan w:val="2"/>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68"/>
        </w:trPr>
        <w:tc>
          <w:tcPr>
            <w:tcW w:w="72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57"/>
              <w:spacing w:after="0" w:line="137"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220" w:type="dxa"/>
            <w:vAlign w:val="bottom"/>
          </w:tcPr>
          <w:p>
            <w:pPr>
              <w:ind w:left="360"/>
              <w:spacing w:after="0" w:line="191" w:lineRule="exact"/>
              <w:rPr>
                <w:sz w:val="20"/>
                <w:szCs w:val="20"/>
                <w:color w:val="auto"/>
              </w:rPr>
            </w:pPr>
            <w:r>
              <w:rPr>
                <w:rFonts w:ascii="Times New Roman" w:cs="Times New Roman" w:eastAsia="Times New Roman" w:hAnsi="Times New Roman"/>
                <w:sz w:val="17"/>
                <w:szCs w:val="17"/>
                <w:color w:val="auto"/>
              </w:rPr>
              <w:t>Convertible redeemable preferred stock, $0.0001 par value, 65,441,289, 69,803,765, and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69,803,765 shares authorized at December 31, 2022 and 2023 and March 31, 2024,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respectively; 62,692,927, 63,525,953, and 63,603,084 shares issued and outstanding at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December 31, 2022 and 2023 and March 31, 2024, respectively; aggregate liquidation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preference of $1,043,757, $1,130,429, and $1,143,105 at December 31, 2022 and 2023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March 31, 2024, respectively</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1,026,143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1,105,543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1,134,802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220" w:type="dxa"/>
            <w:vAlign w:val="bottom"/>
          </w:tcPr>
          <w:p>
            <w:pPr>
              <w:ind w:left="360"/>
              <w:spacing w:after="0" w:line="191" w:lineRule="exact"/>
              <w:rPr>
                <w:sz w:val="20"/>
                <w:szCs w:val="20"/>
                <w:color w:val="auto"/>
              </w:rPr>
            </w:pPr>
            <w:r>
              <w:rPr>
                <w:rFonts w:ascii="Times New Roman" w:cs="Times New Roman" w:eastAsia="Times New Roman" w:hAnsi="Times New Roman"/>
                <w:sz w:val="17"/>
                <w:szCs w:val="17"/>
                <w:color w:val="auto"/>
              </w:rPr>
              <w:t>Voting Common Stock, $0.0001 par value, 195,865,548 shares authorized at December 31,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2022 and 200,228,024 shares authorized at December 31, 2023 and March 31, 2024,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58,367,961 shares issued and outstanding at December 31, 2022 and 2023 and March 31,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58"/>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1"/>
        </w:trPr>
        <w:tc>
          <w:tcPr>
            <w:tcW w:w="7220" w:type="dxa"/>
            <w:vAlign w:val="bottom"/>
            <w:shd w:val="clear" w:color="auto" w:fill="CCEEFF"/>
          </w:tcPr>
          <w:p>
            <w:pPr>
              <w:ind w:left="360"/>
              <w:spacing w:after="0" w:line="191" w:lineRule="exact"/>
              <w:rPr>
                <w:sz w:val="20"/>
                <w:szCs w:val="20"/>
                <w:color w:val="auto"/>
              </w:rPr>
            </w:pPr>
            <w:r>
              <w:rPr>
                <w:rFonts w:ascii="Times New Roman" w:cs="Times New Roman" w:eastAsia="Times New Roman" w:hAnsi="Times New Roman"/>
                <w:sz w:val="17"/>
                <w:szCs w:val="17"/>
                <w:color w:val="auto"/>
              </w:rPr>
              <w:t>Non-voting Common Stock, $0.0001 par value, 66,946,627 shares authorized at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December 31, 2022 and 2023 and March 31, 2024; 4,932,415 shares issued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outstanding at December 31, 2022 and 5,205,802 shares issued and 5,060,336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outstanding at December 31, 2023 and 5,214,943 shares issued and 5,069,477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outstanding at March 31, 2024</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9"/>
        </w:trPr>
        <w:tc>
          <w:tcPr>
            <w:tcW w:w="7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Treasury Stock, 145,466 shares at December 31, 2022 and 2023 and March 31, 2024, at cost</w:t>
            </w:r>
          </w:p>
        </w:tc>
        <w:tc>
          <w:tcPr>
            <w:tcW w:w="100" w:type="dxa"/>
            <w:vAlign w:val="bottom"/>
          </w:tcPr>
          <w:p>
            <w:pPr>
              <w:spacing w:after="0"/>
              <w:rPr>
                <w:sz w:val="18"/>
                <w:szCs w:val="18"/>
                <w:color w:val="auto"/>
              </w:rPr>
            </w:pPr>
          </w:p>
        </w:tc>
        <w:tc>
          <w:tcPr>
            <w:tcW w:w="1340" w:type="dxa"/>
            <w:vAlign w:val="bottom"/>
            <w:gridSpan w:val="2"/>
          </w:tcPr>
          <w:p>
            <w:pPr>
              <w:jc w:val="right"/>
              <w:ind w:right="398"/>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118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(3,602)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(3,602)</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18,345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18,689</w:t>
            </w:r>
          </w:p>
        </w:tc>
        <w:tc>
          <w:tcPr>
            <w:tcW w:w="0" w:type="dxa"/>
            <w:vAlign w:val="bottom"/>
          </w:tcPr>
          <w:p>
            <w:pPr>
              <w:spacing w:after="0"/>
              <w:rPr>
                <w:sz w:val="1"/>
                <w:szCs w:val="1"/>
                <w:color w:val="auto"/>
              </w:rPr>
            </w:pPr>
          </w:p>
        </w:tc>
      </w:tr>
      <w:tr>
        <w:trPr>
          <w:trHeight w:val="209"/>
        </w:trPr>
        <w:tc>
          <w:tcPr>
            <w:tcW w:w="7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(1,138,302)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(1,396,917)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(1,489,467)</w:t>
            </w:r>
          </w:p>
        </w:tc>
        <w:tc>
          <w:tcPr>
            <w:tcW w:w="0" w:type="dxa"/>
            <w:vAlign w:val="bottom"/>
          </w:tcPr>
          <w:p>
            <w:pPr>
              <w:spacing w:after="0"/>
              <w:rPr>
                <w:sz w:val="1"/>
                <w:szCs w:val="1"/>
                <w:color w:val="auto"/>
              </w:rPr>
            </w:pPr>
          </w:p>
        </w:tc>
      </w:tr>
      <w:tr>
        <w:trPr>
          <w:trHeight w:val="221"/>
        </w:trPr>
        <w:tc>
          <w:tcPr>
            <w:tcW w:w="7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(1,129,027</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(1,382,163</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(1,474,425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Convertible redeemable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631,364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564,052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469,272</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1300"/>
          </w:cols>
          <w:pgMar w:left="320" w:top="446" w:right="2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2"/>
        </w:trPr>
        <w:tc>
          <w:tcPr>
            <w:tcW w:w="6880" w:type="dxa"/>
            <w:vAlign w:val="bottom"/>
          </w:tcPr>
          <w:p>
            <w:pPr>
              <w:spacing w:after="0"/>
              <w:rPr>
                <w:sz w:val="9"/>
                <w:szCs w:val="9"/>
                <w:color w:val="auto"/>
              </w:rPr>
            </w:pPr>
          </w:p>
        </w:tc>
        <w:tc>
          <w:tcPr>
            <w:tcW w:w="126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9"/>
                <w:szCs w:val="9"/>
                <w:color w:val="auto"/>
              </w:rPr>
            </w:pPr>
          </w:p>
        </w:tc>
        <w:tc>
          <w:tcPr>
            <w:tcW w:w="1120" w:type="dxa"/>
            <w:vAlign w:val="bottom"/>
            <w:tcBorders>
              <w:top w:val="single" w:sz="8" w:color="auto"/>
            </w:tcBorders>
            <w:gridSpan w:val="3"/>
          </w:tcPr>
          <w:p>
            <w:pPr>
              <w:jc w:val="right"/>
              <w:ind w:right="378"/>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8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6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tcPr>
          <w:p>
            <w:pPr>
              <w:jc w:val="right"/>
              <w:ind w:right="454"/>
              <w:spacing w:after="0" w:line="137"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Genomics</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197,984</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auto"/>
              </w:rPr>
              <w:t>363,022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82,058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102,569</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Data and services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122,684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168,800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33,566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43,251</w:t>
            </w:r>
          </w:p>
        </w:tc>
        <w:tc>
          <w:tcPr>
            <w:tcW w:w="0" w:type="dxa"/>
            <w:vAlign w:val="bottom"/>
          </w:tcPr>
          <w:p>
            <w:pPr>
              <w:spacing w:after="0"/>
              <w:rPr>
                <w:sz w:val="1"/>
                <w:szCs w:val="1"/>
                <w:color w:val="auto"/>
              </w:rPr>
            </w:pPr>
          </w:p>
        </w:tc>
      </w:tr>
      <w:tr>
        <w:trPr>
          <w:trHeight w:val="215"/>
        </w:trPr>
        <w:tc>
          <w:tcPr>
            <w:tcW w:w="68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Total net revenue</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320,668</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531,822</w:t>
            </w:r>
          </w:p>
        </w:tc>
        <w:tc>
          <w:tcPr>
            <w:tcW w:w="4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115,624</w:t>
            </w:r>
          </w:p>
        </w:tc>
        <w:tc>
          <w:tcPr>
            <w:tcW w:w="4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and operating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Cost of revenues, genomics</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150,255</w:t>
            </w:r>
          </w:p>
        </w:tc>
        <w:tc>
          <w:tcPr>
            <w:tcW w:w="160" w:type="dxa"/>
            <w:vAlign w:val="bottom"/>
          </w:tcPr>
          <w:p>
            <w:pPr>
              <w:spacing w:after="0"/>
              <w:rPr>
                <w:sz w:val="18"/>
                <w:szCs w:val="18"/>
                <w:color w:val="auto"/>
              </w:rPr>
            </w:pPr>
          </w:p>
        </w:tc>
        <w:tc>
          <w:tcPr>
            <w:tcW w:w="108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auto"/>
              </w:rPr>
              <w:t>189,165</w:t>
            </w:r>
          </w:p>
        </w:tc>
        <w:tc>
          <w:tcPr>
            <w:tcW w:w="100" w:type="dxa"/>
            <w:vAlign w:val="bottom"/>
          </w:tcPr>
          <w:p>
            <w:pPr>
              <w:spacing w:after="0"/>
              <w:rPr>
                <w:sz w:val="18"/>
                <w:szCs w:val="18"/>
                <w:color w:val="auto"/>
              </w:rPr>
            </w:pPr>
          </w:p>
        </w:tc>
        <w:tc>
          <w:tcPr>
            <w:tcW w:w="102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45,280</w:t>
            </w:r>
          </w:p>
        </w:tc>
        <w:tc>
          <w:tcPr>
            <w:tcW w:w="100" w:type="dxa"/>
            <w:vAlign w:val="bottom"/>
          </w:tcPr>
          <w:p>
            <w:pPr>
              <w:spacing w:after="0"/>
              <w:rPr>
                <w:sz w:val="18"/>
                <w:szCs w:val="18"/>
                <w:color w:val="auto"/>
              </w:rPr>
            </w:pPr>
          </w:p>
        </w:tc>
        <w:tc>
          <w:tcPr>
            <w:tcW w:w="7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52,835</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Cost of revenues, data and services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40,227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56,482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11,393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15,288</w:t>
            </w:r>
          </w:p>
        </w:tc>
        <w:tc>
          <w:tcPr>
            <w:tcW w:w="0" w:type="dxa"/>
            <w:vAlign w:val="bottom"/>
          </w:tcPr>
          <w:p>
            <w:pPr>
              <w:spacing w:after="0"/>
              <w:rPr>
                <w:sz w:val="1"/>
                <w:szCs w:val="1"/>
                <w:color w:val="auto"/>
              </w:rPr>
            </w:pP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Technology research and development</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79,093</w:t>
            </w:r>
          </w:p>
        </w:tc>
        <w:tc>
          <w:tcPr>
            <w:tcW w:w="160" w:type="dxa"/>
            <w:vAlign w:val="bottom"/>
          </w:tcPr>
          <w:p>
            <w:pPr>
              <w:spacing w:after="0"/>
              <w:rPr>
                <w:sz w:val="18"/>
                <w:szCs w:val="18"/>
                <w:color w:val="auto"/>
              </w:rPr>
            </w:pPr>
          </w:p>
        </w:tc>
        <w:tc>
          <w:tcPr>
            <w:tcW w:w="108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auto"/>
              </w:rPr>
              <w:t>95,155</w:t>
            </w:r>
          </w:p>
        </w:tc>
        <w:tc>
          <w:tcPr>
            <w:tcW w:w="100" w:type="dxa"/>
            <w:vAlign w:val="bottom"/>
          </w:tcPr>
          <w:p>
            <w:pPr>
              <w:spacing w:after="0"/>
              <w:rPr>
                <w:sz w:val="18"/>
                <w:szCs w:val="18"/>
                <w:color w:val="auto"/>
              </w:rPr>
            </w:pPr>
          </w:p>
        </w:tc>
        <w:tc>
          <w:tcPr>
            <w:tcW w:w="102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22,902</w:t>
            </w:r>
          </w:p>
        </w:tc>
        <w:tc>
          <w:tcPr>
            <w:tcW w:w="100" w:type="dxa"/>
            <w:vAlign w:val="bottom"/>
          </w:tcPr>
          <w:p>
            <w:pPr>
              <w:spacing w:after="0"/>
              <w:rPr>
                <w:sz w:val="18"/>
                <w:szCs w:val="18"/>
                <w:color w:val="auto"/>
              </w:rPr>
            </w:pPr>
          </w:p>
        </w:tc>
        <w:tc>
          <w:tcPr>
            <w:tcW w:w="7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27,067</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83,158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90,343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20,863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24,340</w:t>
            </w:r>
          </w:p>
        </w:tc>
        <w:tc>
          <w:tcPr>
            <w:tcW w:w="0" w:type="dxa"/>
            <w:vAlign w:val="bottom"/>
          </w:tcPr>
          <w:p>
            <w:pPr>
              <w:spacing w:after="0"/>
              <w:rPr>
                <w:sz w:val="1"/>
                <w:szCs w:val="1"/>
                <w:color w:val="auto"/>
              </w:rPr>
            </w:pP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233,377</w:t>
            </w:r>
          </w:p>
        </w:tc>
        <w:tc>
          <w:tcPr>
            <w:tcW w:w="160" w:type="dxa"/>
            <w:vAlign w:val="bottom"/>
          </w:tcPr>
          <w:p>
            <w:pPr>
              <w:spacing w:after="0"/>
              <w:rPr>
                <w:sz w:val="18"/>
                <w:szCs w:val="18"/>
                <w:color w:val="auto"/>
              </w:rPr>
            </w:pPr>
          </w:p>
        </w:tc>
        <w:tc>
          <w:tcPr>
            <w:tcW w:w="108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auto"/>
              </w:rPr>
              <w:t>296,760</w:t>
            </w:r>
          </w:p>
        </w:tc>
        <w:tc>
          <w:tcPr>
            <w:tcW w:w="100" w:type="dxa"/>
            <w:vAlign w:val="bottom"/>
          </w:tcPr>
          <w:p>
            <w:pPr>
              <w:spacing w:after="0"/>
              <w:rPr>
                <w:sz w:val="18"/>
                <w:szCs w:val="18"/>
                <w:color w:val="auto"/>
              </w:rPr>
            </w:pPr>
          </w:p>
        </w:tc>
        <w:tc>
          <w:tcPr>
            <w:tcW w:w="102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69,047</w:t>
            </w:r>
          </w:p>
        </w:tc>
        <w:tc>
          <w:tcPr>
            <w:tcW w:w="100" w:type="dxa"/>
            <w:vAlign w:val="bottom"/>
          </w:tcPr>
          <w:p>
            <w:pPr>
              <w:spacing w:after="0"/>
              <w:rPr>
                <w:sz w:val="18"/>
                <w:szCs w:val="18"/>
                <w:color w:val="auto"/>
              </w:rPr>
            </w:pPr>
          </w:p>
        </w:tc>
        <w:tc>
          <w:tcPr>
            <w:tcW w:w="70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79,564</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Total cost and operating expenses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586,110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727,905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169,485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199,094</w:t>
            </w:r>
          </w:p>
        </w:tc>
        <w:tc>
          <w:tcPr>
            <w:tcW w:w="0" w:type="dxa"/>
            <w:vAlign w:val="bottom"/>
          </w:tcPr>
          <w:p>
            <w:pPr>
              <w:spacing w:after="0"/>
              <w:rPr>
                <w:sz w:val="1"/>
                <w:szCs w:val="1"/>
                <w:color w:val="auto"/>
              </w:rPr>
            </w:pPr>
          </w:p>
        </w:tc>
      </w:tr>
      <w:tr>
        <w:trPr>
          <w:trHeight w:val="221"/>
        </w:trPr>
        <w:tc>
          <w:tcPr>
            <w:tcW w:w="6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from operations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(265,442</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(196,083</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(53,861</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3,032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7,601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2,424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1,031</w:t>
            </w:r>
          </w:p>
        </w:tc>
        <w:tc>
          <w:tcPr>
            <w:tcW w:w="0" w:type="dxa"/>
            <w:vAlign w:val="bottom"/>
          </w:tcPr>
          <w:p>
            <w:pPr>
              <w:spacing w:after="0"/>
              <w:rPr>
                <w:sz w:val="1"/>
                <w:szCs w:val="1"/>
                <w:color w:val="auto"/>
              </w:rPr>
            </w:pP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tcPr>
          <w:p>
            <w:pPr>
              <w:spacing w:after="0"/>
              <w:rPr>
                <w:sz w:val="18"/>
                <w:szCs w:val="18"/>
                <w:color w:val="auto"/>
              </w:rPr>
            </w:pP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(21,894)</w:t>
            </w:r>
          </w:p>
        </w:tc>
        <w:tc>
          <w:tcPr>
            <w:tcW w:w="160" w:type="dxa"/>
            <w:vAlign w:val="bottom"/>
          </w:tcPr>
          <w:p>
            <w:pPr>
              <w:spacing w:after="0"/>
              <w:rPr>
                <w:sz w:val="18"/>
                <w:szCs w:val="18"/>
                <w:color w:val="auto"/>
              </w:rPr>
            </w:pPr>
          </w:p>
        </w:tc>
        <w:tc>
          <w:tcPr>
            <w:tcW w:w="10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(46,869)</w:t>
            </w:r>
          </w:p>
        </w:tc>
        <w:tc>
          <w:tcPr>
            <w:tcW w:w="100" w:type="dxa"/>
            <w:vAlign w:val="bottom"/>
          </w:tcPr>
          <w:p>
            <w:pPr>
              <w:spacing w:after="0"/>
              <w:rPr>
                <w:sz w:val="18"/>
                <w:szCs w:val="18"/>
                <w:color w:val="auto"/>
              </w:rPr>
            </w:pPr>
          </w:p>
        </w:tc>
        <w:tc>
          <w:tcPr>
            <w:tcW w:w="10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(9,191)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(13,238)</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(4,846)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21,822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6,388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749</w:t>
            </w:r>
          </w:p>
        </w:tc>
        <w:tc>
          <w:tcPr>
            <w:tcW w:w="0" w:type="dxa"/>
            <w:vAlign w:val="bottom"/>
          </w:tcPr>
          <w:p>
            <w:pPr>
              <w:spacing w:after="0"/>
              <w:rPr>
                <w:sz w:val="1"/>
                <w:szCs w:val="1"/>
                <w:color w:val="auto"/>
              </w:rPr>
            </w:pPr>
          </w:p>
        </w:tc>
      </w:tr>
      <w:tr>
        <w:trPr>
          <w:trHeight w:val="215"/>
        </w:trPr>
        <w:tc>
          <w:tcPr>
            <w:tcW w:w="6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(289,150)</w:t>
            </w: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(213,529)</w:t>
            </w:r>
          </w:p>
        </w:tc>
        <w:tc>
          <w:tcPr>
            <w:tcW w:w="4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(54,240)</w:t>
            </w:r>
          </w:p>
        </w:tc>
        <w:tc>
          <w:tcPr>
            <w:tcW w:w="4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(64,732)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(66)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Losses from equity method investments</w:t>
            </w:r>
          </w:p>
        </w:tc>
        <w:tc>
          <w:tcPr>
            <w:tcW w:w="140" w:type="dxa"/>
            <w:vAlign w:val="bottom"/>
          </w:tcPr>
          <w:p>
            <w:pPr>
              <w:spacing w:after="0"/>
              <w:rPr>
                <w:sz w:val="18"/>
                <w:szCs w:val="18"/>
                <w:color w:val="auto"/>
              </w:rPr>
            </w:pP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(595)</w:t>
            </w:r>
          </w:p>
        </w:tc>
        <w:tc>
          <w:tcPr>
            <w:tcW w:w="160" w:type="dxa"/>
            <w:vAlign w:val="bottom"/>
          </w:tcPr>
          <w:p>
            <w:pPr>
              <w:spacing w:after="0"/>
              <w:rPr>
                <w:sz w:val="18"/>
                <w:szCs w:val="18"/>
                <w:color w:val="auto"/>
              </w:rPr>
            </w:pPr>
          </w:p>
        </w:tc>
        <w:tc>
          <w:tcPr>
            <w:tcW w:w="10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Pr>
          <w:p>
            <w:pPr>
              <w:spacing w:after="0"/>
              <w:rPr>
                <w:sz w:val="18"/>
                <w:szCs w:val="18"/>
                <w:color w:val="auto"/>
              </w:rPr>
            </w:pPr>
          </w:p>
        </w:tc>
        <w:tc>
          <w:tcPr>
            <w:tcW w:w="10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(289,811)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(214,118)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(54,377)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(64,743)</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auto"/>
              </w:rPr>
              <w:t>Accretion of convertible preferred stock to redemption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Dividends on Series A, B, B-1, B-2, C, D, E, F, G G-3, and G-4 preferred shares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(40,975)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(44,497)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(10,669)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(27,807)</w:t>
            </w:r>
          </w:p>
        </w:tc>
        <w:tc>
          <w:tcPr>
            <w:tcW w:w="0" w:type="dxa"/>
            <w:vAlign w:val="bottom"/>
          </w:tcPr>
          <w:p>
            <w:pPr>
              <w:spacing w:after="0"/>
              <w:rPr>
                <w:sz w:val="1"/>
                <w:szCs w:val="1"/>
                <w:color w:val="auto"/>
              </w:rPr>
            </w:pPr>
          </w:p>
        </w:tc>
      </w:tr>
      <w:tr>
        <w:trPr>
          <w:trHeight w:val="209"/>
        </w:trPr>
        <w:tc>
          <w:tcPr>
            <w:tcW w:w="68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Cumulative Undeclared Dividends on Series C preferred shares</w:t>
            </w:r>
          </w:p>
        </w:tc>
        <w:tc>
          <w:tcPr>
            <w:tcW w:w="140" w:type="dxa"/>
            <w:vAlign w:val="bottom"/>
          </w:tcPr>
          <w:p>
            <w:pPr>
              <w:spacing w:after="0"/>
              <w:rPr>
                <w:sz w:val="18"/>
                <w:szCs w:val="18"/>
                <w:color w:val="auto"/>
              </w:rPr>
            </w:pP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(2,841)</w:t>
            </w:r>
          </w:p>
        </w:tc>
        <w:tc>
          <w:tcPr>
            <w:tcW w:w="160" w:type="dxa"/>
            <w:vAlign w:val="bottom"/>
          </w:tcPr>
          <w:p>
            <w:pPr>
              <w:spacing w:after="0"/>
              <w:rPr>
                <w:sz w:val="18"/>
                <w:szCs w:val="18"/>
                <w:color w:val="auto"/>
              </w:rPr>
            </w:pPr>
          </w:p>
        </w:tc>
        <w:tc>
          <w:tcPr>
            <w:tcW w:w="10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(3,011)</w:t>
            </w:r>
          </w:p>
        </w:tc>
        <w:tc>
          <w:tcPr>
            <w:tcW w:w="100" w:type="dxa"/>
            <w:vAlign w:val="bottom"/>
          </w:tcPr>
          <w:p>
            <w:pPr>
              <w:spacing w:after="0"/>
              <w:rPr>
                <w:sz w:val="18"/>
                <w:szCs w:val="18"/>
                <w:color w:val="auto"/>
              </w:rPr>
            </w:pPr>
          </w:p>
        </w:tc>
        <w:tc>
          <w:tcPr>
            <w:tcW w:w="10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loss attributable to common shareholders, basic and diluted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(333,928)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(265,964)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(65,767)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(93,056)</w:t>
            </w:r>
          </w:p>
        </w:tc>
        <w:tc>
          <w:tcPr>
            <w:tcW w:w="0" w:type="dxa"/>
            <w:vAlign w:val="bottom"/>
          </w:tcPr>
          <w:p>
            <w:pPr>
              <w:spacing w:after="0"/>
              <w:rPr>
                <w:sz w:val="1"/>
                <w:szCs w:val="1"/>
                <w:color w:val="auto"/>
              </w:rPr>
            </w:pP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loss per share attributable to common shareholders, basic and diluted</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(5.30)</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191"/>
        </w:trPr>
        <w:tc>
          <w:tcPr>
            <w:tcW w:w="6880" w:type="dxa"/>
            <w:vAlign w:val="bottom"/>
            <w:shd w:val="clear" w:color="auto" w:fill="CCEEFF"/>
          </w:tcPr>
          <w:p>
            <w:pPr>
              <w:ind w:left="360"/>
              <w:spacing w:after="0" w:line="191" w:lineRule="exact"/>
              <w:rPr>
                <w:sz w:val="20"/>
                <w:szCs w:val="20"/>
                <w:color w:val="auto"/>
              </w:rPr>
            </w:pPr>
            <w:r>
              <w:rPr>
                <w:rFonts w:ascii="Times New Roman" w:cs="Times New Roman" w:eastAsia="Times New Roman" w:hAnsi="Times New Roman"/>
                <w:sz w:val="17"/>
                <w:szCs w:val="17"/>
                <w:color w:val="auto"/>
              </w:rPr>
              <w:t>Weighted-average shares outstanding used to compute net loss per share, basic and</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8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63,032</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7"/>
                <w:szCs w:val="17"/>
                <w:color w:val="auto"/>
              </w:rPr>
              <w:t>63,306</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7"/>
                <w:szCs w:val="17"/>
                <w:color w:val="auto"/>
              </w:rPr>
              <w:t>63,229</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63,430</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Comprehensive Loss, net of tax</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(289,811)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(214,118)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(54,377)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(64,743)</w:t>
            </w:r>
          </w:p>
        </w:tc>
        <w:tc>
          <w:tcPr>
            <w:tcW w:w="0" w:type="dxa"/>
            <w:vAlign w:val="bottom"/>
          </w:tcPr>
          <w:p>
            <w:pPr>
              <w:spacing w:after="0"/>
              <w:rPr>
                <w:sz w:val="1"/>
                <w:szCs w:val="1"/>
                <w:color w:val="auto"/>
              </w:rPr>
            </w:pPr>
          </w:p>
        </w:tc>
      </w:tr>
      <w:tr>
        <w:trPr>
          <w:trHeight w:val="209"/>
        </w:trPr>
        <w:tc>
          <w:tcPr>
            <w:tcW w:w="68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4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tcPr>
          <w:p>
            <w:pPr>
              <w:spacing w:after="0"/>
              <w:rPr>
                <w:sz w:val="18"/>
                <w:szCs w:val="18"/>
                <w:color w:val="auto"/>
              </w:rPr>
            </w:pPr>
          </w:p>
        </w:tc>
        <w:tc>
          <w:tcPr>
            <w:tcW w:w="10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1020" w:type="dxa"/>
            <w:vAlign w:val="bottom"/>
            <w:gridSpan w:val="2"/>
          </w:tcPr>
          <w:p>
            <w:pPr>
              <w:jc w:val="right"/>
              <w:ind w:right="298"/>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6"/>
        </w:trPr>
        <w:tc>
          <w:tcPr>
            <w:tcW w:w="6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Comprehensive loss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(289,782)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(214,131)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rPr>
              <w:t>(54,405)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(64,799)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1300"/>
          </w:cols>
          <w:pgMar w:left="320" w:top="446" w:right="2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8"/>
        </w:trPr>
        <w:tc>
          <w:tcPr>
            <w:tcW w:w="5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r>
      <w:tr>
        <w:trPr>
          <w:trHeight w:val="137"/>
        </w:trPr>
        <w:tc>
          <w:tcPr>
            <w:tcW w:w="52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4"/>
          </w:tcPr>
          <w:p>
            <w:pPr>
              <w:jc w:val="right"/>
              <w:ind w:right="433"/>
              <w:spacing w:after="0" w:line="137"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1"/>
                <w:szCs w:val="1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980" w:type="dxa"/>
            <w:vAlign w:val="bottom"/>
            <w:gridSpan w:val="2"/>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(289,811)</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(214,118)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(54,377)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(64,743)</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980" w:type="dxa"/>
            <w:vAlign w:val="bottom"/>
            <w:gridSpan w:val="2"/>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4,700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(8,000)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(6,400)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800</w:t>
            </w: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Gain on marketable equity securities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(9,807)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(6,246)</w:t>
            </w:r>
          </w:p>
        </w:tc>
      </w:tr>
      <w:tr>
        <w:trPr>
          <w:trHeight w:val="209"/>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original issue discount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7"/>
                <w:szCs w:val="17"/>
                <w:color w:val="auto"/>
              </w:rPr>
              <w:t>1,117</w:t>
            </w:r>
          </w:p>
        </w:tc>
        <w:tc>
          <w:tcPr>
            <w:tcW w:w="12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345</w:t>
            </w: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deferred financing fees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128</w:t>
            </w:r>
          </w:p>
        </w:tc>
      </w:tr>
      <w:tr>
        <w:trPr>
          <w:trHeight w:val="209"/>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(3,701)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194</w:t>
            </w: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warrant contract asset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4,720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1,211</w:t>
            </w:r>
          </w:p>
        </w:tc>
      </w:tr>
      <w:tr>
        <w:trPr>
          <w:trHeight w:val="209"/>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30,029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7"/>
                <w:szCs w:val="17"/>
                <w:color w:val="auto"/>
              </w:rPr>
              <w:t>33,049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9,189</w:t>
            </w: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Provision for bad debt expense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3,867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921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219</w:t>
            </w:r>
          </w:p>
        </w:tc>
      </w:tr>
      <w:tr>
        <w:trPr>
          <w:trHeight w:val="209"/>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obsolete inventory</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1,938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fair value of warrant asset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(4,100)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4,700</w:t>
            </w:r>
          </w:p>
        </w:tc>
      </w:tr>
      <w:tr>
        <w:trPr>
          <w:trHeight w:val="209"/>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from equity-method investments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595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finance right-of-use lease assets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381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283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Non-cash operating lease costs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6,427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1,674</w:t>
            </w: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Minimum accretion expense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455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70</w:t>
            </w:r>
          </w:p>
        </w:tc>
      </w:tr>
      <w:tr>
        <w:trPr>
          <w:trHeight w:val="209"/>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Impairment of intangible assets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PIK interest added to principal</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2,182</w:t>
            </w:r>
          </w:p>
        </w:tc>
      </w:tr>
      <w:tr>
        <w:trPr>
          <w:trHeight w:val="209"/>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assets and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Accounts receivable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(8,203)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(7,347)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(9,678)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(13,552)</w:t>
            </w:r>
          </w:p>
        </w:tc>
      </w:tr>
      <w:tr>
        <w:trPr>
          <w:trHeight w:val="209"/>
        </w:trPr>
        <w:tc>
          <w:tcPr>
            <w:tcW w:w="5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Inventory</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(1,312)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(6,563)</w:t>
            </w:r>
          </w:p>
        </w:tc>
        <w:tc>
          <w:tcPr>
            <w:tcW w:w="12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(2,929)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(1,284)</w:t>
            </w:r>
          </w:p>
        </w:tc>
      </w:tr>
      <w:tr>
        <w:trPr>
          <w:trHeight w:val="209"/>
        </w:trPr>
        <w:tc>
          <w:tcPr>
            <w:tcW w:w="5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(1,094)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(6,474)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(2,052)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(5,729)</w:t>
            </w:r>
          </w:p>
        </w:tc>
      </w:tr>
      <w:tr>
        <w:trPr>
          <w:trHeight w:val="209"/>
        </w:trPr>
        <w:tc>
          <w:tcPr>
            <w:tcW w:w="5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Investments and other assets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(4,209)</w:t>
            </w:r>
          </w:p>
        </w:tc>
        <w:tc>
          <w:tcPr>
            <w:tcW w:w="12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(4,236)</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1,294</w:t>
            </w:r>
          </w:p>
        </w:tc>
      </w:tr>
      <w:tr>
        <w:trPr>
          <w:trHeight w:val="209"/>
        </w:trPr>
        <w:tc>
          <w:tcPr>
            <w:tcW w:w="5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Accounts payable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(7,915)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(23,363)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(12,057)</w:t>
            </w:r>
          </w:p>
        </w:tc>
      </w:tr>
      <w:tr>
        <w:trPr>
          <w:trHeight w:val="209"/>
        </w:trPr>
        <w:tc>
          <w:tcPr>
            <w:tcW w:w="5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Deferred revenue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67,626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(26,412)</w:t>
            </w:r>
          </w:p>
        </w:tc>
        <w:tc>
          <w:tcPr>
            <w:tcW w:w="12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(3,832)</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(15,974)</w:t>
            </w:r>
          </w:p>
        </w:tc>
      </w:tr>
      <w:tr>
        <w:trPr>
          <w:trHeight w:val="209"/>
        </w:trPr>
        <w:tc>
          <w:tcPr>
            <w:tcW w:w="5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Accrued data licensing fees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(6,746)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(9,121)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(4,867)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(2,750)</w:t>
            </w:r>
          </w:p>
        </w:tc>
      </w:tr>
      <w:tr>
        <w:trPr>
          <w:trHeight w:val="209"/>
        </w:trPr>
        <w:tc>
          <w:tcPr>
            <w:tcW w:w="5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Accrued expenses &amp; other</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22,803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7"/>
                <w:szCs w:val="17"/>
                <w:color w:val="auto"/>
              </w:rPr>
              <w:t>38,577</w:t>
            </w:r>
          </w:p>
        </w:tc>
        <w:tc>
          <w:tcPr>
            <w:tcW w:w="12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(4,252)</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(2,353)</w:t>
            </w:r>
          </w:p>
        </w:tc>
      </w:tr>
      <w:tr>
        <w:trPr>
          <w:trHeight w:val="209"/>
        </w:trPr>
        <w:tc>
          <w:tcPr>
            <w:tcW w:w="5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Interest payable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16,395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15,836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3,643</w:t>
            </w:r>
          </w:p>
        </w:tc>
      </w:tr>
      <w:tr>
        <w:trPr>
          <w:trHeight w:val="209"/>
        </w:trPr>
        <w:tc>
          <w:tcPr>
            <w:tcW w:w="5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(7,439)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(8,761)</w:t>
            </w:r>
          </w:p>
        </w:tc>
        <w:tc>
          <w:tcPr>
            <w:tcW w:w="12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(2,164)</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(2,339)</w:t>
            </w:r>
          </w:p>
        </w:tc>
      </w:tr>
      <w:tr>
        <w:trPr>
          <w:trHeight w:val="26"/>
        </w:trPr>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9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(168,204)</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(214,339)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(66,262)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(101,378)</w:t>
            </w:r>
          </w:p>
        </w:tc>
      </w:tr>
      <w:tr>
        <w:trPr>
          <w:trHeight w:val="215"/>
        </w:trPr>
        <w:tc>
          <w:tcPr>
            <w:tcW w:w="5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9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(18,377)</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(34,608)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(6,226)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(6,108)</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sale of marketable equity securities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23,098</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Business combinations, net of cash acquired (Note 3)</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(39,562)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(5,705)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(2,869)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21"/>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(used in) provided by investing activities</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(57,939</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(40,313</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(9,095</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16,990</w:t>
            </w:r>
          </w:p>
        </w:tc>
        <w:tc>
          <w:tcPr>
            <w:tcW w:w="120" w:type="dxa"/>
            <w:vAlign w:val="bottom"/>
          </w:tcPr>
          <w:p>
            <w:pPr>
              <w:spacing w:after="0"/>
              <w:rPr>
                <w:sz w:val="19"/>
                <w:szCs w:val="19"/>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Series G-3 Preferred Stock, net of offering costs</w:t>
            </w:r>
          </w:p>
        </w:tc>
        <w:tc>
          <w:tcPr>
            <w:tcW w:w="1980" w:type="dxa"/>
            <w:vAlign w:val="bottom"/>
            <w:gridSpan w:val="2"/>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98"/>
              <w:spacing w:after="0"/>
              <w:rPr>
                <w:sz w:val="20"/>
                <w:szCs w:val="20"/>
                <w:color w:val="auto"/>
              </w:rPr>
            </w:pPr>
            <w:r>
              <w:rPr>
                <w:rFonts w:ascii="Times New Roman" w:cs="Times New Roman" w:eastAsia="Times New Roman" w:hAnsi="Times New Roman"/>
                <w:sz w:val="17"/>
                <w:szCs w:val="17"/>
                <w:color w:val="auto"/>
              </w:rPr>
              <w:t>92,199</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Series G-4 Preferred Stock, net of offering costs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44,885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Principal payments on finance lease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(375)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(288)</w:t>
            </w:r>
          </w:p>
        </w:tc>
        <w:tc>
          <w:tcPr>
            <w:tcW w:w="12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(3,602)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(3,602)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(2,883)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(698)</w:t>
            </w:r>
          </w:p>
        </w:tc>
        <w:tc>
          <w:tcPr>
            <w:tcW w:w="12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(565)</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financing fees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Dividends paid</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(5,625)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(5,625)</w:t>
            </w:r>
          </w:p>
        </w:tc>
        <w:tc>
          <w:tcPr>
            <w:tcW w:w="120" w:type="dxa"/>
            <w:vAlign w:val="bottom"/>
          </w:tcPr>
          <w:p>
            <w:pPr>
              <w:spacing w:after="0"/>
              <w:rPr>
                <w:sz w:val="18"/>
                <w:szCs w:val="18"/>
                <w:color w:val="auto"/>
              </w:rPr>
            </w:pPr>
          </w:p>
        </w:tc>
        <w:tc>
          <w:tcPr>
            <w:tcW w:w="880" w:type="dxa"/>
            <w:vAlign w:val="bottom"/>
            <w:gridSpan w:val="2"/>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long-term debt, net of original issue discount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170,625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82,875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Payment of indemnity holdback related to acquisition</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(813)</w:t>
            </w:r>
          </w:p>
        </w:tc>
      </w:tr>
      <w:tr>
        <w:trPr>
          <w:trHeight w:val="26"/>
        </w:trPr>
        <w:tc>
          <w:tcPr>
            <w:tcW w:w="5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19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251,391</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117,547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(3,785)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(1,378)</w:t>
            </w:r>
          </w:p>
        </w:tc>
      </w:tr>
      <w:tr>
        <w:trPr>
          <w:trHeight w:val="215"/>
        </w:trPr>
        <w:tc>
          <w:tcPr>
            <w:tcW w:w="52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Effect of foreign exchange rates on cash</w:t>
            </w:r>
          </w:p>
        </w:tc>
        <w:tc>
          <w:tcPr>
            <w:tcW w:w="18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8"/>
                <w:szCs w:val="18"/>
                <w:color w:val="auto"/>
              </w:rPr>
            </w:pPr>
          </w:p>
        </w:tc>
      </w:tr>
      <w:tr>
        <w:trPr>
          <w:trHeight w:val="359"/>
        </w:trPr>
        <w:tc>
          <w:tcPr>
            <w:tcW w:w="5280" w:type="dxa"/>
            <w:vAlign w:val="bottom"/>
          </w:tcPr>
          <w:p>
            <w:pPr>
              <w:spacing w:after="0"/>
              <w:rPr>
                <w:sz w:val="24"/>
                <w:szCs w:val="24"/>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F-6</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320" w:top="446" w:right="2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68"/>
        </w:trPr>
        <w:tc>
          <w:tcPr>
            <w:tcW w:w="69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5"/>
          </w:tcPr>
          <w:p>
            <w:pPr>
              <w:jc w:val="right"/>
              <w:ind w:right="434"/>
              <w:spacing w:after="0" w:line="137"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25,265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(137,124)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(79,173)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(85,815)</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278,466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303,731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303,731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166,607</w:t>
            </w:r>
          </w:p>
        </w:tc>
        <w:tc>
          <w:tcPr>
            <w:tcW w:w="0" w:type="dxa"/>
            <w:vAlign w:val="bottom"/>
          </w:tcPr>
          <w:p>
            <w:pPr>
              <w:spacing w:after="0"/>
              <w:rPr>
                <w:sz w:val="1"/>
                <w:szCs w:val="1"/>
                <w:color w:val="auto"/>
              </w:rPr>
            </w:pPr>
          </w:p>
        </w:tc>
      </w:tr>
      <w:tr>
        <w:trPr>
          <w:trHeight w:val="26"/>
        </w:trPr>
        <w:tc>
          <w:tcPr>
            <w:tcW w:w="6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166,607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224,558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80,792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are Comprised of:</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302,938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165,767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223,756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79,942</w:t>
            </w:r>
          </w:p>
        </w:tc>
        <w:tc>
          <w:tcPr>
            <w:tcW w:w="0" w:type="dxa"/>
            <w:vAlign w:val="bottom"/>
          </w:tcPr>
          <w:p>
            <w:pPr>
              <w:spacing w:after="0"/>
              <w:rPr>
                <w:sz w:val="1"/>
                <w:szCs w:val="1"/>
                <w:color w:val="auto"/>
              </w:rPr>
            </w:pPr>
          </w:p>
        </w:tc>
      </w:tr>
      <w:tr>
        <w:trPr>
          <w:trHeight w:val="209"/>
        </w:trPr>
        <w:tc>
          <w:tcPr>
            <w:tcW w:w="69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Restricted cash and cash equivalents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6"/>
        </w:trPr>
        <w:tc>
          <w:tcPr>
            <w:tcW w:w="6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166,607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224,558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80,792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during the year for interest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16,913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6,980</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Marketable equity securities received on accounts receivable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12,535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2,966</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Purchases of property and equipment, accrued but not paid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2,408</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offering costs, accrued but not yet paid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4,071</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Redemption of convertible promissory note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17,142</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Non-voting common stock issued in connection with business combinations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4,947</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9,209</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Accretion of convertible preferred stock to redemption value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Non-voting common stock issued in connection with contingent consideration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41,815</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Finance lease liabilities arising from obtaining right-of-use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Issuance of Series G-3 Preferred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w w:val="93"/>
              </w:rPr>
              <w:t>— </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Issuance of warrant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93"/>
              </w:rPr>
              <w:t>— </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4,223</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Issuance of Series G-4 Preferred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w w:val="93"/>
              </w:rPr>
              <w:t>— </w:t>
            </w: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1">
            <w:col w:w="11300"/>
          </w:cols>
          <w:pgMar w:left="320" w:top="447" w:right="2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 COMMON STOCK AND STOCKHOLDERS’ DEFICIT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1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7"/>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Voting Common</w:t>
            </w:r>
          </w:p>
        </w:tc>
        <w:tc>
          <w:tcPr>
            <w:tcW w:w="100" w:type="dxa"/>
            <w:vAlign w:val="bottom"/>
          </w:tcPr>
          <w:p>
            <w:pPr>
              <w:spacing w:after="0"/>
              <w:rPr>
                <w:sz w:val="13"/>
                <w:szCs w:val="13"/>
                <w:color w:val="auto"/>
              </w:rPr>
            </w:pPr>
          </w:p>
        </w:tc>
        <w:tc>
          <w:tcPr>
            <w:tcW w:w="980" w:type="dxa"/>
            <w:vAlign w:val="bottom"/>
            <w:gridSpan w:val="7"/>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3"/>
                <w:szCs w:val="13"/>
                <w:color w:val="auto"/>
              </w:rPr>
            </w:pP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7"/>
          </w:tcPr>
          <w:p>
            <w:pPr>
              <w:jc w:val="center"/>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7"/>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6"/>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5"/>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9"/>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top w:val="single" w:sz="8" w:color="auto"/>
            </w:tcBorders>
            <w:gridSpan w:val="4"/>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5"/>
          </w:tcPr>
          <w:p>
            <w:pPr>
              <w:jc w:val="right"/>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gridSpan w:val="4"/>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40" w:type="dxa"/>
            <w:vAlign w:val="bottom"/>
            <w:tcBorders>
              <w:top w:val="single" w:sz="8" w:color="auto"/>
            </w:tcBorders>
            <w:gridSpan w:val="4"/>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1"/>
                <w:szCs w:val="11"/>
                <w:color w:val="auto"/>
              </w:rPr>
            </w:pPr>
          </w:p>
        </w:tc>
        <w:tc>
          <w:tcPr>
            <w:tcW w:w="920" w:type="dxa"/>
            <w:vAlign w:val="bottom"/>
            <w:tcBorders>
              <w:top w:val="single" w:sz="8" w:color="auto"/>
            </w:tcBorders>
            <w:gridSpan w:val="7"/>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Units  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1"/>
                <w:szCs w:val="11"/>
                <w:color w:val="auto"/>
              </w:rPr>
            </w:pPr>
          </w:p>
        </w:tc>
        <w:tc>
          <w:tcPr>
            <w:tcW w:w="1080" w:type="dxa"/>
            <w:vAlign w:val="bottom"/>
            <w:gridSpan w:val="3"/>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20" w:type="dxa"/>
            <w:vAlign w:val="bottom"/>
          </w:tcPr>
          <w:p>
            <w:pPr>
              <w:spacing w:after="0"/>
              <w:rPr>
                <w:sz w:val="11"/>
                <w:szCs w:val="11"/>
                <w:color w:val="auto"/>
              </w:rPr>
            </w:pPr>
          </w:p>
        </w:tc>
        <w:tc>
          <w:tcPr>
            <w:tcW w:w="800" w:type="dxa"/>
            <w:vAlign w:val="bottom"/>
            <w:gridSpan w:val="2"/>
          </w:tcPr>
          <w:p>
            <w:pPr>
              <w:jc w:val="center"/>
              <w:ind w:right="150"/>
              <w:spacing w:after="0" w:line="137"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0" w:type="dxa"/>
            <w:vAlign w:val="bottom"/>
          </w:tcPr>
          <w:p>
            <w:pPr>
              <w:spacing w:after="0"/>
              <w:rPr>
                <w:sz w:val="1"/>
                <w:szCs w:val="1"/>
                <w:color w:val="auto"/>
              </w:rPr>
            </w:pPr>
          </w:p>
        </w:tc>
      </w:tr>
      <w:tr>
        <w:trPr>
          <w:trHeight w:val="137"/>
        </w:trPr>
        <w:tc>
          <w:tcPr>
            <w:tcW w:w="18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3"/>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61,078,813</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gridSpan w:val="5"/>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898,291</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3"/>
            <w:shd w:val="clear" w:color="auto" w:fill="CCEEFF"/>
          </w:tcPr>
          <w:p>
            <w:pPr>
              <w:ind w:left="40"/>
              <w:spacing w:after="0" w:line="137" w:lineRule="exact"/>
              <w:rPr>
                <w:sz w:val="20"/>
                <w:szCs w:val="20"/>
                <w:color w:val="auto"/>
              </w:rPr>
            </w:pPr>
            <w:r>
              <w:rPr>
                <w:rFonts w:ascii="Times New Roman" w:cs="Times New Roman" w:eastAsia="Times New Roman" w:hAnsi="Times New Roman"/>
                <w:sz w:val="14"/>
                <w:szCs w:val="14"/>
                <w:color w:val="auto"/>
                <w:w w:val="95"/>
              </w:rPr>
              <w:t>58,367,961</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center"/>
              <w:ind w:right="3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79"/>
              </w:rPr>
              <w:t>6</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3"/>
            <w:shd w:val="clear" w:color="auto" w:fill="CCEEFF"/>
          </w:tcPr>
          <w:p>
            <w:pPr>
              <w:ind w:left="60"/>
              <w:spacing w:after="0" w:line="137" w:lineRule="exact"/>
              <w:rPr>
                <w:sz w:val="20"/>
                <w:szCs w:val="20"/>
                <w:color w:val="auto"/>
              </w:rPr>
            </w:pPr>
            <w:r>
              <w:rPr>
                <w:rFonts w:ascii="Times New Roman" w:cs="Times New Roman" w:eastAsia="Times New Roman" w:hAnsi="Times New Roman"/>
                <w:sz w:val="14"/>
                <w:szCs w:val="14"/>
                <w:color w:val="auto"/>
                <w:w w:val="92"/>
              </w:rPr>
              <w:t>4,612,450</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center"/>
              <w:ind w:right="30"/>
              <w:spacing w:after="0" w:line="137"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center"/>
              <w:ind w:right="70"/>
              <w:spacing w:after="0" w:line="13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60"/>
              <w:spacing w:after="0" w:line="137"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(807,486)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(807,491)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80" w:type="dxa"/>
            <w:vAlign w:val="bottom"/>
            <w:tcBorders>
              <w:right w:val="single" w:sz="8" w:color="auto"/>
            </w:tcBorders>
            <w:gridSpan w:val="15"/>
          </w:tcPr>
          <w:p>
            <w:pPr>
              <w:spacing w:after="0" w:line="121" w:lineRule="exact"/>
              <w:rPr>
                <w:sz w:val="20"/>
                <w:szCs w:val="20"/>
                <w:color w:val="auto"/>
              </w:rPr>
            </w:pPr>
            <w:r>
              <w:rPr>
                <w:rFonts w:ascii="Times New Roman" w:cs="Times New Roman" w:eastAsia="Times New Roman" w:hAnsi="Times New Roman"/>
                <w:sz w:val="14"/>
                <w:szCs w:val="14"/>
                <w:color w:val="auto"/>
              </w:rPr>
              <w:t>Issuance of Series G-3 Preferred</w:t>
            </w:r>
          </w:p>
        </w:tc>
        <w:tc>
          <w:tcPr>
            <w:tcW w:w="752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00" w:type="dxa"/>
            <w:vAlign w:val="bottom"/>
            <w:gridSpan w:val="3"/>
          </w:tcPr>
          <w:p>
            <w:pPr>
              <w:ind w:left="140"/>
              <w:spacing w:after="0" w:line="144" w:lineRule="exact"/>
              <w:rPr>
                <w:sz w:val="20"/>
                <w:szCs w:val="20"/>
                <w:color w:val="auto"/>
              </w:rPr>
            </w:pPr>
            <w:r>
              <w:rPr>
                <w:rFonts w:ascii="Times New Roman" w:cs="Times New Roman" w:eastAsia="Times New Roman" w:hAnsi="Times New Roman"/>
                <w:sz w:val="14"/>
                <w:szCs w:val="14"/>
                <w:color w:val="auto"/>
              </w:rPr>
              <w:t>Stock, net of stock issuance costs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92,199</w:t>
            </w: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$301</w:t>
            </w:r>
          </w:p>
        </w:tc>
        <w:tc>
          <w:tcPr>
            <w:tcW w:w="1000" w:type="dxa"/>
            <w:vAlign w:val="bottom"/>
            <w:gridSpan w:val="5"/>
          </w:tcPr>
          <w:p>
            <w:pPr>
              <w:jc w:val="center"/>
              <w:ind w:left="350"/>
              <w:spacing w:after="0"/>
              <w:rPr>
                <w:sz w:val="20"/>
                <w:szCs w:val="20"/>
                <w:color w:val="auto"/>
              </w:rPr>
            </w:pPr>
            <w:r>
              <w:rPr>
                <w:rFonts w:ascii="Times New Roman" w:cs="Times New Roman" w:eastAsia="Times New Roman" w:hAnsi="Times New Roman"/>
                <w:sz w:val="14"/>
                <w:szCs w:val="14"/>
                <w:color w:val="auto"/>
                <w:w w:val="96"/>
              </w:rPr>
              <w:t>1,614,114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6"/>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Impact of adoption of Topic 842</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4" w:lineRule="exact"/>
              <w:rPr>
                <w:sz w:val="20"/>
                <w:szCs w:val="20"/>
                <w:color w:val="auto"/>
              </w:rPr>
            </w:pPr>
            <w:r>
              <w:rPr>
                <w:rFonts w:ascii="Times New Roman" w:cs="Times New Roman" w:eastAsia="Times New Roman" w:hAnsi="Times New Roman"/>
                <w:sz w:val="14"/>
                <w:szCs w:val="14"/>
                <w:color w:val="auto"/>
                <w:w w:val="85"/>
              </w:rPr>
              <w:t>271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00" w:type="dxa"/>
            <w:vAlign w:val="bottom"/>
            <w:gridSpan w:val="3"/>
          </w:tcPr>
          <w:p>
            <w:pPr>
              <w:spacing w:after="0" w:line="121" w:lineRule="exact"/>
              <w:rPr>
                <w:sz w:val="20"/>
                <w:szCs w:val="20"/>
                <w:color w:val="auto"/>
              </w:rPr>
            </w:pPr>
            <w:r>
              <w:rPr>
                <w:rFonts w:ascii="Times New Roman" w:cs="Times New Roman" w:eastAsia="Times New Roman" w:hAnsi="Times New Roman"/>
                <w:sz w:val="14"/>
                <w:szCs w:val="14"/>
                <w:color w:val="auto"/>
              </w:rPr>
              <w:t>Accretion of convertible preferred</w:t>
            </w:r>
          </w:p>
        </w:tc>
        <w:tc>
          <w:tcPr>
            <w:tcW w:w="10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6"/>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to redemption value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gridSpan w:val="4"/>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4"/>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Dividends</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6"/>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35,352</w:t>
            </w: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w w:val="85"/>
              </w:rPr>
              <w:t>301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(41,276)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(40,975)</w:t>
            </w:r>
          </w:p>
        </w:tc>
        <w:tc>
          <w:tcPr>
            <w:tcW w:w="0" w:type="dxa"/>
            <w:vAlign w:val="bottom"/>
          </w:tcPr>
          <w:p>
            <w:pPr>
              <w:spacing w:after="0"/>
              <w:rPr>
                <w:sz w:val="1"/>
                <w:szCs w:val="1"/>
                <w:color w:val="auto"/>
              </w:rPr>
            </w:pPr>
          </w:p>
        </w:tc>
      </w:tr>
      <w:tr>
        <w:trPr>
          <w:trHeight w:val="121"/>
        </w:trPr>
        <w:tc>
          <w:tcPr>
            <w:tcW w:w="2500" w:type="dxa"/>
            <w:vAlign w:val="bottom"/>
            <w:gridSpan w:val="3"/>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Non-voting common stock issued in</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connection with contingent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5"/>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145,466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4,304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166"/>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consideration</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5"/>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500" w:type="dxa"/>
            <w:vAlign w:val="bottom"/>
            <w:gridSpan w:val="3"/>
          </w:tcPr>
          <w:p>
            <w:pPr>
              <w:spacing w:after="0" w:line="121" w:lineRule="exact"/>
              <w:rPr>
                <w:sz w:val="20"/>
                <w:szCs w:val="20"/>
                <w:color w:val="auto"/>
              </w:rPr>
            </w:pPr>
            <w:r>
              <w:rPr>
                <w:rFonts w:ascii="Times New Roman" w:cs="Times New Roman" w:eastAsia="Times New Roman" w:hAnsi="Times New Roman"/>
                <w:sz w:val="14"/>
                <w:szCs w:val="14"/>
                <w:color w:val="auto"/>
              </w:rPr>
              <w:t>Non-voting common stock issued in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4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connection with contingent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color w:val="auto"/>
              </w:rPr>
              <w:t>174,499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4,947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66"/>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consideration</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(289,811)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(289,811)</w:t>
            </w:r>
          </w:p>
        </w:tc>
        <w:tc>
          <w:tcPr>
            <w:tcW w:w="0" w:type="dxa"/>
            <w:vAlign w:val="bottom"/>
          </w:tcPr>
          <w:p>
            <w:pPr>
              <w:spacing w:after="0"/>
              <w:rPr>
                <w:sz w:val="1"/>
                <w:szCs w:val="1"/>
                <w:color w:val="auto"/>
              </w:rPr>
            </w:pPr>
          </w:p>
        </w:tc>
      </w:tr>
      <w:tr>
        <w:trPr>
          <w:trHeight w:val="150"/>
        </w:trPr>
        <w:tc>
          <w:tcPr>
            <w:tcW w:w="1840" w:type="dxa"/>
            <w:vAlign w:val="bottom"/>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320" w:type="dxa"/>
            <w:vAlign w:val="bottom"/>
          </w:tcPr>
          <w:p>
            <w:pPr>
              <w:spacing w:after="0"/>
              <w:rPr>
                <w:sz w:val="13"/>
                <w:szCs w:val="13"/>
                <w:color w:val="auto"/>
              </w:rPr>
            </w:pPr>
          </w:p>
        </w:tc>
        <w:tc>
          <w:tcPr>
            <w:tcW w:w="660" w:type="dxa"/>
            <w:vAlign w:val="bottom"/>
            <w:tcBorders>
              <w:top w:val="single" w:sz="8" w:color="auto"/>
              <w:bottom w:val="single" w:sz="8" w:color="auto"/>
            </w:tcBorders>
            <w:gridSpan w:val="3"/>
          </w:tcPr>
          <w:p>
            <w:pPr>
              <w:jc w:val="center"/>
              <w:spacing w:after="0" w:line="150" w:lineRule="exact"/>
              <w:rPr>
                <w:sz w:val="20"/>
                <w:szCs w:val="20"/>
                <w:color w:val="auto"/>
              </w:rPr>
            </w:pPr>
            <w:r>
              <w:rPr>
                <w:rFonts w:ascii="Times New Roman" w:cs="Times New Roman" w:eastAsia="Times New Roman" w:hAnsi="Times New Roman"/>
                <w:sz w:val="14"/>
                <w:szCs w:val="14"/>
                <w:color w:val="auto"/>
                <w:w w:val="98"/>
              </w:rPr>
              <w:t>62,692,927</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580" w:type="dxa"/>
            <w:vAlign w:val="bottom"/>
            <w:tcBorders>
              <w:top w:val="single" w:sz="8" w:color="auto"/>
              <w:bottom w:val="single" w:sz="8" w:color="auto"/>
            </w:tcBorders>
            <w:gridSpan w:val="5"/>
          </w:tcPr>
          <w:p>
            <w:pPr>
              <w:jc w:val="right"/>
              <w:spacing w:after="0" w:line="150" w:lineRule="exact"/>
              <w:rPr>
                <w:sz w:val="20"/>
                <w:szCs w:val="20"/>
                <w:color w:val="auto"/>
              </w:rPr>
            </w:pPr>
            <w:r>
              <w:rPr>
                <w:rFonts w:ascii="Times New Roman" w:cs="Times New Roman" w:eastAsia="Times New Roman" w:hAnsi="Times New Roman"/>
                <w:sz w:val="14"/>
                <w:szCs w:val="14"/>
                <w:color w:val="auto"/>
                <w:w w:val="99"/>
              </w:rPr>
              <w:t>1,026,143</w:t>
            </w: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gridSpan w:val="3"/>
          </w:tcPr>
          <w:p>
            <w:pPr>
              <w:ind w:left="40"/>
              <w:spacing w:after="0" w:line="150" w:lineRule="exact"/>
              <w:rPr>
                <w:sz w:val="20"/>
                <w:szCs w:val="20"/>
                <w:color w:val="auto"/>
              </w:rPr>
            </w:pPr>
            <w:r>
              <w:rPr>
                <w:rFonts w:ascii="Times New Roman" w:cs="Times New Roman" w:eastAsia="Times New Roman" w:hAnsi="Times New Roman"/>
                <w:sz w:val="14"/>
                <w:szCs w:val="14"/>
                <w:color w:val="auto"/>
                <w:w w:val="95"/>
              </w:rPr>
              <w:t>58,367,961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30"/>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w w:val="79"/>
              </w:rPr>
              <w:t>6</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gridSpan w:val="3"/>
          </w:tcPr>
          <w:p>
            <w:pPr>
              <w:ind w:left="60"/>
              <w:spacing w:after="0" w:line="150" w:lineRule="exact"/>
              <w:rPr>
                <w:sz w:val="20"/>
                <w:szCs w:val="20"/>
                <w:color w:val="auto"/>
              </w:rPr>
            </w:pPr>
            <w:r>
              <w:rPr>
                <w:rFonts w:ascii="Times New Roman" w:cs="Times New Roman" w:eastAsia="Times New Roman" w:hAnsi="Times New Roman"/>
                <w:sz w:val="14"/>
                <w:szCs w:val="14"/>
                <w:color w:val="auto"/>
                <w:w w:val="92"/>
              </w:rPr>
              <w:t>4,932,415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center"/>
              <w:ind w:right="30"/>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w w:val="79"/>
              </w:rPr>
              <w:t>0</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center"/>
              <w:ind w:right="70"/>
              <w:spacing w:after="0" w:line="150"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gridSpan w:val="2"/>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9,251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(1,138,302</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(1,129,027</w:t>
            </w:r>
          </w:p>
        </w:tc>
        <w:tc>
          <w:tcPr>
            <w:tcW w:w="1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40"/>
        </w:trPr>
        <w:tc>
          <w:tcPr>
            <w:tcW w:w="1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6"/>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6"/>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4"/>
          </w:tcPr>
          <w:p>
            <w:pPr>
              <w:jc w:val="center"/>
              <w:ind w:left="10"/>
              <w:spacing w:after="0" w:line="144"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4"/>
          </w:tcPr>
          <w:p>
            <w:pPr>
              <w:jc w:val="center"/>
              <w:ind w:left="10"/>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9"/>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00" w:type="dxa"/>
            <w:vAlign w:val="bottom"/>
            <w:gridSpan w:val="9"/>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5"/>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7"/>
        </w:trPr>
        <w:tc>
          <w:tcPr>
            <w:tcW w:w="18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11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gridSpan w:val="5"/>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gridSpan w:val="3"/>
          </w:tcPr>
          <w:p>
            <w:pPr>
              <w:jc w:val="center"/>
              <w:ind w:right="5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4"/>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3"/>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4"/>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gridSpan w:val="3"/>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85"/>
              </w:rPr>
              <w:t>Amount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1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50"/>
              <w:spacing w:after="0" w:line="137"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84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at December 31,</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62,692,927</w:t>
            </w:r>
          </w:p>
        </w:tc>
        <w:tc>
          <w:tcPr>
            <w:tcW w:w="800" w:type="dxa"/>
            <w:vAlign w:val="bottom"/>
            <w:gridSpan w:val="7"/>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$1,026,143</w:t>
            </w:r>
          </w:p>
        </w:tc>
        <w:tc>
          <w:tcPr>
            <w:tcW w:w="140" w:type="dxa"/>
            <w:vAlign w:val="bottom"/>
            <w:tcBorders>
              <w:right w:val="single" w:sz="8" w:color="auto"/>
            </w:tcBorders>
            <w:shd w:val="clear" w:color="auto" w:fill="CCEEFF"/>
          </w:tcPr>
          <w:p>
            <w:pPr>
              <w:spacing w:after="0"/>
              <w:rPr>
                <w:sz w:val="8"/>
                <w:szCs w:val="8"/>
                <w:color w:val="auto"/>
              </w:rPr>
            </w:pPr>
          </w:p>
        </w:tc>
        <w:tc>
          <w:tcPr>
            <w:tcW w:w="840" w:type="dxa"/>
            <w:vAlign w:val="bottom"/>
            <w:gridSpan w:val="7"/>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58,367,961</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4,932,415</w:t>
            </w:r>
          </w:p>
        </w:tc>
        <w:tc>
          <w:tcPr>
            <w:tcW w:w="10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9,251</w:t>
            </w: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(1,138,302)</w:t>
            </w:r>
          </w:p>
        </w:tc>
        <w:tc>
          <w:tcPr>
            <w:tcW w:w="100" w:type="dxa"/>
            <w:vAlign w:val="bottom"/>
            <w:shd w:val="clear" w:color="auto" w:fill="CCEEFF"/>
          </w:tcPr>
          <w:p>
            <w:pPr>
              <w:spacing w:after="0"/>
              <w:rPr>
                <w:sz w:val="8"/>
                <w:szCs w:val="8"/>
                <w:color w:val="auto"/>
              </w:rPr>
            </w:pPr>
          </w:p>
        </w:tc>
        <w:tc>
          <w:tcPr>
            <w:tcW w:w="1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(1,129,027)</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gridSpan w:val="2"/>
            <w:vMerge w:val="continue"/>
            <w:shd w:val="clear" w:color="auto" w:fill="CCEEFF"/>
          </w:tcPr>
          <w:p>
            <w:pPr>
              <w:spacing w:after="0"/>
              <w:rPr>
                <w:sz w:val="14"/>
                <w:szCs w:val="14"/>
                <w:color w:val="auto"/>
              </w:rPr>
            </w:pPr>
          </w:p>
        </w:tc>
        <w:tc>
          <w:tcPr>
            <w:tcW w:w="800" w:type="dxa"/>
            <w:vAlign w:val="bottom"/>
            <w:gridSpan w:val="7"/>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40" w:type="dxa"/>
            <w:vAlign w:val="bottom"/>
            <w:gridSpan w:val="7"/>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Issuance of Series G-3</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47,781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2,738</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Borders>
              <w:right w:val="single" w:sz="8" w:color="auto"/>
            </w:tcBorders>
            <w:gridSpan w:val="11"/>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Issuance of Series G-4</w:t>
            </w:r>
          </w:p>
        </w:tc>
        <w:tc>
          <w:tcPr>
            <w:tcW w:w="340" w:type="dxa"/>
            <w:vAlign w:val="bottom"/>
            <w:tcBorders>
              <w:right w:val="single" w:sz="8" w:color="CCEEFF"/>
            </w:tcBorders>
            <w:gridSpan w:val="4"/>
            <w:shd w:val="clear" w:color="auto" w:fill="CCEEFF"/>
          </w:tcPr>
          <w:p>
            <w:pPr>
              <w:spacing w:after="0"/>
              <w:rPr>
                <w:sz w:val="10"/>
                <w:szCs w:val="10"/>
                <w:color w:val="auto"/>
              </w:rPr>
            </w:pPr>
          </w:p>
        </w:tc>
        <w:tc>
          <w:tcPr>
            <w:tcW w:w="3160" w:type="dxa"/>
            <w:vAlign w:val="bottom"/>
            <w:tcBorders>
              <w:right w:val="single" w:sz="8" w:color="CCEEFF"/>
            </w:tcBorders>
            <w:gridSpan w:val="23"/>
            <w:shd w:val="clear" w:color="auto" w:fill="CCEEFF"/>
          </w:tcPr>
          <w:p>
            <w:pPr>
              <w:spacing w:after="0"/>
              <w:rPr>
                <w:sz w:val="10"/>
                <w:szCs w:val="10"/>
                <w:color w:val="auto"/>
              </w:rPr>
            </w:pPr>
          </w:p>
        </w:tc>
        <w:tc>
          <w:tcPr>
            <w:tcW w:w="4360" w:type="dxa"/>
            <w:vAlign w:val="bottom"/>
            <w:gridSpan w:val="18"/>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Preferred Stock, net of stock</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785,245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40,662</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costs of $4,338</w:t>
            </w: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4"/>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Borders>
              <w:right w:val="single" w:sz="8" w:color="auto"/>
            </w:tcBorders>
            <w:gridSpan w:val="11"/>
          </w:tcPr>
          <w:p>
            <w:pPr>
              <w:spacing w:after="0" w:line="121" w:lineRule="exact"/>
              <w:rPr>
                <w:sz w:val="20"/>
                <w:szCs w:val="20"/>
                <w:color w:val="auto"/>
              </w:rPr>
            </w:pPr>
            <w:r>
              <w:rPr>
                <w:rFonts w:ascii="Times New Roman" w:cs="Times New Roman" w:eastAsia="Times New Roman" w:hAnsi="Times New Roman"/>
                <w:sz w:val="14"/>
                <w:szCs w:val="14"/>
                <w:color w:val="auto"/>
              </w:rPr>
              <w:t>Accretion of convertible</w:t>
            </w:r>
          </w:p>
        </w:tc>
        <w:tc>
          <w:tcPr>
            <w:tcW w:w="7860" w:type="dxa"/>
            <w:vAlign w:val="bottom"/>
            <w:gridSpan w:val="45"/>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4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preferred stock to</w:t>
            </w:r>
          </w:p>
        </w:tc>
        <w:tc>
          <w:tcPr>
            <w:tcW w:w="3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4,338</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(4,338)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66"/>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3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6"/>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3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Dividends</w:t>
            </w:r>
          </w:p>
        </w:tc>
        <w:tc>
          <w:tcPr>
            <w:tcW w:w="32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w w:val="98"/>
              </w:rPr>
              <w:t>31,662</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color w:val="auto"/>
                <w:w w:val="75"/>
              </w:rPr>
              <w:t>— 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(44,497)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(44,497)</w:t>
            </w: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Repurchase of Non-voting</w:t>
            </w:r>
          </w:p>
        </w:tc>
        <w:tc>
          <w:tcPr>
            <w:tcW w:w="3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6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(145,466)</w:t>
            </w:r>
          </w:p>
        </w:tc>
        <w:tc>
          <w:tcPr>
            <w:tcW w:w="6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66"/>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20" w:type="dxa"/>
            <w:vAlign w:val="bottom"/>
            <w:gridSpan w:val="4"/>
            <w:vMerge w:val="continue"/>
            <w:shd w:val="clear" w:color="auto" w:fill="CCEEFF"/>
          </w:tcPr>
          <w:p>
            <w:pPr>
              <w:spacing w:after="0"/>
              <w:rPr>
                <w:sz w:val="14"/>
                <w:szCs w:val="14"/>
                <w:color w:val="auto"/>
              </w:rPr>
            </w:pPr>
          </w:p>
        </w:tc>
        <w:tc>
          <w:tcPr>
            <w:tcW w:w="640" w:type="dxa"/>
            <w:vAlign w:val="bottom"/>
            <w:gridSpan w:val="5"/>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40" w:type="dxa"/>
            <w:vAlign w:val="bottom"/>
            <w:tcBorders>
              <w:right w:val="single" w:sz="8" w:color="auto"/>
            </w:tcBorders>
            <w:gridSpan w:val="11"/>
          </w:tcPr>
          <w:p>
            <w:pPr>
              <w:spacing w:after="0" w:line="121" w:lineRule="exact"/>
              <w:rPr>
                <w:sz w:val="20"/>
                <w:szCs w:val="20"/>
                <w:color w:val="auto"/>
              </w:rPr>
            </w:pPr>
            <w:r>
              <w:rPr>
                <w:rFonts w:ascii="Times New Roman" w:cs="Times New Roman" w:eastAsia="Times New Roman" w:hAnsi="Times New Roman"/>
                <w:sz w:val="14"/>
                <w:szCs w:val="14"/>
                <w:color w:val="auto"/>
              </w:rPr>
              <w:t>Common stock issued in</w:t>
            </w:r>
          </w:p>
        </w:tc>
        <w:tc>
          <w:tcPr>
            <w:tcW w:w="7860" w:type="dxa"/>
            <w:vAlign w:val="bottom"/>
            <w:gridSpan w:val="45"/>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4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connection with business</w:t>
            </w:r>
          </w:p>
        </w:tc>
        <w:tc>
          <w:tcPr>
            <w:tcW w:w="3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5"/>
              </w:rPr>
              <w:t>— </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7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273,387</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9,209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9,209</w:t>
            </w:r>
          </w:p>
        </w:tc>
        <w:tc>
          <w:tcPr>
            <w:tcW w:w="0" w:type="dxa"/>
            <w:vAlign w:val="bottom"/>
          </w:tcPr>
          <w:p>
            <w:pPr>
              <w:spacing w:after="0"/>
              <w:rPr>
                <w:sz w:val="1"/>
                <w:szCs w:val="1"/>
                <w:color w:val="auto"/>
              </w:rPr>
            </w:pPr>
          </w:p>
        </w:tc>
      </w:tr>
      <w:tr>
        <w:trPr>
          <w:trHeight w:val="166"/>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3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Issuance of warrant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4"/>
                <w:szCs w:val="14"/>
                <w:color w:val="auto"/>
              </w:rPr>
              <w:t>4,223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
              <w:spacing w:after="0" w:line="144" w:lineRule="exact"/>
              <w:rPr>
                <w:sz w:val="20"/>
                <w:szCs w:val="20"/>
                <w:color w:val="auto"/>
              </w:rPr>
            </w:pPr>
            <w:r>
              <w:rPr>
                <w:rFonts w:ascii="Times New Roman" w:cs="Times New Roman" w:eastAsia="Times New Roman" w:hAnsi="Times New Roman"/>
                <w:sz w:val="14"/>
                <w:szCs w:val="14"/>
                <w:color w:val="auto"/>
              </w:rPr>
              <w:t>4,223</w:t>
            </w:r>
          </w:p>
        </w:tc>
        <w:tc>
          <w:tcPr>
            <w:tcW w:w="0" w:type="dxa"/>
            <w:vAlign w:val="bottom"/>
          </w:tcPr>
          <w:p>
            <w:pPr>
              <w:spacing w:after="0"/>
              <w:rPr>
                <w:sz w:val="1"/>
                <w:szCs w:val="1"/>
                <w:color w:val="auto"/>
              </w:rPr>
            </w:pPr>
          </w:p>
        </w:tc>
      </w:tr>
      <w:tr>
        <w:trPr>
          <w:trHeight w:val="144"/>
        </w:trPr>
        <w:tc>
          <w:tcPr>
            <w:tcW w:w="18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spacing w:after="0"/>
              <w:rPr>
                <w:sz w:val="12"/>
                <w:szCs w:val="12"/>
                <w:color w:val="auto"/>
              </w:rPr>
            </w:pPr>
          </w:p>
        </w:tc>
        <w:tc>
          <w:tcPr>
            <w:tcW w:w="3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9"/>
              <w:spacing w:after="0" w:line="144" w:lineRule="exact"/>
              <w:rPr>
                <w:sz w:val="20"/>
                <w:szCs w:val="20"/>
                <w:color w:val="auto"/>
              </w:rPr>
            </w:pPr>
            <w:r>
              <w:rPr>
                <w:rFonts w:ascii="Times New Roman" w:cs="Times New Roman" w:eastAsia="Times New Roman" w:hAnsi="Times New Roman"/>
                <w:sz w:val="14"/>
                <w:szCs w:val="14"/>
                <w:color w:val="auto"/>
              </w:rPr>
              <w:t>(214,118)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(214,118)</w:t>
            </w:r>
          </w:p>
        </w:tc>
        <w:tc>
          <w:tcPr>
            <w:tcW w:w="0" w:type="dxa"/>
            <w:vAlign w:val="bottom"/>
          </w:tcPr>
          <w:p>
            <w:pPr>
              <w:spacing w:after="0"/>
              <w:rPr>
                <w:sz w:val="1"/>
                <w:szCs w:val="1"/>
                <w:color w:val="auto"/>
              </w:rPr>
            </w:pPr>
          </w:p>
        </w:tc>
      </w:tr>
      <w:tr>
        <w:trPr>
          <w:trHeight w:val="26"/>
        </w:trPr>
        <w:tc>
          <w:tcPr>
            <w:tcW w:w="3440" w:type="dxa"/>
            <w:vAlign w:val="bottom"/>
            <w:tcBorders>
              <w:right w:val="single" w:sz="8" w:color="auto"/>
            </w:tcBorders>
            <w:gridSpan w:val="11"/>
          </w:tcPr>
          <w:p>
            <w:pPr>
              <w:spacing w:after="0"/>
              <w:rPr>
                <w:sz w:val="2"/>
                <w:szCs w:val="2"/>
                <w:color w:val="auto"/>
              </w:rPr>
            </w:pPr>
          </w:p>
        </w:tc>
        <w:tc>
          <w:tcPr>
            <w:tcW w:w="340" w:type="dxa"/>
            <w:vAlign w:val="bottom"/>
            <w:tcBorders>
              <w:right w:val="single" w:sz="8" w:color="auto"/>
            </w:tcBorders>
            <w:gridSpan w:val="4"/>
          </w:tcPr>
          <w:p>
            <w:pPr>
              <w:spacing w:after="0"/>
              <w:rPr>
                <w:sz w:val="2"/>
                <w:szCs w:val="2"/>
                <w:color w:val="auto"/>
              </w:rPr>
            </w:pPr>
          </w:p>
        </w:tc>
        <w:tc>
          <w:tcPr>
            <w:tcW w:w="3160" w:type="dxa"/>
            <w:vAlign w:val="bottom"/>
            <w:tcBorders>
              <w:right w:val="single" w:sz="8" w:color="auto"/>
            </w:tcBorders>
            <w:gridSpan w:val="23"/>
            <w:shd w:val="clear" w:color="auto" w:fill="000000"/>
          </w:tcPr>
          <w:p>
            <w:pPr>
              <w:spacing w:after="0"/>
              <w:rPr>
                <w:sz w:val="2"/>
                <w:szCs w:val="2"/>
                <w:color w:val="auto"/>
              </w:rPr>
            </w:pPr>
          </w:p>
        </w:tc>
        <w:tc>
          <w:tcPr>
            <w:tcW w:w="4360" w:type="dxa"/>
            <w:vAlign w:val="bottom"/>
            <w:gridSpan w:val="18"/>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8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63,525,953</w:t>
            </w:r>
          </w:p>
        </w:tc>
        <w:tc>
          <w:tcPr>
            <w:tcW w:w="100" w:type="dxa"/>
            <w:vAlign w:val="bottom"/>
            <w:vMerge w:val="restart"/>
            <w:shd w:val="clear" w:color="auto" w:fill="CCEEFF"/>
          </w:tcPr>
          <w:p>
            <w:pPr>
              <w:spacing w:after="0"/>
              <w:rPr>
                <w:sz w:val="10"/>
                <w:szCs w:val="10"/>
                <w:color w:val="auto"/>
              </w:rPr>
            </w:pPr>
          </w:p>
        </w:tc>
        <w:tc>
          <w:tcPr>
            <w:tcW w:w="700" w:type="dxa"/>
            <w:vAlign w:val="bottom"/>
            <w:gridSpan w:val="6"/>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1,105,543</w:t>
            </w:r>
          </w:p>
        </w:tc>
        <w:tc>
          <w:tcPr>
            <w:tcW w:w="140" w:type="dxa"/>
            <w:vAlign w:val="bottom"/>
            <w:tcBorders>
              <w:right w:val="single" w:sz="8" w:color="auto"/>
            </w:tcBorders>
            <w:shd w:val="clear" w:color="auto" w:fill="CCEEFF"/>
          </w:tcPr>
          <w:p>
            <w:pPr>
              <w:spacing w:after="0"/>
              <w:rPr>
                <w:sz w:val="10"/>
                <w:szCs w:val="10"/>
                <w:color w:val="auto"/>
              </w:rPr>
            </w:pPr>
          </w:p>
        </w:tc>
        <w:tc>
          <w:tcPr>
            <w:tcW w:w="840" w:type="dxa"/>
            <w:vAlign w:val="bottom"/>
            <w:gridSpan w:val="7"/>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58,367,961</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5,205,802</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(145,466)</w:t>
            </w:r>
          </w:p>
        </w:tc>
        <w:tc>
          <w:tcPr>
            <w:tcW w:w="6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(3,602)</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18,345</w:t>
            </w: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(1,396,917)</w:t>
            </w:r>
          </w:p>
        </w:tc>
        <w:tc>
          <w:tcPr>
            <w:tcW w:w="1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(1,382,163)</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00" w:type="dxa"/>
            <w:vAlign w:val="bottom"/>
            <w:gridSpan w:val="6"/>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40" w:type="dxa"/>
            <w:vAlign w:val="bottom"/>
            <w:gridSpan w:val="7"/>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20" w:type="dxa"/>
            <w:vAlign w:val="bottom"/>
            <w:gridSpan w:val="4"/>
            <w:vMerge w:val="continue"/>
            <w:shd w:val="clear" w:color="auto" w:fill="CCEEFF"/>
          </w:tcPr>
          <w:p>
            <w:pPr>
              <w:spacing w:after="0"/>
              <w:rPr>
                <w:sz w:val="14"/>
                <w:szCs w:val="14"/>
                <w:color w:val="auto"/>
              </w:rPr>
            </w:pPr>
          </w:p>
        </w:tc>
        <w:tc>
          <w:tcPr>
            <w:tcW w:w="640" w:type="dxa"/>
            <w:vAlign w:val="bottom"/>
            <w:gridSpan w:val="5"/>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-231775</wp:posOffset>
            </wp:positionV>
            <wp:extent cx="247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-32385</wp:posOffset>
            </wp:positionV>
            <wp:extent cx="247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-15875</wp:posOffset>
            </wp:positionV>
            <wp:extent cx="247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ectPr>
          <w:pgSz w:w="11900" w:h="16838" w:orient="portrait"/>
          <w:cols w:equalWidth="0" w:num="1">
            <w:col w:w="11300"/>
          </w:cols>
          <w:pgMar w:left="320" w:top="446" w:right="2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 COMMON STOCK AND STOCKHOLDERS’ DEFICIT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1880" w:type="dxa"/>
            <w:vAlign w:val="bottom"/>
          </w:tcPr>
          <w:p>
            <w:pPr>
              <w:spacing w:after="0"/>
              <w:rPr>
                <w:sz w:val="3"/>
                <w:szCs w:val="3"/>
                <w:color w:val="auto"/>
              </w:rPr>
            </w:pPr>
          </w:p>
        </w:tc>
        <w:tc>
          <w:tcPr>
            <w:tcW w:w="160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600" w:type="dxa"/>
            <w:vAlign w:val="bottom"/>
            <w:gridSpan w:val="5"/>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10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600" w:type="dxa"/>
            <w:vAlign w:val="bottom"/>
            <w:gridSpan w:val="5"/>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1600" w:type="dxa"/>
            <w:vAlign w:val="bottom"/>
            <w:gridSpan w:val="5"/>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1320" w:type="dxa"/>
            <w:vAlign w:val="bottom"/>
            <w:gridSpan w:val="4"/>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200" w:type="dxa"/>
            <w:vAlign w:val="bottom"/>
            <w:gridSpan w:val="5"/>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7"/>
        </w:trPr>
        <w:tc>
          <w:tcPr>
            <w:tcW w:w="1880" w:type="dxa"/>
            <w:vAlign w:val="bottom"/>
          </w:tcPr>
          <w:p>
            <w:pPr>
              <w:spacing w:after="0"/>
              <w:rPr>
                <w:sz w:val="11"/>
                <w:szCs w:val="11"/>
                <w:color w:val="auto"/>
              </w:rPr>
            </w:pPr>
          </w:p>
        </w:tc>
        <w:tc>
          <w:tcPr>
            <w:tcW w:w="700" w:type="dxa"/>
            <w:vAlign w:val="bottom"/>
            <w:tcBorders>
              <w:top w:val="single" w:sz="8" w:color="auto"/>
            </w:tcBorders>
            <w:gridSpan w:val="2"/>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0"/>
              <w:spacing w:after="0" w:line="13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tcBorders>
          </w:tcPr>
          <w:p>
            <w:pPr>
              <w:jc w:val="center"/>
              <w:ind w:left="1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1"/>
                <w:szCs w:val="11"/>
                <w:color w:val="auto"/>
              </w:rPr>
            </w:pPr>
          </w:p>
        </w:tc>
        <w:tc>
          <w:tcPr>
            <w:tcW w:w="640" w:type="dxa"/>
            <w:vAlign w:val="bottom"/>
            <w:tcBorders>
              <w:top w:val="single" w:sz="8" w:color="auto"/>
            </w:tcBorders>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700" w:type="dxa"/>
            <w:vAlign w:val="bottom"/>
            <w:tcBorders>
              <w:top w:val="single" w:sz="8" w:color="auto"/>
            </w:tcBorders>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1"/>
                <w:szCs w:val="11"/>
                <w:color w:val="auto"/>
              </w:rPr>
            </w:pPr>
          </w:p>
        </w:tc>
        <w:tc>
          <w:tcPr>
            <w:tcW w:w="1080" w:type="dxa"/>
            <w:vAlign w:val="bottom"/>
            <w:gridSpan w:val="3"/>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0" w:type="dxa"/>
            <w:vAlign w:val="bottom"/>
          </w:tcPr>
          <w:p>
            <w:pPr>
              <w:spacing w:after="0"/>
              <w:rPr>
                <w:sz w:val="1"/>
                <w:szCs w:val="1"/>
                <w:color w:val="auto"/>
              </w:rPr>
            </w:pPr>
          </w:p>
        </w:tc>
      </w:tr>
      <w:tr>
        <w:trPr>
          <w:trHeight w:val="137"/>
        </w:trPr>
        <w:tc>
          <w:tcPr>
            <w:tcW w:w="188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62,692,927</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8"/>
              </w:rPr>
              <w:t>$1,026,143</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tcBorders>
            <w:shd w:val="clear" w:color="auto" w:fill="CCEEFF"/>
          </w:tcPr>
          <w:p>
            <w:pPr>
              <w:jc w:val="center"/>
              <w:ind w:left="30"/>
              <w:spacing w:after="0" w:line="137"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4,932,415</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160"/>
              <w:spacing w:after="0" w:line="137" w:lineRule="exact"/>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40"/>
              <w:spacing w:after="0" w:line="137"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   — </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9,251</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w w:val="97"/>
              </w:rPr>
              <w:t>(1,138,302)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(1,129,027)</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Issuance of Series G-3 Preferred</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47,781</w:t>
            </w: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2,738</w:t>
            </w:r>
          </w:p>
        </w:tc>
        <w:tc>
          <w:tcPr>
            <w:tcW w:w="20" w:type="dxa"/>
            <w:vAlign w:val="bottom"/>
            <w:shd w:val="clear" w:color="auto" w:fill="000000"/>
          </w:tcPr>
          <w:p>
            <w:pPr>
              <w:spacing w:after="0"/>
              <w:rPr>
                <w:sz w:val="10"/>
                <w:szCs w:val="10"/>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0"/>
                <w:szCs w:val="10"/>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720" w:type="dxa"/>
            <w:vAlign w:val="bottom"/>
            <w:tcBorders>
              <w:left w:val="single" w:sz="8" w:color="CCEEFF"/>
            </w:tcBorders>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6"/>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20" w:type="dxa"/>
            <w:vAlign w:val="bottom"/>
            <w:tcBorders>
              <w:lef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Dividends</w:t>
            </w:r>
          </w:p>
        </w:tc>
        <w:tc>
          <w:tcPr>
            <w:tcW w:w="700" w:type="dxa"/>
            <w:vAlign w:val="bottom"/>
            <w:gridSpan w:val="2"/>
          </w:tcPr>
          <w:p>
            <w:pPr>
              <w:ind w:left="4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3"/>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5,440</w:t>
            </w:r>
          </w:p>
        </w:tc>
        <w:tc>
          <w:tcPr>
            <w:tcW w:w="20" w:type="dxa"/>
            <w:vAlign w:val="bottom"/>
            <w:shd w:val="clear" w:color="auto" w:fill="000000"/>
          </w:tcPr>
          <w:p>
            <w:pPr>
              <w:spacing w:after="0"/>
              <w:rPr>
                <w:sz w:val="12"/>
                <w:szCs w:val="12"/>
                <w:color w:val="auto"/>
              </w:rPr>
            </w:pPr>
          </w:p>
        </w:tc>
        <w:tc>
          <w:tcPr>
            <w:tcW w:w="720" w:type="dxa"/>
            <w:vAlign w:val="bottom"/>
          </w:tcPr>
          <w:p>
            <w:pPr>
              <w:ind w:left="5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640" w:type="dxa"/>
            <w:vAlign w:val="bottom"/>
            <w:gridSpan w:val="2"/>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700" w:type="dxa"/>
            <w:vAlign w:val="bottom"/>
            <w:gridSpan w:val="2"/>
          </w:tcPr>
          <w:p>
            <w:pPr>
              <w:ind w:left="3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15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tcPr>
          <w:p>
            <w:pPr>
              <w:ind w:left="3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260"/>
              <w:spacing w:after="0" w:line="144" w:lineRule="exact"/>
              <w:rPr>
                <w:sz w:val="20"/>
                <w:szCs w:val="20"/>
                <w:color w:val="auto"/>
              </w:rPr>
            </w:pPr>
            <w:r>
              <w:rPr>
                <w:rFonts w:ascii="Times New Roman" w:cs="Times New Roman" w:eastAsia="Times New Roman" w:hAnsi="Times New Roman"/>
                <w:sz w:val="14"/>
                <w:szCs w:val="14"/>
                <w:color w:val="auto"/>
              </w:rPr>
              <w:t>(10,669)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(10,669)</w:t>
            </w:r>
          </w:p>
        </w:tc>
        <w:tc>
          <w:tcPr>
            <w:tcW w:w="0" w:type="dxa"/>
            <w:vAlign w:val="bottom"/>
          </w:tcPr>
          <w:p>
            <w:pPr>
              <w:spacing w:after="0"/>
              <w:rPr>
                <w:sz w:val="1"/>
                <w:szCs w:val="1"/>
                <w:color w:val="auto"/>
              </w:rPr>
            </w:pPr>
          </w:p>
        </w:tc>
      </w:tr>
      <w:tr>
        <w:trPr>
          <w:trHeight w:val="121"/>
        </w:trPr>
        <w:tc>
          <w:tcPr>
            <w:tcW w:w="18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Repurchase of Non-voting</w:t>
            </w:r>
          </w:p>
        </w:tc>
        <w:tc>
          <w:tcPr>
            <w:tcW w:w="7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720" w:type="dxa"/>
            <w:vAlign w:val="bottom"/>
            <w:tcBorders>
              <w:left w:val="single" w:sz="8" w:color="CCEEFF"/>
            </w:tcBorders>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(145,466)</w:t>
            </w:r>
          </w:p>
        </w:tc>
        <w:tc>
          <w:tcPr>
            <w:tcW w:w="66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(3,602)</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66"/>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20" w:type="dxa"/>
            <w:vAlign w:val="bottom"/>
            <w:tcBorders>
              <w:lef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Common stock issued in</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connection with business</w:t>
            </w:r>
          </w:p>
        </w:tc>
        <w:tc>
          <w:tcPr>
            <w:tcW w:w="7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— </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130,874</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Pr>
          <w:p>
            <w:pPr>
              <w:spacing w:after="0"/>
              <w:rPr>
                <w:sz w:val="12"/>
                <w:szCs w:val="12"/>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4,305</w:t>
            </w: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shd w:val="clear" w:color="auto" w:fill="CCEEFF"/>
          </w:tcPr>
          <w:p>
            <w:pPr>
              <w:ind w:left="4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720" w:type="dxa"/>
            <w:vAlign w:val="bottom"/>
            <w:tcBorders>
              <w:left w:val="single" w:sz="8" w:color="CCEEFF"/>
            </w:tcBorders>
            <w:shd w:val="clear" w:color="auto" w:fill="CCEEFF"/>
          </w:tcPr>
          <w:p>
            <w:pPr>
              <w:ind w:left="5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5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4" w:lineRule="exact"/>
              <w:rPr>
                <w:sz w:val="20"/>
                <w:szCs w:val="20"/>
                <w:color w:val="auto"/>
              </w:rPr>
            </w:pPr>
            <w:r>
              <w:rPr>
                <w:rFonts w:ascii="Times New Roman" w:cs="Times New Roman" w:eastAsia="Times New Roman" w:hAnsi="Times New Roman"/>
                <w:sz w:val="14"/>
                <w:szCs w:val="14"/>
                <w:color w:val="auto"/>
              </w:rPr>
              <w:t>(54,377)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(54,377)</w:t>
            </w:r>
          </w:p>
        </w:tc>
        <w:tc>
          <w:tcPr>
            <w:tcW w:w="0" w:type="dxa"/>
            <w:vAlign w:val="bottom"/>
          </w:tcPr>
          <w:p>
            <w:pPr>
              <w:spacing w:after="0"/>
              <w:rPr>
                <w:sz w:val="1"/>
                <w:szCs w:val="1"/>
                <w:color w:val="auto"/>
              </w:rPr>
            </w:pPr>
          </w:p>
        </w:tc>
      </w:tr>
      <w:tr>
        <w:trPr>
          <w:trHeight w:val="150"/>
        </w:trPr>
        <w:tc>
          <w:tcPr>
            <w:tcW w:w="1880" w:type="dxa"/>
            <w:vAlign w:val="bottom"/>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6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62,740,708</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1,034,321</w:t>
            </w:r>
          </w:p>
        </w:tc>
        <w:tc>
          <w:tcPr>
            <w:tcW w:w="18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720" w:type="dxa"/>
            <w:vAlign w:val="bottom"/>
            <w:tcBorders>
              <w:top w:val="single" w:sz="8" w:color="auto"/>
              <w:bottom w:val="single" w:sz="8" w:color="auto"/>
            </w:tcBorders>
          </w:tcPr>
          <w:p>
            <w:pPr>
              <w:jc w:val="center"/>
              <w:ind w:left="30"/>
              <w:spacing w:after="0" w:line="150"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5,063,289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160"/>
              <w:spacing w:after="0" w:line="150" w:lineRule="exact"/>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ind w:left="40"/>
              <w:spacing w:after="0" w:line="150" w:lineRule="exact"/>
              <w:rPr>
                <w:sz w:val="20"/>
                <w:szCs w:val="20"/>
                <w:color w:val="auto"/>
              </w:rPr>
            </w:pPr>
            <w:r>
              <w:rPr>
                <w:rFonts w:ascii="Times New Roman" w:cs="Times New Roman" w:eastAsia="Times New Roman" w:hAnsi="Times New Roman"/>
                <w:sz w:val="14"/>
                <w:szCs w:val="14"/>
                <w:color w:val="auto"/>
                <w:w w:val="95"/>
              </w:rPr>
              <w:t>(145,466</w:t>
            </w:r>
          </w:p>
        </w:tc>
        <w:tc>
          <w:tcPr>
            <w:tcW w:w="160" w:type="dxa"/>
            <w:vAlign w:val="bottom"/>
          </w:tcPr>
          <w:p>
            <w:pPr>
              <w:jc w:val="right"/>
              <w:ind w:right="30"/>
              <w:spacing w:after="0" w:line="150" w:lineRule="exact"/>
              <w:rPr>
                <w:sz w:val="20"/>
                <w:szCs w:val="20"/>
                <w:color w:val="auto"/>
              </w:rPr>
            </w:pPr>
            <w:r>
              <w:rPr>
                <w:rFonts w:ascii="Times New Roman" w:cs="Times New Roman" w:eastAsia="Times New Roman" w:hAnsi="Times New Roman"/>
                <w:sz w:val="14"/>
                <w:szCs w:val="14"/>
                <w:color w:val="auto"/>
                <w:w w:val="84"/>
              </w:rPr>
              <w:t>)</w:t>
            </w:r>
          </w:p>
        </w:tc>
        <w:tc>
          <w:tcPr>
            <w:tcW w:w="5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 (3,602</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13,556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ind w:left="20"/>
              <w:spacing w:after="0" w:line="150" w:lineRule="exact"/>
              <w:rPr>
                <w:sz w:val="20"/>
                <w:szCs w:val="20"/>
                <w:color w:val="auto"/>
              </w:rPr>
            </w:pPr>
            <w:r>
              <w:rPr>
                <w:rFonts w:ascii="Times New Roman" w:cs="Times New Roman" w:eastAsia="Times New Roman" w:hAnsi="Times New Roman"/>
                <w:sz w:val="14"/>
                <w:szCs w:val="14"/>
                <w:color w:val="auto"/>
                <w:w w:val="97"/>
              </w:rPr>
              <w:t>(1,203,348)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(1,193,398)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1880" w:type="dxa"/>
            <w:vAlign w:val="bottom"/>
          </w:tcPr>
          <w:p>
            <w:pPr>
              <w:spacing w:after="0"/>
              <w:rPr>
                <w:sz w:val="18"/>
                <w:szCs w:val="18"/>
                <w:color w:val="auto"/>
              </w:rPr>
            </w:pPr>
          </w:p>
        </w:tc>
        <w:tc>
          <w:tcPr>
            <w:tcW w:w="160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13"/>
                <w:szCs w:val="13"/>
                <w:color w:val="auto"/>
              </w:rPr>
            </w:pPr>
          </w:p>
        </w:tc>
        <w:tc>
          <w:tcPr>
            <w:tcW w:w="1600" w:type="dxa"/>
            <w:vAlign w:val="bottom"/>
            <w:gridSpan w:val="5"/>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0" w:type="dxa"/>
            <w:vAlign w:val="bottom"/>
            <w:shd w:val="clear" w:color="auto" w:fill="000000"/>
          </w:tcPr>
          <w:p>
            <w:pPr>
              <w:spacing w:after="0"/>
              <w:rPr>
                <w:sz w:val="13"/>
                <w:szCs w:val="13"/>
                <w:color w:val="auto"/>
              </w:rPr>
            </w:pPr>
          </w:p>
        </w:tc>
        <w:tc>
          <w:tcPr>
            <w:tcW w:w="10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600" w:type="dxa"/>
            <w:vAlign w:val="bottom"/>
            <w:gridSpan w:val="5"/>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1600" w:type="dxa"/>
            <w:vAlign w:val="bottom"/>
            <w:gridSpan w:val="5"/>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shd w:val="clear" w:color="auto" w:fill="000000"/>
          </w:tcPr>
          <w:p>
            <w:pPr>
              <w:spacing w:after="0"/>
              <w:rPr>
                <w:sz w:val="13"/>
                <w:szCs w:val="13"/>
                <w:color w:val="auto"/>
              </w:rPr>
            </w:pPr>
          </w:p>
        </w:tc>
        <w:tc>
          <w:tcPr>
            <w:tcW w:w="1320" w:type="dxa"/>
            <w:vAlign w:val="bottom"/>
            <w:gridSpan w:val="4"/>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200" w:type="dxa"/>
            <w:vAlign w:val="bottom"/>
            <w:gridSpan w:val="5"/>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92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7"/>
        </w:trPr>
        <w:tc>
          <w:tcPr>
            <w:tcW w:w="1880" w:type="dxa"/>
            <w:vAlign w:val="bottom"/>
          </w:tcPr>
          <w:p>
            <w:pPr>
              <w:spacing w:after="0"/>
              <w:rPr>
                <w:sz w:val="11"/>
                <w:szCs w:val="11"/>
                <w:color w:val="auto"/>
              </w:rPr>
            </w:pPr>
          </w:p>
        </w:tc>
        <w:tc>
          <w:tcPr>
            <w:tcW w:w="700" w:type="dxa"/>
            <w:vAlign w:val="bottom"/>
            <w:tcBorders>
              <w:top w:val="single" w:sz="8" w:color="auto"/>
            </w:tcBorders>
            <w:gridSpan w:val="2"/>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0"/>
              <w:spacing w:after="0" w:line="13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tcBorders>
          </w:tcPr>
          <w:p>
            <w:pPr>
              <w:jc w:val="center"/>
              <w:ind w:left="1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1"/>
                <w:szCs w:val="11"/>
                <w:color w:val="auto"/>
              </w:rPr>
            </w:pPr>
          </w:p>
        </w:tc>
        <w:tc>
          <w:tcPr>
            <w:tcW w:w="640" w:type="dxa"/>
            <w:vAlign w:val="bottom"/>
            <w:tcBorders>
              <w:top w:val="single" w:sz="8" w:color="auto"/>
            </w:tcBorders>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700" w:type="dxa"/>
            <w:vAlign w:val="bottom"/>
            <w:tcBorders>
              <w:top w:val="single" w:sz="8" w:color="auto"/>
            </w:tcBorders>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1"/>
                <w:szCs w:val="11"/>
                <w:color w:val="auto"/>
              </w:rPr>
            </w:pPr>
          </w:p>
        </w:tc>
        <w:tc>
          <w:tcPr>
            <w:tcW w:w="1080" w:type="dxa"/>
            <w:vAlign w:val="bottom"/>
            <w:gridSpan w:val="3"/>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0" w:type="dxa"/>
            <w:vAlign w:val="bottom"/>
          </w:tcPr>
          <w:p>
            <w:pPr>
              <w:spacing w:after="0"/>
              <w:rPr>
                <w:sz w:val="1"/>
                <w:szCs w:val="1"/>
                <w:color w:val="auto"/>
              </w:rPr>
            </w:pPr>
          </w:p>
        </w:tc>
      </w:tr>
      <w:tr>
        <w:trPr>
          <w:trHeight w:val="137"/>
        </w:trPr>
        <w:tc>
          <w:tcPr>
            <w:tcW w:w="188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6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63,525,953</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8"/>
              </w:rPr>
              <w:t>$1,105,543</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720" w:type="dxa"/>
            <w:vAlign w:val="bottom"/>
            <w:tcBorders>
              <w:top w:val="single" w:sz="8" w:color="auto"/>
              <w:left w:val="single" w:sz="8" w:color="CCEEFF"/>
            </w:tcBorders>
            <w:shd w:val="clear" w:color="auto" w:fill="CCEEFF"/>
          </w:tcPr>
          <w:p>
            <w:pPr>
              <w:jc w:val="center"/>
              <w:ind w:left="30"/>
              <w:spacing w:after="0" w:line="137"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5,205,802</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ind w:left="160"/>
              <w:spacing w:after="0" w:line="137" w:lineRule="exact"/>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40"/>
              <w:spacing w:after="0" w:line="137" w:lineRule="exact"/>
              <w:rPr>
                <w:sz w:val="20"/>
                <w:szCs w:val="20"/>
                <w:color w:val="auto"/>
              </w:rPr>
            </w:pPr>
            <w:r>
              <w:rPr>
                <w:rFonts w:ascii="Times New Roman" w:cs="Times New Roman" w:eastAsia="Times New Roman" w:hAnsi="Times New Roman"/>
                <w:sz w:val="14"/>
                <w:szCs w:val="14"/>
                <w:color w:val="auto"/>
                <w:w w:val="87"/>
              </w:rPr>
              <w:t>(145,466)</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w w:val="93"/>
              </w:rPr>
              <w:t>$ (3,602)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18,345</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w w:val="97"/>
              </w:rPr>
              <w:t>(1,396,917)</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4"/>
                <w:szCs w:val="14"/>
                <w:color w:val="auto"/>
              </w:rPr>
              <w:t>(1,382,163)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Issuance of Series G-3 Preferred</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66,465</w:t>
            </w: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3,809</w:t>
            </w:r>
          </w:p>
        </w:tc>
        <w:tc>
          <w:tcPr>
            <w:tcW w:w="20" w:type="dxa"/>
            <w:vAlign w:val="bottom"/>
            <w:shd w:val="clear" w:color="auto" w:fill="000000"/>
          </w:tcPr>
          <w:p>
            <w:pPr>
              <w:spacing w:after="0"/>
              <w:rPr>
                <w:sz w:val="10"/>
                <w:szCs w:val="10"/>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0"/>
                <w:szCs w:val="10"/>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Issuance of Series G-4 Preferred</w:t>
            </w:r>
          </w:p>
        </w:tc>
        <w:tc>
          <w:tcPr>
            <w:tcW w:w="7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10,666</w:t>
            </w: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611</w:t>
            </w:r>
          </w:p>
        </w:tc>
        <w:tc>
          <w:tcPr>
            <w:tcW w:w="20" w:type="dxa"/>
            <w:vAlign w:val="bottom"/>
            <w:shd w:val="clear" w:color="auto" w:fill="000000"/>
          </w:tcPr>
          <w:p>
            <w:pPr>
              <w:spacing w:after="0"/>
              <w:rPr>
                <w:sz w:val="10"/>
                <w:szCs w:val="10"/>
                <w:color w:val="auto"/>
              </w:rPr>
            </w:pPr>
          </w:p>
        </w:tc>
        <w:tc>
          <w:tcPr>
            <w:tcW w:w="720" w:type="dxa"/>
            <w:vAlign w:val="bottom"/>
            <w:tcBorders>
              <w:left w:val="single" w:sz="8" w:color="CCEEFF"/>
            </w:tcBorders>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6"/>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70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20" w:type="dxa"/>
            <w:vAlign w:val="bottom"/>
            <w:tcBorders>
              <w:left w:val="single" w:sz="8" w:color="CCEEFF"/>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0"/>
                <w:szCs w:val="10"/>
                <w:color w:val="auto"/>
              </w:rPr>
            </w:pPr>
          </w:p>
        </w:tc>
        <w:tc>
          <w:tcPr>
            <w:tcW w:w="6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0"/>
                <w:szCs w:val="10"/>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Dividends</w:t>
            </w:r>
          </w:p>
        </w:tc>
        <w:tc>
          <w:tcPr>
            <w:tcW w:w="700" w:type="dxa"/>
            <w:vAlign w:val="bottom"/>
            <w:gridSpan w:val="2"/>
            <w:shd w:val="clear" w:color="auto" w:fill="CCEEFF"/>
          </w:tcPr>
          <w:p>
            <w:pPr>
              <w:ind w:left="4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3"/>
            <w:shd w:val="clear" w:color="auto" w:fill="CCEEFF"/>
          </w:tcPr>
          <w:p>
            <w:pPr>
              <w:jc w:val="right"/>
              <w:ind w:right="180"/>
              <w:spacing w:after="0" w:line="144" w:lineRule="exact"/>
              <w:rPr>
                <w:sz w:val="20"/>
                <w:szCs w:val="20"/>
                <w:color w:val="auto"/>
              </w:rPr>
            </w:pPr>
            <w:r>
              <w:rPr>
                <w:rFonts w:ascii="Times New Roman" w:cs="Times New Roman" w:eastAsia="Times New Roman" w:hAnsi="Times New Roman"/>
                <w:sz w:val="14"/>
                <w:szCs w:val="14"/>
                <w:color w:val="auto"/>
              </w:rPr>
              <w:t>24,839</w:t>
            </w:r>
          </w:p>
        </w:tc>
        <w:tc>
          <w:tcPr>
            <w:tcW w:w="20" w:type="dxa"/>
            <w:vAlign w:val="bottom"/>
            <w:shd w:val="clear" w:color="auto" w:fill="000000"/>
          </w:tcPr>
          <w:p>
            <w:pPr>
              <w:spacing w:after="0"/>
              <w:rPr>
                <w:sz w:val="12"/>
                <w:szCs w:val="12"/>
                <w:color w:val="auto"/>
              </w:rPr>
            </w:pPr>
          </w:p>
        </w:tc>
        <w:tc>
          <w:tcPr>
            <w:tcW w:w="720" w:type="dxa"/>
            <w:vAlign w:val="bottom"/>
            <w:tcBorders>
              <w:left w:val="single" w:sz="8" w:color="CCEEFF"/>
            </w:tcBorders>
            <w:shd w:val="clear" w:color="auto" w:fill="CCEEFF"/>
          </w:tcPr>
          <w:p>
            <w:pPr>
              <w:ind w:left="5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5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4" w:lineRule="exact"/>
              <w:rPr>
                <w:sz w:val="20"/>
                <w:szCs w:val="20"/>
                <w:color w:val="auto"/>
              </w:rPr>
            </w:pPr>
            <w:r>
              <w:rPr>
                <w:rFonts w:ascii="Times New Roman" w:cs="Times New Roman" w:eastAsia="Times New Roman" w:hAnsi="Times New Roman"/>
                <w:sz w:val="14"/>
                <w:szCs w:val="14"/>
                <w:color w:val="auto"/>
              </w:rPr>
              <w:t>(27,807)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(27,807)</w:t>
            </w:r>
          </w:p>
        </w:tc>
        <w:tc>
          <w:tcPr>
            <w:tcW w:w="0" w:type="dxa"/>
            <w:vAlign w:val="bottom"/>
          </w:tcPr>
          <w:p>
            <w:pPr>
              <w:spacing w:after="0"/>
              <w:rPr>
                <w:sz w:val="1"/>
                <w:szCs w:val="1"/>
                <w:color w:val="auto"/>
              </w:rPr>
            </w:pPr>
          </w:p>
        </w:tc>
      </w:tr>
      <w:tr>
        <w:trPr>
          <w:trHeight w:val="121"/>
        </w:trPr>
        <w:tc>
          <w:tcPr>
            <w:tcW w:w="1880" w:type="dxa"/>
            <w:vAlign w:val="bottom"/>
          </w:tcPr>
          <w:p>
            <w:pPr>
              <w:spacing w:after="0" w:line="121" w:lineRule="exact"/>
              <w:rPr>
                <w:sz w:val="20"/>
                <w:szCs w:val="20"/>
                <w:color w:val="auto"/>
              </w:rPr>
            </w:pPr>
            <w:r>
              <w:rPr>
                <w:rFonts w:ascii="Times New Roman" w:cs="Times New Roman" w:eastAsia="Times New Roman" w:hAnsi="Times New Roman"/>
                <w:sz w:val="14"/>
                <w:szCs w:val="14"/>
                <w:color w:val="auto"/>
              </w:rPr>
              <w:t>Common stock issued in</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8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connection with business</w:t>
            </w:r>
          </w:p>
        </w:tc>
        <w:tc>
          <w:tcPr>
            <w:tcW w:w="7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85"/>
              </w:rPr>
              <w:t>— </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9,141</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Pr>
          <w:p>
            <w:pPr>
              <w:spacing w:after="0"/>
              <w:rPr>
                <w:sz w:val="12"/>
                <w:szCs w:val="12"/>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6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344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combinations</w:t>
            </w: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shd w:val="clear" w:color="auto" w:fill="CCEEFF"/>
          </w:tcPr>
          <w:p>
            <w:pPr>
              <w:ind w:left="46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2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720" w:type="dxa"/>
            <w:vAlign w:val="bottom"/>
            <w:tcBorders>
              <w:left w:val="single" w:sz="8" w:color="CCEEFF"/>
            </w:tcBorders>
            <w:shd w:val="clear" w:color="auto" w:fill="CCEEFF"/>
          </w:tcPr>
          <w:p>
            <w:pPr>
              <w:ind w:left="5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4"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59"/>
              <w:spacing w:after="0" w:line="144"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60"/>
              <w:spacing w:after="0" w:line="144" w:lineRule="exact"/>
              <w:rPr>
                <w:sz w:val="20"/>
                <w:szCs w:val="20"/>
                <w:color w:val="auto"/>
              </w:rPr>
            </w:pPr>
            <w:r>
              <w:rPr>
                <w:rFonts w:ascii="Times New Roman" w:cs="Times New Roman" w:eastAsia="Times New Roman" w:hAnsi="Times New Roman"/>
                <w:sz w:val="14"/>
                <w:szCs w:val="14"/>
                <w:color w:val="auto"/>
              </w:rPr>
              <w:t>(64,743)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(64,743)</w:t>
            </w:r>
          </w:p>
        </w:tc>
        <w:tc>
          <w:tcPr>
            <w:tcW w:w="0" w:type="dxa"/>
            <w:vAlign w:val="bottom"/>
          </w:tcPr>
          <w:p>
            <w:pPr>
              <w:spacing w:after="0"/>
              <w:rPr>
                <w:sz w:val="1"/>
                <w:szCs w:val="1"/>
                <w:color w:val="auto"/>
              </w:rPr>
            </w:pPr>
          </w:p>
        </w:tc>
      </w:tr>
      <w:tr>
        <w:trPr>
          <w:trHeight w:val="150"/>
        </w:trPr>
        <w:tc>
          <w:tcPr>
            <w:tcW w:w="1880" w:type="dxa"/>
            <w:vAlign w:val="bottom"/>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68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63,603,084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1,134,802</w:t>
            </w:r>
          </w:p>
        </w:tc>
        <w:tc>
          <w:tcPr>
            <w:tcW w:w="18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720" w:type="dxa"/>
            <w:vAlign w:val="bottom"/>
            <w:tcBorders>
              <w:top w:val="single" w:sz="8" w:color="auto"/>
              <w:bottom w:val="single" w:sz="8" w:color="auto"/>
            </w:tcBorders>
          </w:tcPr>
          <w:p>
            <w:pPr>
              <w:jc w:val="center"/>
              <w:ind w:left="30"/>
              <w:spacing w:after="0" w:line="150" w:lineRule="exact"/>
              <w:rPr>
                <w:sz w:val="20"/>
                <w:szCs w:val="20"/>
                <w:color w:val="auto"/>
              </w:rPr>
            </w:pPr>
            <w:r>
              <w:rPr>
                <w:rFonts w:ascii="Times New Roman" w:cs="Times New Roman" w:eastAsia="Times New Roman" w:hAnsi="Times New Roman"/>
                <w:sz w:val="14"/>
                <w:szCs w:val="14"/>
                <w:color w:val="auto"/>
                <w:w w:val="98"/>
              </w:rPr>
              <w:t>58,367,961</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0"/>
                <w:szCs w:val="10"/>
                <w:color w:val="auto"/>
                <w:w w:val="79"/>
              </w:rPr>
              <w:t>6</w:t>
            </w: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5,214,943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160"/>
              <w:spacing w:after="0" w:line="150" w:lineRule="exact"/>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ind w:left="40"/>
              <w:spacing w:after="0" w:line="150" w:lineRule="exact"/>
              <w:rPr>
                <w:sz w:val="20"/>
                <w:szCs w:val="20"/>
                <w:color w:val="auto"/>
              </w:rPr>
            </w:pPr>
            <w:r>
              <w:rPr>
                <w:rFonts w:ascii="Times New Roman" w:cs="Times New Roman" w:eastAsia="Times New Roman" w:hAnsi="Times New Roman"/>
                <w:sz w:val="14"/>
                <w:szCs w:val="14"/>
                <w:color w:val="auto"/>
                <w:w w:val="95"/>
              </w:rPr>
              <w:t>(145,466</w:t>
            </w:r>
          </w:p>
        </w:tc>
        <w:tc>
          <w:tcPr>
            <w:tcW w:w="160" w:type="dxa"/>
            <w:vAlign w:val="bottom"/>
          </w:tcPr>
          <w:p>
            <w:pPr>
              <w:jc w:val="right"/>
              <w:ind w:right="30"/>
              <w:spacing w:after="0" w:line="150" w:lineRule="exact"/>
              <w:rPr>
                <w:sz w:val="20"/>
                <w:szCs w:val="20"/>
                <w:color w:val="auto"/>
              </w:rPr>
            </w:pPr>
            <w:r>
              <w:rPr>
                <w:rFonts w:ascii="Times New Roman" w:cs="Times New Roman" w:eastAsia="Times New Roman" w:hAnsi="Times New Roman"/>
                <w:sz w:val="14"/>
                <w:szCs w:val="14"/>
                <w:color w:val="auto"/>
                <w:w w:val="84"/>
              </w:rPr>
              <w:t>)</w:t>
            </w:r>
          </w:p>
        </w:tc>
        <w:tc>
          <w:tcPr>
            <w:tcW w:w="5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 (3,602</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18,689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ind w:left="20"/>
              <w:spacing w:after="0" w:line="150" w:lineRule="exact"/>
              <w:rPr>
                <w:sz w:val="20"/>
                <w:szCs w:val="20"/>
                <w:color w:val="auto"/>
              </w:rPr>
            </w:pPr>
            <w:r>
              <w:rPr>
                <w:rFonts w:ascii="Times New Roman" w:cs="Times New Roman" w:eastAsia="Times New Roman" w:hAnsi="Times New Roman"/>
                <w:sz w:val="14"/>
                <w:szCs w:val="14"/>
                <w:color w:val="auto"/>
                <w:w w:val="97"/>
              </w:rPr>
              <w:t>(1,489,467)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(51)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(1,474,425)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1300"/>
          </w:cols>
          <w:pgMar w:left="320" w:top="446" w:right="2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9" w:lineRule="exact"/>
        <w:rPr>
          <w:sz w:val="20"/>
          <w:szCs w:val="20"/>
          <w:color w:val="auto"/>
        </w:rPr>
      </w:pPr>
    </w:p>
    <w:p>
      <w:pPr>
        <w:ind w:left="460" w:right="8460" w:hanging="455"/>
        <w:spacing w:after="0" w:line="386" w:lineRule="auto"/>
        <w:tabs>
          <w:tab w:leader="none" w:pos="453"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Company Information</w:t>
      </w: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w:t>
      </w:r>
    </w:p>
    <w:p>
      <w:pPr>
        <w:spacing w:after="0" w:line="193" w:lineRule="exact"/>
        <w:rPr>
          <w:sz w:val="20"/>
          <w:szCs w:val="20"/>
          <w:color w:val="auto"/>
        </w:rPr>
      </w:pPr>
    </w:p>
    <w:p>
      <w:pPr>
        <w:ind w:left="460" w:right="6300" w:hanging="455"/>
        <w:spacing w:after="0" w:line="386" w:lineRule="auto"/>
        <w:tabs>
          <w:tab w:leader="none" w:pos="453"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Principles of Consolidation and Basis of Presentation</w:t>
      </w: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Tempus AI,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7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We have incurred significant losses and negative cash flows from operations since our inception, and as of March 31, 2024, we had an accumulated deficit of $1.5 billion. The Company believes that its existing cash and cash equivalents and marketable equity securities at March 31, 2024, inclusive of the proceeds from the Series G-5 Financing, will be sufficient to allow the Company to fund its current operating plan through at least a period of one year from the date of issuance. To the extent the Company incurs additional losses beyond its current operating plan, it may be required to seek future capital requirements, in the form of third-party funding, or to reduce costs.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Reclassification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Certain prior year amounts have been reclassified for consistency with the current year presentation.</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1300"/>
          </w:cols>
          <w:pgMar w:left="320" w:top="446" w:right="2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Unaudited Interim Consolidated Financial Information</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accompanying interim consolidated balance sheet as of March 31, 2024, the consolidated statements of operations and comprehensive income (loss), redeemable convertible preferred stock, common stock and stockholders’ deficit, and cash flows for the three months ended March 31, 2023 and 2024, and the related footnote disclosures are unaudited. In management’s opinion, the unaudited interim consolidated financial statements include all adjustments necessary to state fairly the Company’s financial position as of March 31, 2024 and its results of operations and cash flows for the three months ended March 31, 2023 and 2024. The results of operations for the three months ended March 31, 2024 are not necessarily indicative of the results expected for the year ending December 31, 2024 or any other future period.</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20"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COVID-19</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Revenue generated from COVID-19 testing was $22.2 million, or 6.9% of our total revenue, for the year ended December 31, 2022. Revenue generated from COVID-19 testing was $2.6 million, or 2.3%, of our total revenue for the three months ended March 31, 2023. Revenue generated from COVID-19 testing was $2.7 million, or 0.5% of total revenue, for the year ended December 31, 2023 and $0 for the three months ended March 31, 2024, as we stopped offering COVID-19 PCR diagnostic tests in the first quarter of 2023, at which time we shifted resources from COVID-19 testing to other aspects of the business.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w:t>
      </w:r>
    </w:p>
    <w:p>
      <w:pPr>
        <w:spacing w:after="0" w:line="200" w:lineRule="exact"/>
        <w:rPr>
          <w:sz w:val="20"/>
          <w:szCs w:val="20"/>
          <w:color w:val="auto"/>
        </w:rPr>
      </w:pP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Company considers all highly-liquid investments with an original maturity of three months or less from the date of purchase to be cash equivalents. Restricted cash primarily represents amounts that the Company is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1">
            <w:col w:w="11300"/>
          </w:cols>
          <w:pgMar w:left="320" w:top="446" w:right="2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unable to access for operational purposes pursuant to a letter of credit with a financial institution in connection with an equipment lease. The Company had $0.8 million, $0.8 million, and $0.9 million of restricted cash as of December 31, 2022 and 2023, and March 31, 2024 respectively.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Accounts Receivable and Allowances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the age of an invoice, historical payment trends, as well as forward looking data and current economic trends. The Company had an allowance for doubtful accounts of $2.9 million, $1.1 million, and $1.0 million as of December 31, 2022 and 2023 and March 31, 2024, respectively.</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62"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47"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Revenue from one customer accounted for 8.3%, 8.3%, 6.3%, and 6.6% of the Company’s revenues for the years ended December 31, 2022 and 2023, and the three months ended March 31, 2023 and 2024, respectively. The amount due from this customer was approximately $6.9 million or 7.8%, $11.2 million or 11.9%, $12.5 million or 12.8%, and $13.2 million or 12.3% of accounts receivable as of December 31, 2022 and 2023, and March 31, 2023 and 2024, respectively. One additional customer accounted for 5.1%, 6.0%, and 5.7% of the Company’s revenues for the year ended December 31, 2023 and the three months ended March 31, 2023 and 2024, respectively, but did not represent a significant portion of total revenues for the year ended December 31, 2022. The amount due from this additional customer was not material as of December 31, 2022 or 2023 or March 31, 2023 or 2024.</w:t>
      </w:r>
    </w:p>
    <w:p>
      <w:pPr>
        <w:spacing w:after="0" w:line="17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Two additional customers did not represent a significant portion of total revenues for the years ended December 31, 2022 and 2023 or for the three months ended March 31, 2023 and 2024, but accounted for $6.3 million or 7.1%, and $6.1 million or 6.8%, respectively, of accounts receivable as of December 31, 2022. These two customers represented less than 5% of accounts receivable as of December 31, 2023, and March 31, 2023 and 2024. An additional customer did not represent a significant portion of total revenues for the years ended December 31, 2022 and 2023, or for the three months ended March 31, 2023 and 2024, but accounted for $10.1 million or 11.4%, and $4.9 million or 5.0%, respectively, of accounts receivable as of December 31, 2022 and March 31, 2023. This additional customer represented less than 5% of accounts receivable as of December 31, 2023 and March 31, 2024.</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Inventories, consisting of supplies and consumables used in the lab, are accounted for using the first-in, first-out method of accounting and are valued at the lower of cost or net realizable value. The Company periodically reviews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1300"/>
          </w:cols>
          <w:pgMar w:left="320" w:top="446" w:right="2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inventory for excess or obsolescence and writes-down obsolete or otherwise un-usable inventory to its estimated net realizable value. Amounts written-down due to obsolete inventory are charged to cost of revenues. For the year ended December 31, 2022, the Company increased its inventory reserve by $1.9 million related to the expiration of COVID-19 testing kits. As of December 31, 2022, the Company had approximately $21.1 million of inventory and $1.2 million of inventory in process in the labs. As of December 31, 2023, the Company had approximately $27.3 million of inventory and $1.5 million of inventory in process in the labs. As of March 31, 2024, the Company had approximately $28.4 million of inventory and $1.7 million of inventory in process in the labs.</w:t>
      </w:r>
    </w:p>
    <w:p>
      <w:pPr>
        <w:spacing w:after="0" w:line="171" w:lineRule="exact"/>
        <w:rPr>
          <w:sz w:val="20"/>
          <w:szCs w:val="20"/>
          <w:color w:val="auto"/>
        </w:rPr>
      </w:pPr>
    </w:p>
    <w:p>
      <w:pPr>
        <w:jc w:val="both"/>
        <w:ind w:firstLine="451"/>
        <w:spacing w:after="0" w:line="273" w:lineRule="auto"/>
        <w:rPr>
          <w:sz w:val="20"/>
          <w:szCs w:val="20"/>
          <w:color w:val="auto"/>
        </w:rPr>
      </w:pPr>
      <w:r>
        <w:rPr>
          <w:rFonts w:ascii="Times New Roman" w:cs="Times New Roman" w:eastAsia="Times New Roman" w:hAnsi="Times New Roman"/>
          <w:sz w:val="17"/>
          <w:szCs w:val="17"/>
          <w:color w:val="auto"/>
        </w:rPr>
        <w:t>The Company relies on a sole supplier for certain laboratory materials and equipment. Purchases from this supplier accounted for approximately 35%, 33%, 37%, and 41%, of total vendor payments for the year ended December 31, 2022 and 2023, and for the three months ended March 31, 2023 and 2024, respectively. Amounts due to this vendor approximated $8.2 million, $11.8 million, and $8.6 million at December 31, 2022 and 2023, and March 31, 2024, respectively.</w:t>
      </w: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Prepaid expenses and Other Current Assets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Prepaid expenses and other current assets totaled $19.5 million, $17.3 million, and $23.0 million at December 31, 2022 and 2023, and March 31, 2024, respectively.</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Marketable Equity Securities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Company has investments in marketable equity securities received as payment of accounts receivable. The Company’s investment in marketable equity securities does not give the Company the ability to control or exercise significant influence over the investee. Marketable equity securities are recorded at fair value. The Company’s marketable equity securities totaled $31.8 million and $15.0 million as of December 31, 2023 and March 31, 2024, respectively, all of which were shares of Recursion Pharmaceuticals, Inc. Class A common stock. During the three months ended March 31, 2024, the Company sold 1,725,902 shares of Recursion Class A common stock at a weighted average price of $13.38 for $23.1 million. Changes in fair value are recorded in earnings within other (expense) income, net on the consolidated statements of operations and comprehensive loss.</w:t>
      </w:r>
    </w:p>
    <w:p>
      <w:pPr>
        <w:spacing w:after="0" w:line="17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following summarizes the portion of unrealized gains recorded during the three months ended March 31, 2024 that relate to marketable equity securities held as of March 31, 2024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8"/>
        </w:trPr>
        <w:tc>
          <w:tcPr>
            <w:tcW w:w="9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02"/>
        </w:trPr>
        <w:tc>
          <w:tcPr>
            <w:tcW w:w="9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gain during the period on marketable equity securities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8"/>
        </w:trPr>
        <w:tc>
          <w:tcPr>
            <w:tcW w:w="9920" w:type="dxa"/>
            <w:vAlign w:val="bottom"/>
          </w:tcPr>
          <w:p>
            <w:pPr>
              <w:spacing w:after="0"/>
              <w:rPr>
                <w:sz w:val="20"/>
                <w:szCs w:val="20"/>
                <w:color w:val="auto"/>
              </w:rPr>
            </w:pPr>
            <w:r>
              <w:rPr>
                <w:rFonts w:ascii="Times New Roman" w:cs="Times New Roman" w:eastAsia="Times New Roman" w:hAnsi="Times New Roman"/>
                <w:sz w:val="17"/>
                <w:szCs w:val="17"/>
                <w:color w:val="auto"/>
              </w:rPr>
              <w:t>Less: Net gain recognized during the period on marketable equity securities sold during the period</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(6,081)</w:t>
            </w:r>
          </w:p>
        </w:tc>
      </w:tr>
      <w:tr>
        <w:trPr>
          <w:trHeight w:val="222"/>
        </w:trPr>
        <w:tc>
          <w:tcPr>
            <w:tcW w:w="9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Unrealized gain recognized during the period on marketable equity securities still held at the reporting date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19"/>
                <w:szCs w:val="19"/>
                <w:color w:val="auto"/>
              </w:rPr>
            </w:pPr>
          </w:p>
        </w:tc>
      </w:tr>
      <w:tr>
        <w:trPr>
          <w:trHeight w:val="20"/>
        </w:trPr>
        <w:tc>
          <w:tcPr>
            <w:tcW w:w="9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Property and Equipment and Intangibles</w:t>
      </w:r>
    </w:p>
    <w:p>
      <w:pPr>
        <w:spacing w:after="0" w:line="120" w:lineRule="exact"/>
        <w:rPr>
          <w:sz w:val="20"/>
          <w:szCs w:val="20"/>
          <w:color w:val="auto"/>
        </w:rPr>
      </w:pPr>
    </w:p>
    <w:p>
      <w:pPr>
        <w:jc w:val="both"/>
        <w:ind w:right="20" w:firstLine="451"/>
        <w:spacing w:after="0" w:line="288" w:lineRule="auto"/>
        <w:rPr>
          <w:sz w:val="20"/>
          <w:szCs w:val="20"/>
          <w:color w:val="auto"/>
        </w:rPr>
      </w:pPr>
      <w:r>
        <w:rPr>
          <w:rFonts w:ascii="Times New Roman" w:cs="Times New Roman" w:eastAsia="Times New Roman" w:hAnsi="Times New Roman"/>
          <w:sz w:val="17"/>
          <w:szCs w:val="17"/>
          <w:color w:val="auto"/>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1300"/>
          </w:cols>
          <w:pgMar w:left="320" w:top="446" w:right="2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Impairment of Long-Lived Assets</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 Company recognized an impairment charge related to long-lived assets during the three months ended March 31, 2023, and the year ended December 31, 2023. See Note 5, “Goodwill and Intangibles” for additional information. There were no impairment charges recognized related to long-lived assets during the year ended December 31, 2022, or during the three months ended March 31, 2024.</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69"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2022 and 2023 or the three months ended March 31, 2023 and 2024.</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Term Loan</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Company’s outstanding term loan (see Note 11)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Convertible Note</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Company’s outstanding promissory note (see Note 11) is accounted for in accordance with ASC 470. The Company determined the embedded conversion options, redemption features, and acceleration of repayment upon default are not required to be separately accounted for as derivatives under ASC 815 because they were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ectPr>
          <w:pgSz w:w="11900" w:h="16838" w:orient="portrait"/>
          <w:cols w:equalWidth="0" w:num="1">
            <w:col w:w="11300"/>
          </w:cols>
          <w:pgMar w:left="320" w:top="447" w:right="27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7"/>
          <w:szCs w:val="17"/>
          <w:color w:val="auto"/>
        </w:rPr>
        <w:t>either determined to be clearly and closely related to the host instrument or the Company has concluded that no value would be associated with the related feature based on the circumstances associated with the note’s issuance.</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20"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 Finance leases are included in finance lease right-of-use, or ROU, assets, finance lease liabilities, and finance lease liabilities, less current portion on the consolidated balance sheets.</w:t>
      </w:r>
    </w:p>
    <w:p>
      <w:pPr>
        <w:spacing w:after="0" w:line="169"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ROU assets represent the Company’s right to use an underlying asset for the lease term, and lease liabilities represent the Company’s obligation to make lease payments arising from the lease. Operating and finance lease ROU assets and operating and finance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384"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March 31, 2024, the Company’s lease liabilities did not include any options to extend or terminate any of its leases.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20"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The Company derives revenue from selling lab services (“Genomics”) to physicians,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6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Company accounts for revenue in accordance with ASC Topic 606, Revenue From Contracts With Customers. The Company commences revenue recognition when control of these products is transferred to customers in an amount that reflects the consideration the Company expects to be entitled to in exchange for such products. This principle is achieved by applying the five-step approach:</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1300"/>
          </w:cols>
          <w:pgMar w:left="320" w:top="446" w:right="2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right="20" w:firstLine="456"/>
        <w:spacing w:after="0" w:line="276" w:lineRule="auto"/>
        <w:tabs>
          <w:tab w:leader="none" w:pos="671"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Company provides disaggregation of revenue based on Genomics and Data and services on the consolidated statements of operations and comprehensive loss, as it believes these best depict how the nature, amount, timing and uncertainty of revenue and cash flows are affected by economic factors.</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Genomics</w:t>
      </w:r>
    </w:p>
    <w:p>
      <w:pPr>
        <w:spacing w:after="0" w:line="120"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$198.0 million and $363.0 million for the years ended December 31, 2022 and 2023, respectively. The Company recognized Genomics revenue of $82.1 million and $102.6 million for the three months ended March 31, 2023 and 2024, respectively.</w:t>
      </w:r>
    </w:p>
    <w:p>
      <w:pPr>
        <w:spacing w:after="0" w:line="384"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During the year ended December 31, 2023, the Company recognized $12.2 million from cash collections in excess of revenue recognized in prior years, primarily as a result of achieving a higher success rate on appeals than estimated.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$157.2 million and $328.4 million for the years ended December 31, 2022 and 2023, respectively. The Company recognized revenue for clinical orders of $72.5 million and $93.4 million for the three months ended March 31, 2023 and 2024, respectively.</w:t>
      </w:r>
    </w:p>
    <w:p>
      <w:pPr>
        <w:spacing w:after="0" w:line="180" w:lineRule="exact"/>
        <w:rPr>
          <w:sz w:val="20"/>
          <w:szCs w:val="20"/>
          <w:color w:val="auto"/>
        </w:rPr>
      </w:pPr>
    </w:p>
    <w:p>
      <w:pPr>
        <w:jc w:val="both"/>
        <w:ind w:firstLine="451"/>
        <w:spacing w:after="0" w:line="268" w:lineRule="auto"/>
        <w:rPr>
          <w:sz w:val="20"/>
          <w:szCs w:val="20"/>
          <w:color w:val="auto"/>
        </w:rPr>
      </w:pPr>
      <w:r>
        <w:rPr>
          <w:rFonts w:ascii="Times New Roman" w:cs="Times New Roman" w:eastAsia="Times New Roman" w:hAnsi="Times New Roman"/>
          <w:sz w:val="17"/>
          <w:szCs w:val="17"/>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$40.8 million and $34.6 million for the years ended December 31, 2022 and 2023, respectively. The Company recognized Genomics revenue for direct bill orders of $9.6 million and $9.2 million for the three months ended March 31, 2023 and 2024, respectively.</w:t>
      </w: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Data and services</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Data and services revenue primarily represents data licensing and clinical trial services that the Company provides to pharmaceutical and biotechnology companies. The Company’s arrangements with these customers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1300"/>
          </w:cols>
          <w:pgMar w:left="320" w:top="446" w:right="2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A description of the Company’s two product offerings are as follows: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Insights</w:t>
      </w:r>
    </w:p>
    <w:p>
      <w:pPr>
        <w:spacing w:after="0" w:line="120"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our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78"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Company has determined that the delivery of de-identified records and, when applicable, analytical services, and access to its enhanced Lens application are separate and distinct performance obligations. A description of the primary Insights contract types are as follows:</w:t>
      </w:r>
    </w:p>
    <w:p>
      <w:pPr>
        <w:spacing w:after="0" w:line="53" w:lineRule="exact"/>
        <w:rPr>
          <w:sz w:val="20"/>
          <w:szCs w:val="20"/>
          <w:color w:val="auto"/>
        </w:rPr>
      </w:pPr>
    </w:p>
    <w:p>
      <w:pPr>
        <w:jc w:val="both"/>
        <w:ind w:left="1000" w:right="20" w:hanging="551"/>
        <w:spacing w:after="0" w:line="274" w:lineRule="auto"/>
        <w:tabs>
          <w:tab w:leader="none" w:pos="10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Data licensing on a one-time or limited duration basis </w:t>
      </w:r>
      <w:r>
        <w:rPr>
          <w:rFonts w:ascii="Times New Roman" w:cs="Times New Roman" w:eastAsia="Times New Roman" w:hAnsi="Times New Roman"/>
          <w:sz w:val="17"/>
          <w:szCs w:val="17"/>
          <w:color w:val="auto"/>
        </w:rPr>
        <w:t>– Customer licenses a specific dataset of records, and the Company accounts for individual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284" w:lineRule="exact"/>
        <w:rPr>
          <w:rFonts w:ascii="Times New Roman" w:cs="Times New Roman" w:eastAsia="Times New Roman" w:hAnsi="Times New Roman"/>
          <w:sz w:val="17"/>
          <w:szCs w:val="17"/>
          <w:color w:val="auto"/>
        </w:rPr>
      </w:pPr>
    </w:p>
    <w:p>
      <w:pPr>
        <w:jc w:val="both"/>
        <w:ind w:left="1000" w:hanging="551"/>
        <w:spacing w:after="0" w:line="277" w:lineRule="auto"/>
        <w:tabs>
          <w:tab w:leader="none" w:pos="10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Multi-year data subscriptions </w:t>
      </w:r>
      <w:r>
        <w:rPr>
          <w:rFonts w:ascii="Times New Roman" w:cs="Times New Roman" w:eastAsia="Times New Roman" w:hAnsi="Times New Roman"/>
          <w:sz w:val="17"/>
          <w:szCs w:val="17"/>
          <w:color w:val="auto"/>
        </w:rPr>
        <w:t>– Customer licenses an interchangeable maximum number of de-identified records, and the Company accounts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service as a right to access license and one performance obligation. Revenue is recognized as access to the dataset is provided, ratably over-time, with the measure of progress time-based.</w:t>
      </w:r>
    </w:p>
    <w:p>
      <w:pPr>
        <w:spacing w:after="0" w:line="68" w:lineRule="exact"/>
        <w:rPr>
          <w:rFonts w:ascii="Times New Roman" w:cs="Times New Roman" w:eastAsia="Times New Roman" w:hAnsi="Times New Roman"/>
          <w:sz w:val="17"/>
          <w:szCs w:val="17"/>
          <w:color w:val="auto"/>
        </w:rPr>
      </w:pPr>
    </w:p>
    <w:p>
      <w:pPr>
        <w:jc w:val="both"/>
        <w:ind w:left="1000" w:hanging="551"/>
        <w:spacing w:after="0" w:line="277" w:lineRule="auto"/>
        <w:tabs>
          <w:tab w:leader="none" w:pos="10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Analytical services and other services </w:t>
      </w:r>
      <w:r>
        <w:rPr>
          <w:rFonts w:ascii="Times New Roman" w:cs="Times New Roman" w:eastAsia="Times New Roman" w:hAnsi="Times New Roman"/>
          <w:sz w:val="17"/>
          <w:szCs w:val="17"/>
          <w:color w:val="auto"/>
        </w:rPr>
        <w:t>– Services typically involve data analysis and research performed on behalf of the customer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68" w:lineRule="exact"/>
        <w:rPr>
          <w:rFonts w:ascii="Times New Roman" w:cs="Times New Roman" w:eastAsia="Times New Roman" w:hAnsi="Times New Roman"/>
          <w:sz w:val="17"/>
          <w:szCs w:val="17"/>
          <w:color w:val="auto"/>
        </w:rPr>
      </w:pPr>
    </w:p>
    <w:p>
      <w:pPr>
        <w:jc w:val="both"/>
        <w:ind w:left="1000" w:hanging="551"/>
        <w:spacing w:after="0" w:line="270" w:lineRule="auto"/>
        <w:tabs>
          <w:tab w:leader="none" w:pos="10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Enhanced Lens application subscription services </w:t>
      </w:r>
      <w:r>
        <w:rPr>
          <w:rFonts w:ascii="Times New Roman" w:cs="Times New Roman" w:eastAsia="Times New Roman" w:hAnsi="Times New Roman"/>
          <w:sz w:val="17"/>
          <w:szCs w:val="17"/>
          <w:color w:val="auto"/>
        </w:rPr>
        <w:t>– Customer licenses access to the Company’s enhanced Lens application under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68" w:lineRule="exact"/>
        <w:rPr>
          <w:sz w:val="20"/>
          <w:szCs w:val="20"/>
          <w:color w:val="auto"/>
        </w:rPr>
      </w:pPr>
    </w:p>
    <w:p>
      <w:pPr>
        <w:jc w:val="both"/>
        <w:ind w:firstLine="451"/>
        <w:spacing w:after="0" w:line="288" w:lineRule="auto"/>
        <w:rPr>
          <w:sz w:val="20"/>
          <w:szCs w:val="20"/>
          <w:color w:val="auto"/>
        </w:rPr>
      </w:pPr>
      <w:r>
        <w:rPr>
          <w:rFonts w:ascii="Times New Roman" w:cs="Times New Roman" w:eastAsia="Times New Roman" w:hAnsi="Times New Roman"/>
          <w:sz w:val="17"/>
          <w:szCs w:val="17"/>
          <w:color w:val="auto"/>
        </w:rPr>
        <w:t>The Company recognized revenue from Insights products of $88.4 million and $117.6 million for the years ended December 31, 2022 and 2023, respectively. The Company recognized revenue from Insights products of $22.8 million and $31.3 million for the three months ended March 31, 2023 and 2024, respectively.</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1300"/>
          </w:cols>
          <w:pgMar w:left="320" w:top="446" w:right="2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Trials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Company’s Trials product includes TIME clinical trial matching services, and other clinical trial services.</w:t>
      </w:r>
    </w:p>
    <w:p>
      <w:pPr>
        <w:spacing w:after="0" w:line="223"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384"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addition to TIME, the Company provides other clinical trial services conducting or supporting studies. In January 2022, the Company expanded these services through acquisition of Highline Consulting, LLC (now Tempus Compass),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recognized revenue from Trials products of $31.2 million and $45.6 million for the years ended December 31, 2022 and 2023, respectively.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recognized revenue from Trials products of $10.3 million and $11.3 million for the three months ended March 31, 2023 and 2024, respectively.</w:t>
      </w:r>
    </w:p>
    <w:p>
      <w:pPr>
        <w:spacing w:after="0" w:line="205"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$122.7 million and $168.8 million for the years ended December 31, 2022 and 2023, respectively. The Company recognized Data and other revenue from pharmaceutical companies, non-for-profits, and researchers of $33.6 million and $43.3 million for the three months ended March 31, 2023 and 2024, respectively.</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Multi-year contract performance obligations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$197.7 million as of December 31, 2023, of which the Company expects to recognize approximately 47% as revenue over the next year, and the remaining 34%, and 19%, of its remaining performance obligations as revenue in years two and three, and respectively. The Company’s remaining performance obligations related to multi-year contracts was $177.4 million as of March 31, 2024, of which the Company expects to recognize approximately 51% as revenue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ectPr>
          <w:pgSz w:w="11900" w:h="16838" w:orient="portrait"/>
          <w:cols w:equalWidth="0" w:num="1">
            <w:col w:w="11300"/>
          </w:cols>
          <w:pgMar w:left="320" w:top="447" w:right="2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the next year, and the remaining 34%, and 15%, of its remaining performance obligations as revenue in years two and three, respectively.</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In May 2024, the Company amended its agreement with GlaxoSmithKline (“GSK”) which increased the length of the total commitment period, but did not change the total commitment or the timing of the remaining performance obligations disclosed above.</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Contract Assets</w:t>
      </w:r>
    </w:p>
    <w:p>
      <w:pPr>
        <w:spacing w:after="0" w:line="120"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2022 and 2023 and March 31, 2024, included contract assets of $7.6 million, $2.4 million, and $3.1 million, respectively.</w:t>
      </w:r>
    </w:p>
    <w:p>
      <w:pPr>
        <w:spacing w:after="0" w:line="169"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7"/>
          <w:szCs w:val="17"/>
          <w:i w:val="1"/>
          <w:iCs w:val="1"/>
          <w:color w:val="auto"/>
        </w:rPr>
        <w:t>Compensation—Stock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As revenue is recognized over the period of the contractual commitment of the MSA, the associated contract asset amortization is recorded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reduction of revenue. At each reporting period, the short-term portion of the warrant asset is adjusted based on the financial commitment and reclassified to Prepaid expenses and other current assets.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summarized the warrant contract asset presentation as of December 31, 2022 and 2023 and March 31, 2024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8"/>
        </w:trPr>
        <w:tc>
          <w:tcPr>
            <w:tcW w:w="552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r>
      <w:tr>
        <w:trPr>
          <w:trHeight w:val="20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w:t>
            </w:r>
          </w:p>
        </w:tc>
        <w:tc>
          <w:tcPr>
            <w:tcW w:w="60" w:type="dxa"/>
            <w:vAlign w:val="bottom"/>
            <w:shd w:val="clear" w:color="auto" w:fill="CCEEFF"/>
          </w:tcPr>
          <w:p>
            <w:pPr>
              <w:spacing w:after="0"/>
              <w:rPr>
                <w:sz w:val="17"/>
                <w:szCs w:val="17"/>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Warrant contract asset, less current portion</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21,499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20,288</w:t>
            </w:r>
          </w:p>
        </w:tc>
      </w:tr>
      <w:tr>
        <w:trPr>
          <w:trHeight w:val="26"/>
        </w:trPr>
        <w:tc>
          <w:tcPr>
            <w:tcW w:w="5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warrant contract asset</w:t>
            </w: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31,563</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26,342</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25,131</w:t>
            </w:r>
          </w:p>
        </w:tc>
      </w:tr>
      <w:tr>
        <w:trPr>
          <w:trHeight w:val="20"/>
        </w:trPr>
        <w:tc>
          <w:tcPr>
            <w:tcW w:w="5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November 2023, the Company entered into a Commercialization and Reference Laboratory Agreement with Personalis, Inc. (“Personalis”). The Company will pay up to $12.0 million to Personalis over three years as certain milestones are met, $6.0 million of which has been paid as of March 31, 2024. These payments will be treated as contract assets and amortized into revenue over the life of the contract. Contract asset balances will be offset by deferred revenue generated from issuance of the Personalis warrant asset. As of December 31, 2023 and March 31, 2024, there are $0.1 million of net contract assets related to this agreement recorded in Prepaid expenses and other current assets.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Deferred Revenue</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and Services product offerings and timing of delivery of our de-identified licensed data and clinical test results. The portion of deferred revenue that is anticipated to be recognized as revenue during the succeeding twelve-month period is recorded as deferred</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1300"/>
          </w:cols>
          <w:pgMar w:left="320" w:top="446" w:right="2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revenue, current and any remaining portion is recorded as deferred revenue, non-current. The Company recognized $13.8 million and $43.5 million during the years ended December 31, 2022 and 2023, respectively, that was included in the corresponding deferred revenue balance at the beginning of the periods. For the three months ended March 31, 2023 and 2024, the Company recognized revenue of $10.7 million and $11.1 million, respectively, that was included in the corresponding deferred revenue balance at the beginning of the periods.</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Cost of Revenues, Genomics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Cost of revenues for Genomics consists of personnel lab expenses, including salaries, bonuses, employee benefits, amortization of intangible assets, cost of laboratory supplies and consumables, laboratory rent expense,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Cost of Revenues, Data and services</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Cost of revenues for Data and services includes data acquisition and royalty fees, and personnel costs related to our delivery of our data services and platform, cloud costs, and certain allocated overhead expenses. Costs associated with performing data services are recorded as incurred.</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Technology research and development</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Research and development costs are expensed as incurred.</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401(k) Plan</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2022 and 2023 and the three months ended March 31, 2023 and 2024, the Company did not match any employee contributions.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20"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ectPr>
          <w:pgSz w:w="11900" w:h="16838" w:orient="portrait"/>
          <w:cols w:equalWidth="0" w:num="1">
            <w:col w:w="11300"/>
          </w:cols>
          <w:pgMar w:left="320" w:top="446" w:right="2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As of December 31, 2023, the Company had tax effected federal and state net operating loss (“NOL”) carry forwards of approximately $161.7 million and $33.7 million, respectively, which may be available to offset future taxable income. The NOLs will begin to expire in 2037.</w:t>
      </w:r>
    </w:p>
    <w:p>
      <w:pPr>
        <w:spacing w:after="0" w:line="147"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71"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Company has concluded that as of December 31, 2022 and 2023 and March 31, 2024, there are no uncertain positions taken or expected to be taken that would require recognition of a liability in the financial statements.</w:t>
      </w:r>
    </w:p>
    <w:p>
      <w:pPr>
        <w:spacing w:after="0" w:line="14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Company is subject to routine audits by taxing jurisdictions. As of December 31, 2023 and March 31, 2024, the Company was not under audit in any jurisdiction.</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Net Loss Per Share Attributable to Common Stockholders</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1300"/>
          </w:cols>
          <w:pgMar w:left="320" w:top="447" w:right="2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Deferred Offering Costs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 Company had $5.3 million, $7.1 million, and $8.2 million of deferred offering costs as of December 31, 2022 and 2023 and March 31, 2024, respectively.</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10 for further information on stock-based compensation.</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To increase the comparability of fair value measures, the following hierarchy prioritizes the inputs in valuation methodologies used to measure fair value: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—Measurements that reflect quoted prices (unadjusted) for identical assets or liabilities in active markets.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—Measurements that include other inputs that are directly or indirectly observable in the marketplace.</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—Measurements derived from valuation techniques in which one or more significant inputs or significant value drivers are unobservable.</w:t>
      </w:r>
    </w:p>
    <w:p>
      <w:pPr>
        <w:spacing w:after="0" w:line="225"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14.</w:t>
      </w:r>
    </w:p>
    <w:p>
      <w:pPr>
        <w:spacing w:after="0" w:line="16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Warrant Liability</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1300"/>
          </w:cols>
          <w:pgMar w:left="320" w:top="446" w:right="2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 xml:space="preserve">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7"/>
          <w:szCs w:val="17"/>
          <w:i w:val="1"/>
          <w:iCs w:val="1"/>
          <w:color w:val="auto"/>
        </w:rPr>
        <w:t>Distinguishing Liabilities from Equity (“</w:t>
      </w:r>
      <w:r>
        <w:rPr>
          <w:rFonts w:ascii="Times New Roman" w:cs="Times New Roman" w:eastAsia="Times New Roman" w:hAnsi="Times New Roman"/>
          <w:sz w:val="17"/>
          <w:szCs w:val="17"/>
          <w:color w:val="auto"/>
        </w:rPr>
        <w:t>ASC 480”). The fair value of the warrant liability is measured each reporting period and any change in fair value of the warrant liability is recorded in Other (expense) income, net within the consolidated statements of operations.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Warrant Asset</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As consideration for the Company’s obligations to Personalis under a Commercialization and Reference Laboratory Agreement signed in November 2023, Personalis issued certain warrants to the Company to purchase up to an aggregate of 9,218,800 shares of Personalis’ common stock, up to 4,609,400 shares of which are exercisable for cash at any time prior to December 31, 2024 at an exercise price of $1.50 per share, and up to 4,609,400 shares of which are exercisable for cash at any time prior to December 31, 2025 at an exercise price of $2.50 per share. The fair value of the warrant asset is measured each reporting period, and any change in fair value is recorded in Other (expense) income, net within the consolidated statements of operations.</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Classification and Accretion of Convertible Preferred Stock</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Company’s Series A, B, B-1, B-2, C, D, E, F, G, G-2, G-3, and G-4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FASB issued ASU 2016-02, Leases, (Topic 842) (ASU 2016-02), in February 2016. ASU 2016-02 requires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The Company adopted Topic 842 under the private company transition guidance as of January 1, 2022 using a modified retrospective approach. The Company elected a practical expedient which does not require the Company to reassess the lease classification for any expired or existing leases. Upon adoption, the Company recorded an operating lease right-of-use asset of $27.0 million and a corresponding operating lease liability of $41.8 million. The adoption resulted in a decrease to deferred rent of $14.8 million. The Company’s accounting for finance leases (formerly referred to as capital leases prior to the adoption of Topic 842) remains substantially unchanged. The impact on opening retained earnings was not material.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1300"/>
          </w:cols>
          <w:pgMar w:left="320" w:top="446" w:right="2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October 2021, the FASB issued ASU No. 2021-08, Business Combinations (Topic 805): Accounting for Contract Assets and Contract Liabilities from Contracts with Customers, which clarifies that an acquirer of a business should recognize and measure contract assets and contract liabilities in a business combination accordance with Topic 606 as if it had originated the contracts. The amendments should be applied prospectively to business combinations occurring on or after the effective date of the amendments, with early adoption permitted. The Company adopted the guidance as of January 1, 2022. The adoption did not have a material impact on the Company’s financial statements.</w:t>
      </w:r>
    </w:p>
    <w:p>
      <w:pPr>
        <w:spacing w:after="0" w:line="171"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Company adopted the guidance as of January 1, 2022. The adoption did not have a material impact on the Company’s financial statements.</w:t>
      </w:r>
    </w:p>
    <w:p>
      <w:pPr>
        <w:spacing w:after="0" w:line="173"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In June 2016, the FASB issued ASU No. 2016-13, Financial Instruments-Credit Losses (Topic 326): Measurement of Credit Losses on Financial Instruments (“ASU No. 2016-13”). ASU No. 2016-13 requires the measurement and recognition of expected credit losses for financial assets that are held at amortized cost, including trade receivables. ASU No. 2016-13 replaces the previous incurred loss impairment model with an expected loss model which requires the use of forward-looking information to calculate credit loss estimates. The Company adopted the guidance as of January 1, 2023. The adoption of the standard did not have a material impact the Company’s financial statements. As part of our adoption of Topic 326, we assess our accounts receivables for expected credit losses at each reporting period by disaggregating by customers with similar characteristics, such as customer type and industry. The Company reviews for expected credit losses based on the age of an invoice, historical payment trends, as well as forward looking data and current economic trends. If a credit loss is determined, we record a reduction to our accounts receivable balance with a corresponding selling, general, and administrative expense.</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 Not Yet Adopted</w:t>
      </w:r>
    </w:p>
    <w:p>
      <w:pPr>
        <w:spacing w:after="0" w:line="120"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effect that this guidance will have on the consolidated financial statements and related disclosures.</w:t>
      </w:r>
    </w:p>
    <w:p>
      <w:pPr>
        <w:spacing w:after="0" w:line="311" w:lineRule="exact"/>
        <w:rPr>
          <w:sz w:val="20"/>
          <w:szCs w:val="20"/>
          <w:color w:val="auto"/>
        </w:rPr>
      </w:pPr>
    </w:p>
    <w:p>
      <w:pPr>
        <w:ind w:left="440" w:hanging="435"/>
        <w:spacing w:after="0"/>
        <w:tabs>
          <w:tab w:leader="none" w:pos="44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SEngine</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 Combining these advancements with the Company’s existing business will allow the Company to accelerate our shared missions of getting the right patient on the right drug at the right time, while also advancing innovation in drug development.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1300"/>
          </w:cols>
          <w:pgMar w:left="320" w:top="446" w:right="27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The acquisition resulted in goodwill of $9.6 million. The aggregate acquisition date fair value of consideration for the SEngine acquisition totaled $9.9 million. Consideration was made up of $2.8 million of cash and $6.3 million of non-voting common stock. The transaction also includes contingent consideration of up to 35,000 additional shares of non-voting common stock, to be determined based on the per share price of the Company’s non-voting common stock in a liquidity event completed prior to December 31, 2027. The contingent consideration has an acquisition fair value date of $0.8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See Note 14 for more information. In accordance with the terms of the agreement, $1.4 million in equity was held back and is payable on October 3, 2024, which is net of a net working capital adjustment that is less than $0.1 million. The Company issued 429 shares of non-voting common stock to the selling corporation in February 2024 in relation to the net working capital adjustment.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Mpirik</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spacing w:after="0" w:line="388" w:lineRule="exact"/>
        <w:rPr>
          <w:sz w:val="20"/>
          <w:szCs w:val="20"/>
          <w:color w:val="auto"/>
        </w:rPr>
      </w:pPr>
    </w:p>
    <w:p>
      <w:pPr>
        <w:jc w:val="both"/>
        <w:ind w:firstLine="451"/>
        <w:spacing w:after="0" w:line="261" w:lineRule="auto"/>
        <w:rPr>
          <w:sz w:val="20"/>
          <w:szCs w:val="20"/>
          <w:color w:val="auto"/>
        </w:rPr>
      </w:pPr>
      <w:r>
        <w:rPr>
          <w:rFonts w:ascii="Times New Roman" w:cs="Times New Roman" w:eastAsia="Times New Roman" w:hAnsi="Times New Roman"/>
          <w:sz w:val="17"/>
          <w:szCs w:val="17"/>
          <w:color w:val="auto"/>
        </w:rPr>
        <w:t>Cash consideration of $4.7 million is net of a $0.3 million net working capital adjustment. In accordance with the terms of the agreement, the securityholders of the acquired business will be entitled to receive contingent consideration from the Company payable in an aggregate value of $1.0 million in cash, contingent upon the acquired business reaching a revenue target of $1.5 million for the twelve-month period ending December 31, 2023. The contingent consideration has an acquisition fair value date of $0.4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Mpirik did not achieve the revenue target for the twelve-month period ending December 31, 2023. As such, the contingent consideration liability was written down to $0. See Note 14 for more information. In addition, the Company issued 17,450 performance stock units to certain retained Mpirik employees on the closing date of the acquisition.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Arterys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cash. Cash consideration of $3.0 million is net of a $1.0 million working capital adjustment paid back to Tempus in March 2023.</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1300"/>
          </w:cols>
          <w:pgMar w:left="320" w:top="446" w:right="27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Highline</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 Highline revenue will be included within Data and services revenue in the Company’s consolidated financial statements.</w:t>
      </w:r>
    </w:p>
    <w:p>
      <w:pPr>
        <w:spacing w:after="0" w:line="17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7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Company incurred an insignificant amount of transaction costs related to the Highline Acquisition, which were recorded within Selling, general and administrative expense in the consolidated statement of operations.</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aggregate acquisition date fair value of consideration for the Highline Acquisition totaled $35.0 million, net of cash acquired of $3.6 million and net working capital deficiency of $0.5 million.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6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allocation of the aggregate purchase price of the Highline Acquisition (in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10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3,601</w:t>
            </w:r>
          </w:p>
        </w:tc>
        <w:tc>
          <w:tcPr>
            <w:tcW w:w="100" w:type="dxa"/>
            <w:vAlign w:val="bottom"/>
            <w:shd w:val="clear" w:color="auto" w:fill="CCEEFF"/>
          </w:tcPr>
          <w:p>
            <w:pPr>
              <w:spacing w:after="0"/>
              <w:rPr>
                <w:sz w:val="18"/>
                <w:szCs w:val="18"/>
                <w:color w:val="auto"/>
              </w:rPr>
            </w:pPr>
          </w:p>
        </w:tc>
      </w:tr>
      <w:tr>
        <w:trPr>
          <w:trHeight w:val="209"/>
        </w:trPr>
        <w:tc>
          <w:tcPr>
            <w:tcW w:w="1060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1,743</w:t>
            </w:r>
          </w:p>
        </w:tc>
        <w:tc>
          <w:tcPr>
            <w:tcW w:w="100" w:type="dxa"/>
            <w:vAlign w:val="bottom"/>
          </w:tcPr>
          <w:p>
            <w:pPr>
              <w:spacing w:after="0"/>
              <w:rPr>
                <w:sz w:val="18"/>
                <w:szCs w:val="18"/>
                <w:color w:val="auto"/>
              </w:rPr>
            </w:pPr>
          </w:p>
        </w:tc>
      </w:tr>
      <w:tr>
        <w:trPr>
          <w:trHeight w:val="209"/>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778</w:t>
            </w:r>
          </w:p>
        </w:tc>
        <w:tc>
          <w:tcPr>
            <w:tcW w:w="100" w:type="dxa"/>
            <w:vAlign w:val="bottom"/>
            <w:shd w:val="clear" w:color="auto" w:fill="CCEEFF"/>
          </w:tcPr>
          <w:p>
            <w:pPr>
              <w:spacing w:after="0"/>
              <w:rPr>
                <w:sz w:val="18"/>
                <w:szCs w:val="18"/>
                <w:color w:val="auto"/>
              </w:rPr>
            </w:pPr>
          </w:p>
        </w:tc>
      </w:tr>
      <w:tr>
        <w:trPr>
          <w:trHeight w:val="209"/>
        </w:trPr>
        <w:tc>
          <w:tcPr>
            <w:tcW w:w="1060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(1,124)</w:t>
            </w:r>
          </w:p>
        </w:tc>
      </w:tr>
      <w:tr>
        <w:trPr>
          <w:trHeight w:val="209"/>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(31)</w:t>
            </w:r>
          </w:p>
        </w:tc>
      </w:tr>
      <w:tr>
        <w:trPr>
          <w:trHeight w:val="215"/>
        </w:trPr>
        <w:tc>
          <w:tcPr>
            <w:tcW w:w="1060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(3,129)</w:t>
            </w:r>
          </w:p>
        </w:tc>
      </w:tr>
      <w:tr>
        <w:trPr>
          <w:trHeight w:val="209"/>
        </w:trPr>
        <w:tc>
          <w:tcPr>
            <w:tcW w:w="10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Fair value of identifiable net assets acquired</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106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8"/>
              </w:rPr>
              <w:t>26,062</w:t>
            </w:r>
          </w:p>
        </w:tc>
        <w:tc>
          <w:tcPr>
            <w:tcW w:w="100" w:type="dxa"/>
            <w:vAlign w:val="bottom"/>
          </w:tcPr>
          <w:p>
            <w:pPr>
              <w:spacing w:after="0"/>
              <w:rPr>
                <w:sz w:val="18"/>
                <w:szCs w:val="18"/>
                <w:color w:val="auto"/>
              </w:rPr>
            </w:pPr>
          </w:p>
        </w:tc>
      </w:tr>
      <w:tr>
        <w:trPr>
          <w:trHeight w:val="209"/>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names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8,000</w:t>
            </w:r>
          </w:p>
        </w:tc>
        <w:tc>
          <w:tcPr>
            <w:tcW w:w="100" w:type="dxa"/>
            <w:vAlign w:val="bottom"/>
            <w:shd w:val="clear" w:color="auto" w:fill="CCEEFF"/>
          </w:tcPr>
          <w:p>
            <w:pPr>
              <w:spacing w:after="0"/>
              <w:rPr>
                <w:sz w:val="18"/>
                <w:szCs w:val="18"/>
                <w:color w:val="auto"/>
              </w:rPr>
            </w:pPr>
          </w:p>
        </w:tc>
      </w:tr>
      <w:tr>
        <w:trPr>
          <w:trHeight w:val="215"/>
        </w:trPr>
        <w:tc>
          <w:tcPr>
            <w:tcW w:w="10600" w:type="dxa"/>
            <w:vAlign w:val="bottom"/>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0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8"/>
              </w:rPr>
              <w:t>36,812</w:t>
            </w:r>
          </w:p>
        </w:tc>
        <w:tc>
          <w:tcPr>
            <w:tcW w:w="100" w:type="dxa"/>
            <w:vAlign w:val="bottom"/>
            <w:shd w:val="clear" w:color="auto" w:fill="CCEEFF"/>
          </w:tcPr>
          <w:p>
            <w:pPr>
              <w:spacing w:after="0"/>
              <w:rPr>
                <w:sz w:val="18"/>
                <w:szCs w:val="18"/>
                <w:color w:val="auto"/>
              </w:rPr>
            </w:pPr>
          </w:p>
        </w:tc>
      </w:tr>
      <w:tr>
        <w:trPr>
          <w:trHeight w:val="215"/>
        </w:trPr>
        <w:tc>
          <w:tcPr>
            <w:tcW w:w="1060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Total Acquisition Price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38,650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a stock purchase, the related goodwill created as a result of the acquisition is not deductible for tax purposes. The trade names and customer relationships intangible assets were established with seven year and three year remaining useful lives, respectively.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1300"/>
          </w:cols>
          <w:pgMar w:left="320" w:top="446" w:right="27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AKESOgen</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On December 9, 2019, in accordance with a stock purchase agreement, Tempus AI, Inc. purchased 100% of the issued and outstanding shares of capital stock of AKESOgen for $30.3 million, with an adjustment for working capital. The transaction included a contingent consideration arrangement to transfer shares of non-voting common stock to the former owners with an acquisition date fair value of $3.4 million, which the company recognized under long-term liabilities. The consideration was to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were to be paid out on the third anniversary of the Closing date. The shares of non-voting common stock were issued on December 9, 2022 and subsequently repurchased by the Company in January 2023.</w:t>
      </w:r>
    </w:p>
    <w:p>
      <w:pPr>
        <w:spacing w:after="0" w:line="315" w:lineRule="exact"/>
        <w:rPr>
          <w:sz w:val="20"/>
          <w:szCs w:val="20"/>
          <w:color w:val="auto"/>
        </w:rPr>
      </w:pPr>
    </w:p>
    <w:p>
      <w:pPr>
        <w:ind w:right="8080" w:firstLine="5"/>
        <w:spacing w:after="0" w:line="386" w:lineRule="auto"/>
        <w:tabs>
          <w:tab w:leader="none" w:pos="444"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 Property and Equipment, net</w:t>
      </w: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summarizes property and equipment, net as of December 31, 2022 and 2023 and March 31, 2024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8"/>
        </w:trPr>
        <w:tc>
          <w:tcPr>
            <w:tcW w:w="7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r>
      <w:tr>
        <w:trPr>
          <w:trHeight w:val="202"/>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Equipment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91,656</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94,211</w:t>
            </w:r>
          </w:p>
        </w:tc>
        <w:tc>
          <w:tcPr>
            <w:tcW w:w="100" w:type="dxa"/>
            <w:vAlign w:val="bottom"/>
            <w:shd w:val="clear" w:color="auto" w:fill="CCEEFF"/>
          </w:tcPr>
          <w:p>
            <w:pPr>
              <w:spacing w:after="0"/>
              <w:rPr>
                <w:sz w:val="17"/>
                <w:szCs w:val="17"/>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30,390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42,433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43,683</w:t>
            </w:r>
          </w:p>
        </w:tc>
      </w:tr>
      <w:tr>
        <w:trPr>
          <w:trHeight w:val="20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6,633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6,633</w:t>
            </w:r>
          </w:p>
        </w:tc>
      </w:tr>
      <w:tr>
        <w:trPr>
          <w:trHeight w:val="215"/>
        </w:trPr>
        <w:tc>
          <w:tcPr>
            <w:tcW w:w="7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property and equipment, gross</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102,350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140,722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144,527</w:t>
            </w:r>
          </w:p>
        </w:tc>
        <w:tc>
          <w:tcPr>
            <w:tcW w:w="100" w:type="dxa"/>
            <w:vAlign w:val="bottom"/>
          </w:tcPr>
          <w:p>
            <w:pPr>
              <w:spacing w:after="0"/>
              <w:rPr>
                <w:sz w:val="18"/>
                <w:szCs w:val="18"/>
                <w:color w:val="auto"/>
              </w:rPr>
            </w:pPr>
          </w:p>
        </w:tc>
      </w:tr>
      <w:tr>
        <w:trPr>
          <w:trHeight w:val="20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(58,245)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(79,041)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(85,310)</w:t>
            </w:r>
          </w:p>
        </w:tc>
      </w:tr>
      <w:tr>
        <w:trPr>
          <w:trHeight w:val="215"/>
        </w:trPr>
        <w:tc>
          <w:tcPr>
            <w:tcW w:w="7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44,105</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59,217</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Depreciation expense on property and equipment is classified as follows in the accompanying consolidated statements of operations for the years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and 2023 and the three months ended March 31, 2023 and 2024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2"/>
        </w:trPr>
        <w:tc>
          <w:tcPr>
            <w:tcW w:w="41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40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80" w:type="dxa"/>
            <w:vAlign w:val="bottom"/>
          </w:tcPr>
          <w:p>
            <w:pPr>
              <w:spacing w:after="0"/>
              <w:rPr>
                <w:sz w:val="9"/>
                <w:szCs w:val="9"/>
                <w:color w:val="auto"/>
              </w:rPr>
            </w:pPr>
          </w:p>
        </w:tc>
        <w:tc>
          <w:tcPr>
            <w:tcW w:w="62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9"/>
                <w:szCs w:val="9"/>
                <w:color w:val="auto"/>
              </w:rPr>
            </w:pPr>
          </w:p>
        </w:tc>
      </w:tr>
      <w:tr>
        <w:trPr>
          <w:trHeight w:val="168"/>
        </w:trPr>
        <w:tc>
          <w:tcPr>
            <w:tcW w:w="4160" w:type="dxa"/>
            <w:vAlign w:val="bottom"/>
            <w:tcBorders>
              <w:bottom w:val="single" w:sz="8" w:color="CCEEFF"/>
            </w:tcBorders>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r>
      <w:tr>
        <w:trPr>
          <w:trHeight w:val="20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 genomics</w:t>
            </w:r>
          </w:p>
        </w:tc>
        <w:tc>
          <w:tcPr>
            <w:tcW w:w="2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8,190</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12,961</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3,381</w:t>
            </w:r>
          </w:p>
        </w:tc>
        <w:tc>
          <w:tcPr>
            <w:tcW w:w="60" w:type="dxa"/>
            <w:vAlign w:val="bottom"/>
            <w:shd w:val="clear" w:color="auto" w:fill="CCEEFF"/>
          </w:tcPr>
          <w:p>
            <w:pPr>
              <w:spacing w:after="0"/>
              <w:rPr>
                <w:sz w:val="17"/>
                <w:szCs w:val="17"/>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 costs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7,133</w:t>
            </w:r>
          </w:p>
        </w:tc>
        <w:tc>
          <w:tcPr>
            <w:tcW w:w="1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8,318</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2,888</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1,371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15"/>
        </w:trPr>
        <w:tc>
          <w:tcPr>
            <w:tcW w:w="41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depreciation</w:t>
            </w:r>
          </w:p>
        </w:tc>
        <w:tc>
          <w:tcPr>
            <w:tcW w:w="25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16,694</w:t>
            </w: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21,279</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5,060</w:t>
            </w:r>
          </w:p>
        </w:tc>
        <w:tc>
          <w:tcPr>
            <w:tcW w:w="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6,269</w:t>
            </w:r>
          </w:p>
        </w:tc>
        <w:tc>
          <w:tcPr>
            <w:tcW w:w="6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4160" w:type="dxa"/>
            <w:vAlign w:val="bottom"/>
          </w:tcPr>
          <w:p>
            <w:pPr>
              <w:spacing w:after="0"/>
              <w:rPr>
                <w:sz w:val="24"/>
                <w:szCs w:val="24"/>
                <w:color w:val="auto"/>
              </w:rPr>
            </w:pPr>
          </w:p>
        </w:tc>
        <w:tc>
          <w:tcPr>
            <w:tcW w:w="268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F-27</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00"/>
          </w:cols>
          <w:pgMar w:left="320" w:top="446" w:right="27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Accrued Expenses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Accrued expenses as of December 31, 2022 and 2023 and March 31, 2024, consist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68"/>
        </w:trPr>
        <w:tc>
          <w:tcPr>
            <w:tcW w:w="5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r>
      <w:tr>
        <w:trPr>
          <w:trHeight w:val="202"/>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and employee benefits</w:t>
            </w:r>
          </w:p>
        </w:tc>
        <w:tc>
          <w:tcPr>
            <w:tcW w:w="2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22,374</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$ 16,193</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25,321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37,783</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36,122</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cloud storage costs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7,118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13,921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w:t>
            </w:r>
          </w:p>
        </w:tc>
        <w:tc>
          <w:tcPr>
            <w:tcW w:w="60" w:type="dxa"/>
            <w:vAlign w:val="bottom"/>
            <w:shd w:val="clear" w:color="auto" w:fill="CCEEFF"/>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Interest payable</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8,863</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8,822</w:t>
            </w:r>
          </w:p>
        </w:tc>
      </w:tr>
      <w:tr>
        <w:trPr>
          <w:trHeight w:val="26"/>
        </w:trPr>
        <w:tc>
          <w:tcPr>
            <w:tcW w:w="56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accrued expenses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55,272</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82,517</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$ 82,250</w:t>
            </w:r>
          </w:p>
        </w:tc>
      </w:tr>
      <w:tr>
        <w:trPr>
          <w:trHeight w:val="20"/>
        </w:trPr>
        <w:tc>
          <w:tcPr>
            <w:tcW w:w="5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440" w:hanging="435"/>
        <w:spacing w:after="0"/>
        <w:tabs>
          <w:tab w:leader="none" w:pos="440" w:val="left"/>
        </w:tabs>
        <w:numPr>
          <w:ilvl w:val="0"/>
          <w:numId w:val="1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INTANGIBLES</w:t>
      </w:r>
    </w:p>
    <w:p>
      <w:pPr>
        <w:spacing w:after="0" w:line="120" w:lineRule="exact"/>
        <w:rPr>
          <w:sz w:val="20"/>
          <w:szCs w:val="20"/>
          <w:color w:val="auto"/>
        </w:rPr>
      </w:pPr>
    </w:p>
    <w:p>
      <w:pPr>
        <w:jc w:val="both"/>
        <w:ind w:firstLine="451"/>
        <w:spacing w:after="0" w:line="224" w:lineRule="auto"/>
        <w:rPr>
          <w:sz w:val="20"/>
          <w:szCs w:val="20"/>
          <w:color w:val="auto"/>
        </w:rPr>
      </w:pPr>
      <w:r>
        <w:rPr>
          <w:rFonts w:ascii="Times New Roman" w:cs="Times New Roman" w:eastAsia="Times New Roman" w:hAnsi="Times New Roman"/>
          <w:sz w:val="17"/>
          <w:szCs w:val="17"/>
          <w:color w:val="auto"/>
        </w:rPr>
        <w:t>Goodwill represents the excess of the purchase price in a business combination over the fair value of net tangible and intangible assets acquired. As disclosed in Note 2, Goodwill is tested for impairment at least annually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7"/>
          <w:szCs w:val="17"/>
          <w:color w:val="auto"/>
        </w:rPr>
        <w:t>. The changes in the carrying amount of goodwill for the years ended December 31, 2022 and 2023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3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Goodwill related to business combinations</w:t>
            </w:r>
          </w:p>
        </w:tc>
        <w:tc>
          <w:tcPr>
            <w:tcW w:w="4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6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Foreign exchange rate adjustment</w:t>
            </w:r>
          </w:p>
        </w:tc>
        <w:tc>
          <w:tcPr>
            <w:tcW w:w="4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36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$ 53,100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Goodwill related to business combinations</w:t>
            </w:r>
          </w:p>
        </w:tc>
        <w:tc>
          <w:tcPr>
            <w:tcW w:w="4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$ 20,249</w:t>
            </w:r>
          </w:p>
        </w:tc>
        <w:tc>
          <w:tcPr>
            <w:tcW w:w="0" w:type="dxa"/>
            <w:vAlign w:val="bottom"/>
          </w:tcPr>
          <w:p>
            <w:pPr>
              <w:spacing w:after="0"/>
              <w:rPr>
                <w:sz w:val="1"/>
                <w:szCs w:val="1"/>
                <w:color w:val="auto"/>
              </w:rPr>
            </w:pPr>
          </w:p>
        </w:tc>
      </w:tr>
      <w:tr>
        <w:trPr>
          <w:trHeight w:val="215"/>
        </w:trPr>
        <w:tc>
          <w:tcPr>
            <w:tcW w:w="69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Foreign exchange rate adjustment</w:t>
            </w:r>
          </w:p>
        </w:tc>
        <w:tc>
          <w:tcPr>
            <w:tcW w:w="36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4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$ 73,354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During the three months ended March 31, 2023, goodwill of $10.6 million was recorded in connection with the acquisition of Mpirik. There were no goodwill additions for the three months ended March 31, 2024.</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was no goodwill impairment for the years ended December 31, 2022 and 2023 or for the three months ended March 31, 2023 and 2024.</w:t>
      </w:r>
    </w:p>
    <w:p>
      <w:pPr>
        <w:spacing w:after="0" w:line="223"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2022, the Company recorded an additional $2.1 million in licensed data related to de-identified data obtained through additional research collaboration agreements, and $8.0 million and $2.8 million of trade names and customer relationships, respectively, related to the Highline Acquisition. During the year ended December 31, 2023, the Company recorded an additional $3.8 million in licensed data related to de-identified data obtained through an additional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1300"/>
          </w:cols>
          <w:pgMar w:left="320" w:top="447" w:right="27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year ended December 31, 2023. A $7.9 million gain resulting from the related reduction of future data license payments was also recorded in Research and development during the year ended December 31, 2023. The impairment resulted in a reduction of $40.1 million and $32.7 million to gross intangible assets and accumulated amortization, respectively.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intangible assets as of December 31, 2022 and 2023 and March 31, 2024 (in thousands):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200" w:type="dxa"/>
            <w:vAlign w:val="bottom"/>
          </w:tcPr>
          <w:p>
            <w:pPr>
              <w:spacing w:after="0"/>
              <w:rPr>
                <w:sz w:val="9"/>
                <w:szCs w:val="9"/>
                <w:color w:val="auto"/>
              </w:rPr>
            </w:pPr>
          </w:p>
        </w:tc>
        <w:tc>
          <w:tcPr>
            <w:tcW w:w="6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6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9"/>
                <w:szCs w:val="9"/>
                <w:color w:val="auto"/>
              </w:rPr>
            </w:pPr>
          </w:p>
        </w:tc>
        <w:tc>
          <w:tcPr>
            <w:tcW w:w="620" w:type="dxa"/>
            <w:vAlign w:val="bottom"/>
            <w:gridSpan w:val="2"/>
          </w:tcPr>
          <w:p>
            <w:pPr>
              <w:jc w:val="center"/>
              <w:ind w:right="4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8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9"/>
                <w:szCs w:val="9"/>
                <w:color w:val="auto"/>
              </w:rPr>
            </w:pPr>
          </w:p>
        </w:tc>
        <w:tc>
          <w:tcPr>
            <w:tcW w:w="96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8,581</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$11,969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$20,550</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12,219</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8,331</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Licensed data</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55,612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37,179</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18,433</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19,321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11,469</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7,852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19,321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6,064</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Website domain</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Trade names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1,143</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6,857</w:t>
            </w:r>
          </w:p>
        </w:tc>
        <w:tc>
          <w:tcPr>
            <w:tcW w:w="1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2,286</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5,714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5,429</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84,181</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46,903</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37,278</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47,890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25,974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21,916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47,890</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28,894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8"/>
              </w:rPr>
              <w:t>18,996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Amortization of intangible assets is recognized using the straight-line method over their estimated useful lives, which range from three to seven years. Amortization expense was $13.3 million and $11.9 million for the years ended December 31, 2022 and December 31, 2023, respectively, and $2.9 million for both the three months ended March 31, 2023 and 2024, respectively, and is recorded in cost of revenues, research and development, or selling, general and administrative expense, depending on use of the asset. The weighted average life of our intangibles is approximately six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As of December 31, 2023, the estimated future amortization expense related to intangible assets is as follows (in thousands):</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9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$ 10,751</w:t>
            </w:r>
          </w:p>
        </w:tc>
      </w:tr>
      <w:tr>
        <w:trPr>
          <w:trHeight w:val="209"/>
        </w:trPr>
        <w:tc>
          <w:tcPr>
            <w:tcW w:w="98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4,509</w:t>
            </w:r>
          </w:p>
        </w:tc>
      </w:tr>
      <w:tr>
        <w:trPr>
          <w:trHeight w:val="209"/>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4,204</w:t>
            </w:r>
          </w:p>
        </w:tc>
      </w:tr>
      <w:tr>
        <w:trPr>
          <w:trHeight w:val="209"/>
        </w:trPr>
        <w:tc>
          <w:tcPr>
            <w:tcW w:w="986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1,290</w:t>
            </w:r>
          </w:p>
        </w:tc>
      </w:tr>
      <w:tr>
        <w:trPr>
          <w:trHeight w:val="209"/>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1,143</w:t>
            </w:r>
          </w:p>
        </w:tc>
      </w:tr>
      <w:tr>
        <w:trPr>
          <w:trHeight w:val="215"/>
        </w:trPr>
        <w:tc>
          <w:tcPr>
            <w:tcW w:w="986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7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r>
      <w:tr>
        <w:trPr>
          <w:trHeight w:val="209"/>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$ 21,897</w:t>
            </w:r>
          </w:p>
        </w:tc>
      </w:tr>
      <w:tr>
        <w:trPr>
          <w:trHeight w:val="20"/>
        </w:trPr>
        <w:tc>
          <w:tcPr>
            <w:tcW w:w="9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460" w:right="7520" w:hanging="455"/>
        <w:spacing w:after="0" w:line="386" w:lineRule="auto"/>
        <w:tabs>
          <w:tab w:leader="none" w:pos="453"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Purchase Obligations</w:t>
      </w: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1300"/>
          </w:cols>
          <w:pgMar w:left="320" w:top="446" w:right="27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ended December 31, 2022 and 2023, the Company recognized data licensing and cloud computing expenses of $31.1 million and $33.7 million, respectively, related to non-cancelable arrangements.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As of December 31, 2023, future payments under these contractual obligations were as follows (in thousands):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9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42,080</w:t>
            </w:r>
          </w:p>
        </w:tc>
      </w:tr>
      <w:tr>
        <w:trPr>
          <w:trHeight w:val="209"/>
        </w:trPr>
        <w:tc>
          <w:tcPr>
            <w:tcW w:w="938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41,580</w:t>
            </w:r>
          </w:p>
        </w:tc>
      </w:tr>
      <w:tr>
        <w:trPr>
          <w:trHeight w:val="209"/>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26,008</w:t>
            </w:r>
          </w:p>
        </w:tc>
      </w:tr>
      <w:tr>
        <w:trPr>
          <w:trHeight w:val="209"/>
        </w:trPr>
        <w:tc>
          <w:tcPr>
            <w:tcW w:w="938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3,829</w:t>
            </w:r>
          </w:p>
        </w:tc>
      </w:tr>
      <w:tr>
        <w:trPr>
          <w:trHeight w:val="209"/>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15"/>
        </w:trPr>
        <w:tc>
          <w:tcPr>
            <w:tcW w:w="938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8"/>
                <w:szCs w:val="18"/>
                <w:color w:val="auto"/>
              </w:rPr>
            </w:pPr>
          </w:p>
        </w:tc>
      </w:tr>
      <w:tr>
        <w:trPr>
          <w:trHeight w:val="209"/>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purchase obligations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7"/>
              </w:rPr>
              <w:t>113,497</w:t>
            </w:r>
          </w:p>
        </w:tc>
      </w:tr>
      <w:tr>
        <w:trPr>
          <w:trHeight w:val="221"/>
        </w:trPr>
        <w:tc>
          <w:tcPr>
            <w:tcW w:w="93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1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60" w:type="dxa"/>
            <w:vAlign w:val="bottom"/>
          </w:tcPr>
          <w:p>
            <w:pPr>
              <w:spacing w:after="0"/>
              <w:rPr>
                <w:sz w:val="19"/>
                <w:szCs w:val="19"/>
                <w:color w:val="auto"/>
              </w:rPr>
            </w:pPr>
          </w:p>
        </w:tc>
      </w:tr>
      <w:tr>
        <w:trPr>
          <w:trHeight w:val="209"/>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net minimum purchase obligations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7"/>
              </w:rPr>
              <w:t>113,420</w:t>
            </w:r>
          </w:p>
        </w:tc>
      </w:tr>
      <w:tr>
        <w:trPr>
          <w:trHeight w:val="209"/>
        </w:trPr>
        <w:tc>
          <w:tcPr>
            <w:tcW w:w="93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Less: Current portion of purchase obligations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40,503</w:t>
            </w:r>
          </w:p>
        </w:tc>
      </w:tr>
      <w:tr>
        <w:trPr>
          <w:trHeight w:val="26"/>
        </w:trPr>
        <w:tc>
          <w:tcPr>
            <w:tcW w:w="9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long-term purchase obligations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72,917</w:t>
            </w:r>
          </w:p>
        </w:tc>
      </w:tr>
      <w:tr>
        <w:trPr>
          <w:trHeight w:val="20"/>
        </w:trPr>
        <w:tc>
          <w:tcPr>
            <w:tcW w:w="9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20"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From time to time in the normal course of business, the Company may be subject to various legal matters such as threatened or pending claims or proceedings. There were no material such matters as of and for the year ended December 31, 2023 or the three months ended March 31, 2024.</w:t>
      </w:r>
    </w:p>
    <w:p>
      <w:pPr>
        <w:spacing w:after="0" w:line="288" w:lineRule="exact"/>
        <w:rPr>
          <w:sz w:val="20"/>
          <w:szCs w:val="20"/>
          <w:color w:val="auto"/>
        </w:rPr>
      </w:pPr>
    </w:p>
    <w:p>
      <w:pPr>
        <w:ind w:left="440" w:hanging="435"/>
        <w:spacing w:after="0"/>
        <w:tabs>
          <w:tab w:leader="none" w:pos="44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Company has entered into various non-cancelable operating lease agreements, primarily for the rent of office and lab space, with expirations at various dates through 2029. The Company has also acquired portions of its equipment under finance lease arrangements, formerly referred to as capital leases under ASC 840, with expirations between 2022 and 2023.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total lease costs for the years ended December 31, 2022 and 2023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2"/>
        </w:trPr>
        <w:tc>
          <w:tcPr>
            <w:tcW w:w="41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4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9"/>
                <w:szCs w:val="9"/>
                <w:color w:val="auto"/>
              </w:rPr>
            </w:pPr>
          </w:p>
        </w:tc>
      </w:tr>
      <w:tr>
        <w:trPr>
          <w:trHeight w:val="168"/>
        </w:trPr>
        <w:tc>
          <w:tcPr>
            <w:tcW w:w="414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4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6,426</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6,760</w:t>
            </w:r>
          </w:p>
        </w:tc>
        <w:tc>
          <w:tcPr>
            <w:tcW w:w="100" w:type="dxa"/>
            <w:vAlign w:val="bottom"/>
            <w:shd w:val="clear" w:color="auto" w:fill="CCEEFF"/>
          </w:tcPr>
          <w:p>
            <w:pPr>
              <w:spacing w:after="0"/>
              <w:rPr>
                <w:sz w:val="17"/>
                <w:szCs w:val="17"/>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4,732</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4,641</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costs</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139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441</w:t>
            </w: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Sublease income</w:t>
            </w: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(191)</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4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381</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283</w:t>
            </w:r>
          </w:p>
        </w:tc>
      </w:tr>
      <w:tr>
        <w:trPr>
          <w:trHeight w:val="209"/>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r>
      <w:tr>
        <w:trPr>
          <w:trHeight w:val="215"/>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Total lease costs</w:t>
            </w:r>
          </w:p>
        </w:tc>
        <w:tc>
          <w:tcPr>
            <w:tcW w:w="48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11,508</w:t>
            </w:r>
          </w:p>
        </w:tc>
        <w:tc>
          <w:tcPr>
            <w:tcW w:w="6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12,078</w:t>
            </w:r>
          </w:p>
        </w:tc>
        <w:tc>
          <w:tcPr>
            <w:tcW w:w="10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140" w:type="dxa"/>
            <w:vAlign w:val="bottom"/>
          </w:tcPr>
          <w:p>
            <w:pPr>
              <w:spacing w:after="0"/>
              <w:rPr>
                <w:sz w:val="24"/>
                <w:szCs w:val="24"/>
                <w:color w:val="auto"/>
              </w:rPr>
            </w:pPr>
          </w:p>
        </w:tc>
        <w:tc>
          <w:tcPr>
            <w:tcW w:w="496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F-30</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320" w:top="446" w:right="27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Lease term and discount rate as of December 31, 2022 and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8"/>
        </w:trPr>
        <w:tc>
          <w:tcPr>
            <w:tcW w:w="84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r>
      <w:tr>
        <w:trPr>
          <w:trHeight w:val="189"/>
        </w:trPr>
        <w:tc>
          <w:tcPr>
            <w:tcW w:w="8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8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9"/>
        </w:trPr>
        <w:tc>
          <w:tcPr>
            <w:tcW w:w="8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leases</w:t>
            </w:r>
          </w:p>
        </w:tc>
        <w:tc>
          <w:tcPr>
            <w:tcW w:w="18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6.6</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5.9</w:t>
            </w:r>
          </w:p>
        </w:tc>
      </w:tr>
      <w:tr>
        <w:trPr>
          <w:trHeight w:val="20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Finance leases</w:t>
            </w:r>
          </w:p>
        </w:tc>
        <w:tc>
          <w:tcPr>
            <w:tcW w:w="1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0.7</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0.0</w:t>
            </w:r>
          </w:p>
        </w:tc>
      </w:tr>
      <w:tr>
        <w:trPr>
          <w:trHeight w:val="209"/>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leases</w:t>
            </w:r>
          </w:p>
        </w:tc>
        <w:tc>
          <w:tcPr>
            <w:tcW w:w="1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6.7%</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6.9%</w:t>
            </w:r>
          </w:p>
        </w:tc>
      </w:tr>
      <w:tr>
        <w:trPr>
          <w:trHeight w:val="227"/>
        </w:trPr>
        <w:tc>
          <w:tcPr>
            <w:tcW w:w="8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Finance leases</w:t>
            </w:r>
          </w:p>
        </w:tc>
        <w:tc>
          <w:tcPr>
            <w:tcW w:w="18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4.2%</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0.0%</w:t>
            </w:r>
          </w:p>
        </w:tc>
      </w:tr>
    </w:tbl>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December 31, 2023, the future payments under operating leases for each of the next five years and thereafter are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6,774</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9,053</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7,652</w:t>
            </w:r>
          </w:p>
        </w:tc>
        <w:tc>
          <w:tcPr>
            <w:tcW w:w="0" w:type="dxa"/>
            <w:vAlign w:val="bottom"/>
          </w:tcPr>
          <w:p>
            <w:pPr>
              <w:spacing w:after="0"/>
              <w:rPr>
                <w:sz w:val="1"/>
                <w:szCs w:val="1"/>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7,726</w:t>
            </w: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8,044</w:t>
            </w:r>
          </w:p>
        </w:tc>
        <w:tc>
          <w:tcPr>
            <w:tcW w:w="0" w:type="dxa"/>
            <w:vAlign w:val="bottom"/>
          </w:tcPr>
          <w:p>
            <w:pPr>
              <w:spacing w:after="0"/>
              <w:rPr>
                <w:sz w:val="1"/>
                <w:szCs w:val="1"/>
                <w:color w:val="auto"/>
              </w:rPr>
            </w:pPr>
          </w:p>
        </w:tc>
      </w:tr>
      <w:tr>
        <w:trPr>
          <w:trHeight w:val="215"/>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3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0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net minimum lease payments</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38,477</w:t>
            </w:r>
          </w:p>
        </w:tc>
        <w:tc>
          <w:tcPr>
            <w:tcW w:w="0" w:type="dxa"/>
            <w:vAlign w:val="bottom"/>
          </w:tcPr>
          <w:p>
            <w:pPr>
              <w:spacing w:after="0"/>
              <w:rPr>
                <w:sz w:val="1"/>
                <w:szCs w:val="1"/>
                <w:color w:val="auto"/>
              </w:rPr>
            </w:pPr>
          </w:p>
        </w:tc>
      </w:tr>
      <w:tr>
        <w:trPr>
          <w:trHeight w:val="215"/>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Less: Current portion of lease liabilities</w:t>
            </w:r>
          </w:p>
        </w:tc>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long-term lease liabilities</w:t>
            </w:r>
          </w:p>
        </w:tc>
        <w:tc>
          <w:tcPr>
            <w:tcW w:w="3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32,040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March 31, 2024, there were no material changes to the Company’s total lease costs, lease term and discount rate, or lease obligations.</w:t>
      </w:r>
    </w:p>
    <w:p>
      <w:pPr>
        <w:spacing w:after="0" w:line="364" w:lineRule="exact"/>
        <w:rPr>
          <w:sz w:val="20"/>
          <w:szCs w:val="20"/>
          <w:color w:val="auto"/>
        </w:rPr>
      </w:pPr>
    </w:p>
    <w:p>
      <w:pPr>
        <w:ind w:left="460" w:right="8600" w:hanging="455"/>
        <w:spacing w:after="0" w:line="386" w:lineRule="auto"/>
        <w:tabs>
          <w:tab w:leader="none" w:pos="453"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Common Stock</w:t>
      </w: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had authorized 181,700,285 shares of Class A common stock, 5,374,899 shares of Class B common stock, and 63,946,627 shares of non-voting common stock. In January 2022, the Company increased the number of authorized shares of non-voting common stock to 66,946,627. In April 2022, the Company increased the number of authorized shares of Class A common stock to 195,865,548 in conjunction with the Series G-3 Preferred stock financing (see Note 9, Redeemable Convertible Preferred Stock). In October 2023, the Company increased the number of authorized shares of Class A common stock to 200,228,024 in conjunction with the Series G-4 Preferred stock financing (see Note 9, Redeemable Convertible Preferred Stock).</w:t>
      </w:r>
    </w:p>
    <w:p>
      <w:pPr>
        <w:spacing w:after="0" w:line="17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Class A common stock, Class B common stock and non-voting common stock are collectively referred to as “Common Stock” throughout the notes to these consolidated financial statements unless otherwise noted.</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rights of the holders of Class A common stock, Class B common stock and non-voting common stock are identical, except with respect to voting. Each share of Class A common stock is entitled to one vote per share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300"/>
          </w:cols>
          <w:pgMar w:left="320" w:top="446" w:right="27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each share of Class B common stock is entitled to fifteen votes per share. Non-voting shares of common stock do not have voting rights.</w:t>
      </w:r>
    </w:p>
    <w:p>
      <w:pPr>
        <w:spacing w:after="0" w:line="223"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Each share of Class B common stock is convertible at any time at the option of the holder into one share of Class A common stock. Upon the closing of the IPO,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on the closing of this offering.</w:t>
      </w:r>
    </w:p>
    <w:p>
      <w:pPr>
        <w:spacing w:after="0" w:line="169"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the twenty-year anniversary of the filing of the Company’s twelfth amended and restated certificate of incorporation, which is       , 2044;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3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Once transferred and converted into Class A common stock, the Class B common stock may not be reissued.</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Shares of non-voting common stock automatically convert into shares of Class A common stock immediately upon the closing of an initial public offering (“IPO”).</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10, Stock-Based Compensation).</w:t>
      </w:r>
    </w:p>
    <w:p>
      <w:pPr>
        <w:spacing w:after="0" w:line="147"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Upon any liquidation, dissolution or winding up of the Company, the remaining assets of the Company would first be distributed to the holders of Series G-5 Preferred Stock (see Note 17, Unaudited Subsequent Events), Series G-4 Preferred Stock,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Warrant</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In connection with a 2021 strategic collaboration with AstraZeneca, as amended in October 2022, February 2023 and December 2023,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As no such transaction has occurred, in accordance with the agreement, the exercise price will be the latest equity financing price.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$220 million to $320 million through December 2028.</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1300"/>
          </w:cols>
          <w:pgMar w:left="320" w:top="446" w:right="2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On December 8, 2023, the Company issued Allen &amp; Company LLC (“Allen”) a warrant to purchase 150,000 shares of the Company’s Class A common stock at a price per share of $10.00. The exercise period of the warrant is from the date of issuance to November 30, 2026. The warrant may be exercised at any time at Allen’s option. However, upon a change in control or an IPO, the warrant will be automatically exercised.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Treasury Stock</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 January 2023, the Company repurchased 145,466 shares of non-voting common stock previously issued to the former owners of December 2019 acquisition AKESOgen. These shares were accounted for as treasury stock. The Company records treasury stock at cost.</w:t>
      </w:r>
    </w:p>
    <w:p>
      <w:pPr>
        <w:spacing w:after="0" w:line="288" w:lineRule="exact"/>
        <w:rPr>
          <w:sz w:val="20"/>
          <w:szCs w:val="20"/>
          <w:color w:val="auto"/>
        </w:rPr>
      </w:pPr>
    </w:p>
    <w:p>
      <w:pPr>
        <w:ind w:left="440" w:hanging="435"/>
        <w:spacing w:after="0"/>
        <w:tabs>
          <w:tab w:leader="none" w:pos="44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REDEEMABLE CONVERTIBLE PREFERRED STOCK</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$0.0001. The Company used the proceeds from such issuances for working capital and general corporate purposes.</w:t>
      </w:r>
    </w:p>
    <w:p>
      <w:pPr>
        <w:spacing w:after="0" w:line="169"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 April 2022, the Company issued 1,614,114 shares of Series G-3 Preferred stock (“Series G-3 Preferred”) for aggregate proceeds of $92.5 million. Each share has a par value of $0.0001. The Company will use the proceeds for working capital and general corporate purposes.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January 2023, the Company issued 47,781 shares of Series G-3 convertible preferred stock as payment of paid-in-kind dividends.</w:t>
      </w:r>
    </w:p>
    <w:p>
      <w:pPr>
        <w:spacing w:after="0" w:line="22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 October 2023, the Company issued 785,245 shares of Series G-4 convertible preferred stock (“Series G-4 Preferred”) for aggregate proceeds of $45.0 million. Each share has a par value of $0.0001. The Company will use the proceeds for working capital and general corporate purposes.</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In January 2024, the Company issued 66,465 shares of Series G-3 convertible preferred stock and 10,666 shares of Series G-4 convertible preferred stock as payment of paid-in-kind dividends.</w:t>
      </w:r>
    </w:p>
    <w:p>
      <w:pPr>
        <w:spacing w:after="0" w:line="147"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In April 2024, the Company issued 3,489,981 shares of Series G-5 convertible preferred stock (“Series G-5 Preferred”) for aggregate proceeds of $200.0 million. Each share has a par value of $0.0001. The Company will use the proceeds for working capital and general corporate purposes. Terms of Series G-5 Preferred are consistent with previous terms of redeemable convertible preferred stock.</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1300"/>
          </w:cols>
          <w:pgMar w:left="320" w:top="446" w:right="2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Redeemable convertible preferred stock outstanding as of December 31, 2022 and 2023 and March 31, 2024, consisted of the following (in thousands, except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2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20" w:type="dxa"/>
            <w:vAlign w:val="bottom"/>
            <w:gridSpan w:val="4"/>
          </w:tcPr>
          <w:p>
            <w:pPr>
              <w:ind w:left="92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30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60" w:type="dxa"/>
            <w:vAlign w:val="bottom"/>
          </w:tcPr>
          <w:p>
            <w:pPr>
              <w:spacing w:after="0"/>
              <w:rPr>
                <w:sz w:val="9"/>
                <w:szCs w:val="9"/>
                <w:color w:val="auto"/>
              </w:rPr>
            </w:pPr>
          </w:p>
        </w:tc>
        <w:tc>
          <w:tcPr>
            <w:tcW w:w="840" w:type="dxa"/>
            <w:vAlign w:val="bottom"/>
          </w:tcPr>
          <w:p>
            <w:pPr>
              <w:jc w:val="center"/>
              <w:ind w:right="7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580" w:type="dxa"/>
            <w:vAlign w:val="bottom"/>
            <w:tcBorders>
              <w:bottom w:val="single" w:sz="8" w:color="auto"/>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4940" w:type="dxa"/>
            <w:vAlign w:val="bottom"/>
          </w:tcPr>
          <w:p>
            <w:pPr>
              <w:spacing w:after="0"/>
              <w:rPr>
                <w:sz w:val="15"/>
                <w:szCs w:val="15"/>
                <w:color w:val="auto"/>
              </w:rPr>
            </w:pP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20" w:type="dxa"/>
            <w:vAlign w:val="bottom"/>
            <w:gridSpan w:val="4"/>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5"/>
        </w:trPr>
        <w:tc>
          <w:tcPr>
            <w:tcW w:w="5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1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5,374,899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10,500</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10,500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4,191,173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31,500</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30,000</w:t>
            </w: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9,779,403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83,746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8,534,330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99,479</w:t>
            </w: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6,630,905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143,036</w:t>
            </w: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8,077,674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246,911</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246,911</w:t>
            </w: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2,537,290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113,554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113,554</w:t>
            </w: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2020/2021</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3,453,139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3,453,139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197,889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197,889</w:t>
            </w:r>
          </w:p>
        </w:tc>
        <w:tc>
          <w:tcPr>
            <w:tcW w:w="0" w:type="dxa"/>
            <w:vAlign w:val="bottom"/>
          </w:tcPr>
          <w:p>
            <w:pPr>
              <w:spacing w:after="0"/>
              <w:rPr>
                <w:sz w:val="1"/>
                <w:szCs w:val="1"/>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4,362,476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1,614,114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95,274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95,274</w:t>
            </w:r>
          </w:p>
        </w:tc>
        <w:tc>
          <w:tcPr>
            <w:tcW w:w="0" w:type="dxa"/>
            <w:vAlign w:val="bottom"/>
          </w:tcPr>
          <w:p>
            <w:pPr>
              <w:spacing w:after="0"/>
              <w:rPr>
                <w:sz w:val="1"/>
                <w:szCs w:val="1"/>
                <w:color w:val="auto"/>
              </w:rPr>
            </w:pPr>
          </w:p>
        </w:tc>
      </w:tr>
      <w:tr>
        <w:trPr>
          <w:trHeight w:val="215"/>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65,441,289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62,692,927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1,043,757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right="6460" w:firstLine="5"/>
        <w:spacing w:after="0" w:line="295" w:lineRule="auto"/>
        <w:tabs>
          <w:tab w:leader="none" w:pos="444"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amounts related to the conversion of convertible note ** Excludes amounts related to embedded conversion features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76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2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0" w:type="dxa"/>
            <w:vAlign w:val="bottom"/>
          </w:tcPr>
          <w:p>
            <w:pPr>
              <w:spacing w:after="0"/>
              <w:rPr>
                <w:sz w:val="9"/>
                <w:szCs w:val="9"/>
                <w:color w:val="auto"/>
              </w:rPr>
            </w:pPr>
          </w:p>
        </w:tc>
        <w:tc>
          <w:tcPr>
            <w:tcW w:w="1140" w:type="dxa"/>
            <w:vAlign w:val="bottom"/>
            <w:gridSpan w:val="3"/>
          </w:tcPr>
          <w:p>
            <w:pPr>
              <w:jc w:val="right"/>
              <w:ind w:right="36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60" w:type="dxa"/>
            <w:vAlign w:val="bottom"/>
          </w:tcPr>
          <w:p>
            <w:pPr>
              <w:jc w:val="center"/>
              <w:ind w:right="5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580" w:type="dxa"/>
            <w:vAlign w:val="bottom"/>
            <w:tcBorders>
              <w:bottom w:val="single" w:sz="8" w:color="auto"/>
            </w:tcBorders>
          </w:tcPr>
          <w:p>
            <w:pPr>
              <w:spacing w:after="0" w:line="157"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5180" w:type="dxa"/>
            <w:vAlign w:val="bottom"/>
          </w:tcPr>
          <w:p>
            <w:pPr>
              <w:spacing w:after="0"/>
              <w:rPr>
                <w:sz w:val="15"/>
                <w:szCs w:val="15"/>
                <w:color w:val="auto"/>
              </w:rPr>
            </w:pPr>
          </w:p>
        </w:tc>
        <w:tc>
          <w:tcPr>
            <w:tcW w:w="114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20" w:type="dxa"/>
            <w:vAlign w:val="bottom"/>
            <w:gridSpan w:val="2"/>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2015</w:t>
            </w: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340" w:type="dxa"/>
            <w:vAlign w:val="bottom"/>
            <w:tcBorders>
              <w:top w:val="single" w:sz="8" w:color="CCEEFF"/>
              <w:right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5,374,899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5,374,899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10,500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B-1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2016</w:t>
            </w:r>
          </w:p>
        </w:tc>
        <w:tc>
          <w:tcPr>
            <w:tcW w:w="2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2,500,000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10,500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9"/>
        </w:trPr>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B-2</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4,191,173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4,191,173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31,500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30,000</w:t>
            </w: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2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9,779,403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9,779,403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86,757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09"/>
        </w:trPr>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D</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8,534,330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8,534,330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105,107</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104,145</w:t>
            </w: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2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6,630,905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6,630,905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151,621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151,621</w:t>
            </w:r>
          </w:p>
        </w:tc>
        <w:tc>
          <w:tcPr>
            <w:tcW w:w="0" w:type="dxa"/>
            <w:vAlign w:val="bottom"/>
          </w:tcPr>
          <w:p>
            <w:pPr>
              <w:spacing w:after="0"/>
              <w:rPr>
                <w:sz w:val="1"/>
                <w:szCs w:val="1"/>
                <w:color w:val="auto"/>
              </w:rPr>
            </w:pPr>
          </w:p>
        </w:tc>
      </w:tr>
      <w:tr>
        <w:trPr>
          <w:trHeight w:val="209"/>
        </w:trPr>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F</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8,077,674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8,077,674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261,722</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261,722</w:t>
            </w: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G</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2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2,537,290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2,537,290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119,928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119,928</w:t>
            </w:r>
          </w:p>
        </w:tc>
        <w:tc>
          <w:tcPr>
            <w:tcW w:w="0" w:type="dxa"/>
            <w:vAlign w:val="bottom"/>
          </w:tcPr>
          <w:p>
            <w:pPr>
              <w:spacing w:after="0"/>
              <w:rPr>
                <w:sz w:val="1"/>
                <w:szCs w:val="1"/>
                <w:color w:val="auto"/>
              </w:rPr>
            </w:pPr>
          </w:p>
        </w:tc>
      </w:tr>
      <w:tr>
        <w:trPr>
          <w:trHeight w:val="209"/>
        </w:trPr>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G-2*</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2020/2021</w:t>
            </w: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3,453,139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3,453,139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197,889</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197,889</w:t>
            </w: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G-3**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2022/2023</w:t>
            </w:r>
          </w:p>
        </w:tc>
        <w:tc>
          <w:tcPr>
            <w:tcW w:w="2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4,362,476</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1,661,895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98,891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95,238</w:t>
            </w:r>
          </w:p>
        </w:tc>
        <w:tc>
          <w:tcPr>
            <w:tcW w:w="0" w:type="dxa"/>
            <w:vAlign w:val="bottom"/>
          </w:tcPr>
          <w:p>
            <w:pPr>
              <w:spacing w:after="0"/>
              <w:rPr>
                <w:sz w:val="1"/>
                <w:szCs w:val="1"/>
                <w:color w:val="auto"/>
              </w:rPr>
            </w:pPr>
          </w:p>
        </w:tc>
      </w:tr>
      <w:tr>
        <w:trPr>
          <w:trHeight w:val="209"/>
        </w:trPr>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G-4**</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2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4,362,476</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785,245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45,514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45,000</w:t>
            </w: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convertible preferred stock</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69,803,765</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63,525,953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1,130,429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1,105,543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Excludes amounts related to the conversion of convertible note</w:t>
      </w:r>
    </w:p>
    <w:p>
      <w:pPr>
        <w:spacing w:after="0" w:line="3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w:t>
        <w:tab/>
        <w:t>Excludes amounts related to embedded conversion features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1300"/>
          </w:cols>
          <w:pgMar w:left="320" w:top="446" w:right="2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20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280" w:type="dxa"/>
            <w:vAlign w:val="bottom"/>
            <w:tcBorders>
              <w:bottom w:val="single" w:sz="8" w:color="auto"/>
            </w:tcBorders>
            <w:gridSpan w:val="3"/>
          </w:tcPr>
          <w:p>
            <w:pPr>
              <w:ind w:left="86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8"/>
              </w:rPr>
              <w:t>Liquidation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5"/>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 w:type="dxa"/>
            <w:vAlign w:val="bottom"/>
            <w:tcBorders>
              <w:bottom w:val="single" w:sz="8" w:color="auto"/>
            </w:tcBorders>
          </w:tcPr>
          <w:p>
            <w:pPr>
              <w:spacing w:after="0" w:line="131"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4620" w:type="dxa"/>
            <w:vAlign w:val="bottom"/>
          </w:tcPr>
          <w:p>
            <w:pPr>
              <w:spacing w:after="0"/>
              <w:rPr>
                <w:sz w:val="13"/>
                <w:szCs w:val="13"/>
                <w:color w:val="auto"/>
              </w:rPr>
            </w:pPr>
          </w:p>
        </w:tc>
        <w:tc>
          <w:tcPr>
            <w:tcW w:w="15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80" w:type="dxa"/>
            <w:vAlign w:val="bottom"/>
            <w:gridSpan w:val="3"/>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840" w:type="dxa"/>
            <w:vAlign w:val="bottom"/>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5"/>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2015</w:t>
            </w:r>
          </w:p>
        </w:tc>
        <w:tc>
          <w:tcPr>
            <w:tcW w:w="2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10,624</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2016</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5,374,899</w:t>
            </w: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5,374,899</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10,624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B-1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2,500,000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2,500,000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10,624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B-2</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2017</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4,191,173</w:t>
            </w: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4,191,173</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31,873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30,000</w:t>
            </w: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9,779,403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9,779,403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87,940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85,975</w:t>
            </w: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D</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2018</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8,534,330</w:t>
            </w: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8,534,330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105,313</w:t>
            </w: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6,630,905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6,630,905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153,840</w:t>
            </w: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F</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2019</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8,077,674</w:t>
            </w: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8,077,674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265,551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265,551</w:t>
            </w: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2,537,290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2,537,290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121,576</w:t>
            </w: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G-2*</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2020/2021</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3,453,139</w:t>
            </w: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3,453,139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197,889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197,889</w:t>
            </w: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G-3**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2022/2023/2024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4,362,476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1,728,360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99,870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99,047</w:t>
            </w: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G-4**</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2023/2024</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4,362,476</w:t>
            </w: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795,911</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45,611</w:t>
            </w: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convertible preferred stock</w:t>
            </w: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69,803,765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63,603,084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1,134,802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right="6460" w:firstLine="5"/>
        <w:spacing w:after="0" w:line="295" w:lineRule="auto"/>
        <w:tabs>
          <w:tab w:leader="none" w:pos="444"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amounts related to the conversion of convertible note ** Excludes amounts related to embedded conversion features</w:t>
      </w:r>
    </w:p>
    <w:p>
      <w:pPr>
        <w:spacing w:after="0" w:line="147"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Stock issuance costs that reduced the initial value of preferred stock were fully accreted in the period of the Series issuance. As of December 31, 2022 and 2023 and March 31, 2024, all cumulative dividends have been paid and/or accrued.</w:t>
      </w:r>
    </w:p>
    <w:p>
      <w:pPr>
        <w:spacing w:after="0" w:line="147"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Series A Preferred, Series B Preferred, Series B-1 Preferred, Series B-2 Preferred, Series C Preferred, Series D Preferred, Series E Preferred, Series F Preferred, Series G Preferred, Series G-2 Preferred, Series G-3 Preferred, Series G-4 Preferred, and Series G-5 Preferred, collectively, are referenced below as the “Series Preferred.” The rights, preferences, privileges, restrictions and other matters relating to the Series Preferred are as follows: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Except for the holders of Series G-2 Preferred, Series G-3 Preferred, Series G-4 Preferred, and Series G-5 Preferred, the holders of Series Preferred are entitled to dividends at a rate of 5% or 6% of the original issue price (subject to adjustment in the event of any stock 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 The holders of Series G-4 Preferred are entitled to dividends at a rate of 5.25% of the original issue price, paid in non-assessable shares of Series G-4 Preferred Stock (“Series G-4 PIK Dividends”). The holders of Series G-5 Preferred are entitled to dividends at a rate of 5.25% of the original issue price, paid in non-assessable shares of Series G-5 Preferred Stock (“Series G-5 PIK Dividends”).</w:t>
      </w:r>
    </w:p>
    <w:p>
      <w:pPr>
        <w:spacing w:after="0" w:line="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dividends are cumulative and accrued from the date of issue while the shares are redeemable at the option of the holders. Any cash payments are subject to approval by the Board. The Company declared all historical Series C dividends in February 2024.</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With the exception of the Series B Preferred stockholders, Preferred stockholders are entitled to the number of votes equal to the product obtained by multiplying the number of shares of voting common stock into which their shares could be converted.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1300"/>
          </w:cols>
          <w:pgMar w:left="320" w:top="446" w:right="27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Series B Preferred stockholders are entitled to a number of votes equal to the product obtained by multiplying the number of shares of Class B common stock into which their shares could be converted by fifteen.</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Liquidation Preference</w:t>
      </w:r>
    </w:p>
    <w:p>
      <w:pPr>
        <w:spacing w:after="0" w:line="120" w:lineRule="exact"/>
        <w:rPr>
          <w:sz w:val="20"/>
          <w:szCs w:val="20"/>
          <w:color w:val="auto"/>
        </w:rPr>
      </w:pPr>
    </w:p>
    <w:p>
      <w:pPr>
        <w:jc w:val="both"/>
        <w:ind w:right="20" w:firstLine="451"/>
        <w:spacing w:after="0" w:line="269" w:lineRule="auto"/>
        <w:rPr>
          <w:sz w:val="20"/>
          <w:szCs w:val="20"/>
          <w:color w:val="auto"/>
        </w:rPr>
      </w:pPr>
      <w:r>
        <w:rPr>
          <w:rFonts w:ascii="Times New Roman" w:cs="Times New Roman" w:eastAsia="Times New Roman" w:hAnsi="Times New Roman"/>
          <w:sz w:val="17"/>
          <w:szCs w:val="17"/>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G-5, Series G-4, Series G-3, Series G-2, Series G, Series F, Series E, Series D, Series C, Series B-2, Series B-1, Series B, Series A.</w:t>
      </w:r>
    </w:p>
    <w:p>
      <w:pPr>
        <w:spacing w:after="0" w:line="2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Redemption</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Each outstanding share of Series G-5 Preferred, Series G-4 Preferred, Series G-3 Preferred, Series G-2 Preferred, Series G Preferred,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G-5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120"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2022 and 2023. In the event of an initial public offering (“IPO”), the Series G-3 Preferred and Series G-4 Preferred conversion price is subject to the greater of (i) 15% discount off of the public offering price and (ii) 10% discount off of the original issue price of the Series G-3 Preferred and Series G-4 Preferred (“Special IPO Adjustment”). In addition, holders of Series G-4 Preferred will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In the event of an initial public offering (“IPO”), the Series G-5 Preferred conversion price is subject to the greater of (i) 10% discount off of the public offering price and (ii) 10% discount off of the original issue price of the Series G-5 Preferred (“Special Series G-5 IPO Adjustment”).</w:t>
      </w:r>
    </w:p>
    <w:p>
      <w:pPr>
        <w:spacing w:after="0" w:line="38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conjunction with the issuance of the Series G-3 Preferred, the Company signed a separate agreement with one of the investors (“Investor Letter Agreement”) in which the Company will, in connection with an IPO, pay the investor an amount equal to (a) the product of 287,923 and a 15% discount off of the public offering price, less (b) the product of 287,923 and the price per share of Class A Common Stock sold in the IPO. The agreement was signed with only one investor as an incentive to invest in Series G-3 Preferred.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1300"/>
          </w:cols>
          <w:pgMar w:left="320" w:top="446" w:right="2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Company evaluated the conversion features to assess whether they qualify as freestanding instruments which are required to be bifurcated from the host instrument. Each instrument was determined to be an embedded conversion option which is clearly and closely related to its equity host instrument, and as such, no bifurcation was required.</w:t>
      </w:r>
    </w:p>
    <w:p>
      <w:pPr>
        <w:spacing w:after="0" w:line="304" w:lineRule="exact"/>
        <w:rPr>
          <w:sz w:val="20"/>
          <w:szCs w:val="20"/>
          <w:color w:val="auto"/>
        </w:rPr>
      </w:pPr>
    </w:p>
    <w:p>
      <w:pPr>
        <w:ind w:left="460" w:right="8140" w:hanging="455"/>
        <w:spacing w:after="0" w:line="386" w:lineRule="auto"/>
        <w:tabs>
          <w:tab w:leader="none" w:pos="453"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Stock Plan</w:t>
      </w: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2015, the Company adopted the Tempus AI, Inc. 2015 Stock Plan (the Plan), which has been amended and restated numerous times to increase the aggregate shares authorized to be issued to employees, consultants, and directors of the Company. As of December 31, 2022, there were 25,115,750 shares authorized under the Plan. In April 2023, the Plan was amended to increase the aggregate shares authorized to be issued, and as of December 31, 2023, there were 28,115,750 authorized under the Plan.</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2022 and 2023, 2,476,611 shares and 2,522,250 shares, respectively, were available for future issuance under the Plan. As of March 31, 2024, 2,517,445 shares were available for issuance under the plan.</w:t>
      </w:r>
    </w:p>
    <w:p>
      <w:pPr>
        <w:spacing w:after="0" w:line="169"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On January 18, 2023, the Company approved a two-year extension of the expiration date for active employees whose RSUs expire either in 2023 or 2024. The Company accounted for the extension as a stock compensation modification, which resulted in an increase in unrecognized compensation cost of $40.4 million for the year ended December 31, 2023 and $41.3 million for the three months ended March 31, 2024.</w:t>
      </w:r>
    </w:p>
    <w:p>
      <w:pPr>
        <w:spacing w:after="0" w:line="162"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On July 18, 2023, the Company approved the removal of the market condition for 5,898,596 outstanding PSUs. The Company accounted for this as a stock compensation modification. Subsequent to the modification, these units are treated as RSUs as the terms are consistent with the Company’s existing RSUs. The modification resulted in a decrease in total unrecognized compensation cost of $19.3 million.</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20" w:lineRule="exact"/>
        <w:rPr>
          <w:sz w:val="20"/>
          <w:szCs w:val="20"/>
          <w:color w:val="auto"/>
        </w:rPr>
      </w:pPr>
    </w:p>
    <w:p>
      <w:pPr>
        <w:jc w:val="both"/>
        <w:ind w:right="20" w:firstLine="451"/>
        <w:spacing w:after="0" w:line="266" w:lineRule="auto"/>
        <w:rPr>
          <w:sz w:val="20"/>
          <w:szCs w:val="20"/>
          <w:color w:val="auto"/>
        </w:rPr>
      </w:pPr>
      <w:r>
        <w:rPr>
          <w:rFonts w:ascii="Times New Roman" w:cs="Times New Roman" w:eastAsia="Times New Roman" w:hAnsi="Times New Roman"/>
          <w:sz w:val="17"/>
          <w:szCs w:val="17"/>
          <w:color w:val="auto"/>
        </w:rPr>
        <w:t>The restricted stock units (“RSUs”) granted under the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1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2"/>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December 31, 2022</w:t>
            </w:r>
          </w:p>
        </w:tc>
        <w:tc>
          <w:tcPr>
            <w:tcW w:w="48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12,411,421</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3,050,625</w:t>
            </w:r>
          </w:p>
        </w:tc>
        <w:tc>
          <w:tcPr>
            <w:tcW w:w="340" w:type="dxa"/>
            <w:vAlign w:val="bottom"/>
          </w:tcPr>
          <w:p>
            <w:pPr>
              <w:spacing w:after="0"/>
              <w:rPr>
                <w:sz w:val="18"/>
                <w:szCs w:val="18"/>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33.89</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5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(508,673)</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33.62</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Expired</w:t>
            </w:r>
          </w:p>
        </w:tc>
        <w:tc>
          <w:tcPr>
            <w:tcW w:w="59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(63,469)</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PSU Modification</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5,898,596</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37.82</w:t>
            </w:r>
          </w:p>
        </w:tc>
        <w:tc>
          <w:tcPr>
            <w:tcW w:w="0" w:type="dxa"/>
            <w:vAlign w:val="bottom"/>
          </w:tcPr>
          <w:p>
            <w:pPr>
              <w:spacing w:after="0"/>
              <w:rPr>
                <w:sz w:val="1"/>
                <w:szCs w:val="1"/>
                <w:color w:val="auto"/>
              </w:rPr>
            </w:pPr>
          </w:p>
        </w:tc>
      </w:tr>
      <w:tr>
        <w:trPr>
          <w:trHeight w:val="215"/>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Unvested at December 31, 2023</w:t>
            </w:r>
          </w:p>
        </w:tc>
        <w:tc>
          <w:tcPr>
            <w:tcW w:w="48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20,788,500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60" w:type="dxa"/>
            <w:vAlign w:val="bottom"/>
          </w:tcPr>
          <w:p>
            <w:pPr>
              <w:spacing w:after="0"/>
              <w:rPr>
                <w:sz w:val="24"/>
                <w:szCs w:val="24"/>
                <w:color w:val="auto"/>
              </w:rPr>
            </w:pPr>
          </w:p>
        </w:tc>
        <w:tc>
          <w:tcPr>
            <w:tcW w:w="5980" w:type="dxa"/>
            <w:vAlign w:val="bottom"/>
            <w:gridSpan w:val="3"/>
          </w:tcPr>
          <w:p>
            <w:pPr>
              <w:jc w:val="right"/>
              <w:ind w:right="4020"/>
              <w:spacing w:after="0"/>
              <w:rPr>
                <w:sz w:val="20"/>
                <w:szCs w:val="20"/>
                <w:color w:val="auto"/>
              </w:rPr>
            </w:pPr>
            <w:r>
              <w:rPr>
                <w:rFonts w:ascii="Times New Roman" w:cs="Times New Roman" w:eastAsia="Times New Roman" w:hAnsi="Times New Roman"/>
                <w:sz w:val="17"/>
                <w:szCs w:val="17"/>
                <w:color w:val="auto"/>
              </w:rPr>
              <w:t>F-37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446" w:right="2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There were no restricted stock units that vested during the years ended December 31, 2022 and 2023. As of December 31, 2022 and December 31, 2023, there was $200.4 million and $550.2 million of unrecognized stock compensation expense relating to RSUs, respectively. Because of the liquidity event requirement, the Company cannot estimate the weighted-average period over which this expense will be recognized.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March 31, 2024, there was $555.0 million of unrecognized stock compensation expense related to RSUs.</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Performance Stock Units</w:t>
      </w:r>
    </w:p>
    <w:p>
      <w:pPr>
        <w:spacing w:after="0" w:line="120" w:lineRule="exact"/>
        <w:rPr>
          <w:sz w:val="20"/>
          <w:szCs w:val="20"/>
          <w:color w:val="auto"/>
        </w:rPr>
      </w:pPr>
    </w:p>
    <w:p>
      <w:pPr>
        <w:jc w:val="both"/>
        <w:ind w:firstLine="451"/>
        <w:spacing w:after="0" w:line="265" w:lineRule="auto"/>
        <w:rPr>
          <w:sz w:val="20"/>
          <w:szCs w:val="20"/>
          <w:color w:val="auto"/>
        </w:rPr>
      </w:pPr>
      <w:r>
        <w:rPr>
          <w:rFonts w:ascii="Times New Roman" w:cs="Times New Roman" w:eastAsia="Times New Roman" w:hAnsi="Times New Roman"/>
          <w:sz w:val="17"/>
          <w:szCs w:val="17"/>
          <w:color w:val="auto"/>
        </w:rPr>
        <w:t>The performance stock units (“PSUs”) granted under the Plan are subject to two vesting conditions. For PSUs granted prior to 2022, the first condition is the achievement of a valuation target. The second vesting condition is the occurrence of a liquidity event, as defined in the grant agreement. For PSUs granted in 2022, the first condition is the achievement of the acquired business reaching a revenue target for the twelve-month period ending December 31, 2023. This target was not met as of December 31, 2023, which resulted in the forfeiture of 17,450 PSUs. The fair value of each PSU is estimated on the date of grant using the 409a value of a non-voting share of common stock on such date. The table below summarizes performance stock unit activity under the Plan for the year ended December 31, 2023:</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86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8"/>
        </w:trPr>
        <w:tc>
          <w:tcPr>
            <w:tcW w:w="868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5,898,596</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17,450</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32.89</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(17,450)</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32.89</w:t>
            </w: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7"/>
                <w:szCs w:val="17"/>
                <w:color w:val="auto"/>
              </w:rPr>
              <w:t>PSU Modification</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(5,898,596)</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41.09</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As of December 31, 2022 and 2023 and March 31, 2024, there was $242.4 million, $0 million, and $0 million of unrecognized compensation expense related to Performance Stock Units, respectively.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20"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8"/>
        </w:trPr>
        <w:tc>
          <w:tcPr>
            <w:tcW w:w="7100" w:type="dxa"/>
            <w:vAlign w:val="bottom"/>
          </w:tcPr>
          <w:p>
            <w:pPr>
              <w:spacing w:after="0"/>
              <w:rPr>
                <w:sz w:val="14"/>
                <w:szCs w:val="14"/>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2"/>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center"/>
              <w:ind w:left="315"/>
              <w:spacing w:after="0"/>
              <w:rPr>
                <w:sz w:val="20"/>
                <w:szCs w:val="20"/>
                <w:color w:val="auto"/>
              </w:rPr>
            </w:pPr>
            <w:r>
              <w:rPr>
                <w:rFonts w:ascii="Times New Roman" w:cs="Times New Roman" w:eastAsia="Times New Roman" w:hAnsi="Times New Roman"/>
                <w:sz w:val="17"/>
                <w:szCs w:val="17"/>
                <w:color w:val="auto"/>
              </w:rPr>
              <w:t>0.85</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7"/>
                <w:szCs w:val="17"/>
                <w:color w:val="auto"/>
              </w:rPr>
              <w:t>0.85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86"/>
              </w:rPr>
              <w:t>— </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center"/>
              <w:ind w:left="555"/>
              <w:spacing w:after="0"/>
              <w:rPr>
                <w:sz w:val="20"/>
                <w:szCs w:val="20"/>
                <w:color w:val="auto"/>
              </w:rPr>
            </w:pPr>
            <w:r>
              <w:rPr>
                <w:rFonts w:ascii="Times New Roman" w:cs="Times New Roman" w:eastAsia="Times New Roman" w:hAnsi="Times New Roman"/>
                <w:sz w:val="17"/>
                <w:szCs w:val="17"/>
                <w:color w:val="auto"/>
                <w:w w:val="86"/>
              </w:rPr>
              <w:t>— </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7"/>
                <w:szCs w:val="17"/>
                <w:color w:val="auto"/>
                <w:w w:val="86"/>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left="555"/>
              <w:spacing w:after="0"/>
              <w:rPr>
                <w:sz w:val="20"/>
                <w:szCs w:val="20"/>
                <w:color w:val="auto"/>
              </w:rPr>
            </w:pPr>
            <w:r>
              <w:rPr>
                <w:rFonts w:ascii="Times New Roman" w:cs="Times New Roman" w:eastAsia="Times New Roman" w:hAnsi="Times New Roman"/>
                <w:sz w:val="17"/>
                <w:szCs w:val="17"/>
                <w:color w:val="auto"/>
                <w:w w:val="86"/>
              </w:rPr>
              <w:t>— </w:t>
            </w: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w w:val="93"/>
              </w:rPr>
              <w:t>— </w:t>
            </w:r>
          </w:p>
        </w:tc>
        <w:tc>
          <w:tcPr>
            <w:tcW w:w="76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7"/>
                <w:szCs w:val="17"/>
                <w:color w:val="auto"/>
                <w:w w:val="86"/>
              </w:rPr>
              <w:t>— </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7"/>
                <w:szCs w:val="17"/>
                <w:color w:val="auto"/>
                <w:w w:val="86"/>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7"/>
                <w:szCs w:val="17"/>
                <w:color w:val="auto"/>
              </w:rPr>
              <w:t>0.85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center"/>
              <w:ind w:left="555"/>
              <w:spacing w:after="0"/>
              <w:rPr>
                <w:sz w:val="20"/>
                <w:szCs w:val="20"/>
                <w:color w:val="auto"/>
              </w:rPr>
            </w:pPr>
            <w:r>
              <w:rPr>
                <w:rFonts w:ascii="Times New Roman" w:cs="Times New Roman" w:eastAsia="Times New Roman" w:hAnsi="Times New Roman"/>
                <w:sz w:val="17"/>
                <w:szCs w:val="17"/>
                <w:color w:val="auto"/>
              </w:rPr>
              <w:t>0.85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Options exercisable at December 31, 2023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10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2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center"/>
              <w:ind w:left="315"/>
              <w:spacing w:after="0"/>
              <w:rPr>
                <w:sz w:val="20"/>
                <w:szCs w:val="20"/>
                <w:color w:val="auto"/>
              </w:rPr>
            </w:pPr>
            <w:r>
              <w:rPr>
                <w:rFonts w:ascii="Times New Roman" w:cs="Times New Roman" w:eastAsia="Times New Roman" w:hAnsi="Times New Roman"/>
                <w:sz w:val="17"/>
                <w:szCs w:val="17"/>
                <w:color w:val="auto"/>
              </w:rPr>
              <w:t>0.85</w:t>
            </w:r>
          </w:p>
        </w:tc>
        <w:tc>
          <w:tcPr>
            <w:tcW w:w="76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7"/>
                <w:szCs w:val="17"/>
                <w:color w:val="auto"/>
              </w:rPr>
              <w:t>0.85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outstanding stock options were fully expensed prior to 2020. As such, no stock compensation expense relating to stock options was recorded in the year ended December 31, 2022 and 2023, and there is no unrecognized expense relating to stock options.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11300"/>
          </w:cols>
          <w:pgMar w:left="320" w:top="446" w:right="27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Restricted Stock Awards</w:t>
      </w:r>
    </w:p>
    <w:p>
      <w:pPr>
        <w:spacing w:after="0" w:line="120"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630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Restricted</w:t>
            </w:r>
          </w:p>
        </w:tc>
        <w:tc>
          <w:tcPr>
            <w:tcW w:w="58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Pr>
          <w:p>
            <w:pPr>
              <w:spacing w:after="0"/>
              <w:rPr>
                <w:sz w:val="12"/>
                <w:szCs w:val="12"/>
                <w:color w:val="auto"/>
              </w:rPr>
            </w:pPr>
          </w:p>
        </w:tc>
        <w:tc>
          <w:tcPr>
            <w:tcW w:w="11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8"/>
        </w:trPr>
        <w:tc>
          <w:tcPr>
            <w:tcW w:w="6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2"/>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3"/>
              </w:rPr>
              <w:t>— </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4,250,000</w:t>
            </w: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Vesting of restricted stock into unrestricted</w:t>
            </w:r>
          </w:p>
        </w:tc>
        <w:tc>
          <w:tcPr>
            <w:tcW w:w="6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3"/>
              </w:rPr>
              <w:t>— </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5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3"/>
              </w:rPr>
              <w:t>— </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No compensation cost was recognized for the years ended December 31, 2022 and 2023, respectively, and as of December 31, 2022 and 2023, there was no unrecognized compensation cost related to non-vested restricted stock awards, respectively.</w:t>
      </w:r>
    </w:p>
    <w:p>
      <w:pPr>
        <w:spacing w:after="0" w:line="288" w:lineRule="exact"/>
        <w:rPr>
          <w:sz w:val="20"/>
          <w:szCs w:val="20"/>
          <w:color w:val="auto"/>
        </w:rPr>
      </w:pPr>
    </w:p>
    <w:p>
      <w:pPr>
        <w:ind w:left="440" w:hanging="435"/>
        <w:spacing w:after="0"/>
        <w:tabs>
          <w:tab w:leader="none" w:pos="44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 Loan Facility</w:t>
      </w:r>
    </w:p>
    <w:p>
      <w:pPr>
        <w:spacing w:after="0" w:line="120"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On September 22, 2022, the Company entered into a Credit Agreement with Ares Capital Corporation (“Ares”) for a senior secured loan (the “Term Loan Facility”) in the amount of $175 million, less original issue discount of $4.4 million and deferred financing fees of $2.6 million. On April 25, 2023, the Company entered into an amendment to the Credit Agreement, which was accounted for as a debt modification. The amendment to the Credit Agreement increased the Term Loan Facility by an aggregate principal amount of $50 million, less original issue discount of $1.3 million and increased the interest rate on the Term Loan Facility by 25 basis points. On October 11, 2023, the Company signed a second amendment to its Credit Agreement with Ares which provided an additional $35.0 million in term debt. The Company received $34.1 million in cash, which is the aggregate principal amount of $35.0 million less original issue discount of $0.9 million. Terms of the second amendment are consistent with existing terms of the Credit Agreement. The proceeds of the Term Loan Facility will be used for working capital and general corporate purposes, to finance growth initiatives, to pay for operating expenses, and to pay the Transaction Costs. The Term Loan Facility is due at maturity on September 22, 2027 and is subject to quarterly interest payments for Base Rate Loans and at the end of the applicable interest rate period for Secured Overnight Financing Rate (“SOFR”) Loans. As of December 31, 2022, the interest rate on the Term Loan Facility was 10.5%. As of December 31, 2023, the interest rate on the $175 million originally borrowed under the Term Loan Facility was 10.40%, 10.39% on the $50 million borrowed under the amended Credit Agreement, and 10.41% on the $35 million borrowed under the second amended Credit Agreement. As of March 31, 2024, the interest rate on the Term Loan Facility was 10.33%.</w:t>
      </w:r>
    </w:p>
    <w:p>
      <w:pPr>
        <w:spacing w:after="0" w:line="386"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w:t>
      </w:r>
    </w:p>
    <w:p>
      <w:pPr>
        <w:spacing w:after="0" w:line="80" w:lineRule="exact"/>
        <w:rPr>
          <w:sz w:val="20"/>
          <w:szCs w:val="20"/>
          <w:color w:val="auto"/>
        </w:rPr>
      </w:pPr>
    </w:p>
    <w:p>
      <w:pPr>
        <w:ind w:left="1020" w:right="20" w:hanging="571"/>
        <w:spacing w:after="0" w:line="295" w:lineRule="auto"/>
        <w:tabs>
          <w:tab w:leader="none" w:pos="10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Base Rate plus an Applicable Rate of 4% per annum plus 3.25% per annum paid in-kind by adding the accrued interest to the outstanding principal balance on each interest payment date</w:t>
      </w:r>
    </w:p>
    <w:p>
      <w:pPr>
        <w:spacing w:after="0" w:line="55" w:lineRule="exact"/>
        <w:rPr>
          <w:rFonts w:ascii="Times New Roman" w:cs="Times New Roman" w:eastAsia="Times New Roman" w:hAnsi="Times New Roman"/>
          <w:sz w:val="17"/>
          <w:szCs w:val="17"/>
          <w:color w:val="auto"/>
        </w:rPr>
      </w:pPr>
    </w:p>
    <w:p>
      <w:pPr>
        <w:ind w:left="1020" w:hanging="571"/>
        <w:spacing w:after="0"/>
        <w:tabs>
          <w:tab w:leader="none" w:pos="10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Base Rate plus an Applicable Rate of 6.25% per annum</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ectPr>
          <w:pgSz w:w="11900" w:h="16838" w:orient="portrait"/>
          <w:cols w:equalWidth="0" w:num="1">
            <w:col w:w="11300"/>
          </w:cols>
          <w:pgMar w:left="320" w:top="447" w:right="27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ind w:left="1020" w:hanging="571"/>
        <w:spacing w:after="0" w:line="295" w:lineRule="auto"/>
        <w:tabs>
          <w:tab w:leader="none" w:pos="10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Term SOFR for the interest period plus an Applicable rate of 5% per annum plus 3.25% per annum paid in-kind by adding the accrued interest to the outstanding principal balance on each interest payment date</w:t>
      </w:r>
    </w:p>
    <w:p>
      <w:pPr>
        <w:spacing w:after="0" w:line="55" w:lineRule="exact"/>
        <w:rPr>
          <w:rFonts w:ascii="Times New Roman" w:cs="Times New Roman" w:eastAsia="Times New Roman" w:hAnsi="Times New Roman"/>
          <w:sz w:val="17"/>
          <w:szCs w:val="17"/>
          <w:color w:val="auto"/>
        </w:rPr>
      </w:pPr>
    </w:p>
    <w:p>
      <w:pPr>
        <w:ind w:left="1020" w:hanging="571"/>
        <w:spacing w:after="0"/>
        <w:tabs>
          <w:tab w:leader="none" w:pos="10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SOFR for the interest period in effect plus the Applicable Rate of 7.25% per annum</w:t>
      </w:r>
    </w:p>
    <w:p>
      <w:pPr>
        <w:spacing w:after="0" w:line="223"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In addition, the Term Credit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the Company is required to generate consolidated revenues of $459.1 million and $594.1 million, respectively. The Company was in compliance with all covenants of the Credit Agreement as of March 31, 2024.</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All obligations under the Term Loan Facility are guaranteed by the Company and secured by substantially all of the assets of the Company.</w:t>
      </w:r>
    </w:p>
    <w:p>
      <w:pPr>
        <w:spacing w:after="0" w:line="223"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The original issue discount of $6.5 million and deferred financing fees of $2.6 million are amortized over the term of the underlying debt and unamortized amounts have been offset against long-term debt in the consolidated balance sheets. As of December 31, 2022 and 2023 and March 31, 2024, the unamortized original issue discount was $4.2 million, $5.1 million, and $4.8 million, respectively, and the unamortized deferred financing fees were $2.4 million, $1.9 million, and $1.8 million, respectively. Amortization of the original issue discount and deferred financing fees are reflected in interest expense on the consolidated statements of operations. Amortization of the original issue discount and deferred financing fees totaled $0.2 million and $0.2 million, respectively, for the year ended December 31, 2022. Amortization of the original issue discount and deferred financing fees totaled $0.3 million and $0.1 million, respectively, for the three months ended March 31, 2023. Amortization of the original issue discount and deferred financing fees totaled $0.3 million and $0.1 million, respectively, for the three months ended March 31, 2024.</w:t>
      </w:r>
    </w:p>
    <w:p>
      <w:pPr>
        <w:spacing w:after="0" w:line="175"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Through March 31, 2024, the Company has not made any principal repayments on the Term Loan Facility. Through March 31, 2024, the Company made $7.0 million in interest payments. As of December 31, 2022, the interest rate on the Term Loan Facility was 10.5%. As of December 31, 2023, the interest rate on the $175 million originally borrowed under the Term Loan Facility was 10.40%, 10.39% on the $50 million borrowed under the amended Credit Agreement, and 10.41% on the $35 million borrowed under the second amended Credit Agreement. As of March 31, 2024, the interest rate on the Term Loan Facility was</w:t>
      </w:r>
    </w:p>
    <w:p>
      <w:pPr>
        <w:spacing w:after="0" w:line="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10.33%. The Company recognized interest expense of $5.1 million and $28.9 million related to the Term Loan Facility during the years ended December 31, 2022 and 2023, respectively. The Company recognized interest expense of $5.1 million and $9.1 million related to the Term Loan Facility during the three months ended March 31, 2023 and 2024,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Promissory Note</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the Series G-2 preferred stock, at a 10% discount to the purchase price per share in such financing, in partial satisfaction of the outstanding principal amount under the Note, and the Company amended and restated the terms of the Note.</w:t>
      </w:r>
    </w:p>
    <w:p>
      <w:pPr>
        <w:spacing w:after="0" w:line="169"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amended and restated Note, or the Amended Note, has a principal amount of $250.0 million, and bears interest at the rate set forth therein. The principal amount is automatically reduced each year based on a formula</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1300"/>
          </w:cols>
          <w:pgMar w:left="320" w:top="446" w:right="27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73"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62"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$16.4 million and $15.8 million during the year ended December 31, 2022 and 2023, respectively. The Company recognized interest expense of $3.8 million and $3.6 million during the three months ended March 31, 2023 and 2024, respectively.</w:t>
      </w:r>
    </w:p>
    <w:p>
      <w:pPr>
        <w:spacing w:after="0" w:line="313" w:lineRule="exact"/>
        <w:rPr>
          <w:sz w:val="20"/>
          <w:szCs w:val="20"/>
          <w:color w:val="auto"/>
        </w:rPr>
      </w:pPr>
    </w:p>
    <w:p>
      <w:pPr>
        <w:ind w:left="440" w:hanging="435"/>
        <w:spacing w:after="0"/>
        <w:tabs>
          <w:tab w:leader="none" w:pos="44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LOSS PER SHARE ATTRIBUTABLE TO COMMON STOCKHOLDERS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As a result of the adoption of ASU 2020-06 during Q1 2022, the Company used the if-converted method to calculate diluted EPS. As the Company had net losses in the years ended December 31, 2022 and 2023, and the three months ended March 31, 2023 and 2024, respectively, all potentially dilutive common stock equivalents have been excluded from the calculation of diluted net loss per share attributable to common stockholders as their effect is anti-dilutive.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1300"/>
          </w:cols>
          <w:pgMar w:left="320" w:top="446" w:right="27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the calculation for basic and diluted net loss per share (in thousands, except share and per share data):</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Basic and Diluted Net Loss per share</w:t>
      </w:r>
    </w:p>
    <w:p>
      <w:pPr>
        <w:spacing w:after="0" w:line="22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68"/>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11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47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8"/>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1"/>
                <w:szCs w:val="11"/>
                <w:color w:val="auto"/>
              </w:rPr>
            </w:pPr>
          </w:p>
        </w:tc>
      </w:tr>
      <w:tr>
        <w:trPr>
          <w:trHeight w:val="189"/>
        </w:trPr>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Numerator:</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9"/>
        </w:trPr>
        <w:tc>
          <w:tcPr>
            <w:tcW w:w="4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w w:val="99"/>
              </w:rPr>
              <w:t>(289,811)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58"/>
              <w:spacing w:after="0"/>
              <w:rPr>
                <w:sz w:val="20"/>
                <w:szCs w:val="20"/>
                <w:color w:val="auto"/>
              </w:rPr>
            </w:pPr>
            <w:r>
              <w:rPr>
                <w:rFonts w:ascii="Times New Roman" w:cs="Times New Roman" w:eastAsia="Times New Roman" w:hAnsi="Times New Roman"/>
                <w:sz w:val="17"/>
                <w:szCs w:val="17"/>
                <w:color w:val="auto"/>
                <w:w w:val="99"/>
              </w:rPr>
              <w:t>(214,118)</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(54,377)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(64,743)</w:t>
            </w:r>
          </w:p>
        </w:tc>
      </w:tr>
      <w:tr>
        <w:trPr>
          <w:trHeight w:val="191"/>
        </w:trPr>
        <w:tc>
          <w:tcPr>
            <w:tcW w:w="476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Accretion of convertible preferred stock to redemption</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7"/>
        </w:trPr>
        <w:tc>
          <w:tcPr>
            <w:tcW w:w="4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value</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(301)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7"/>
                <w:szCs w:val="17"/>
                <w:color w:val="auto"/>
              </w:rPr>
              <w:t>(4,338)</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r>
      <w:tr>
        <w:trPr>
          <w:trHeight w:val="191"/>
        </w:trPr>
        <w:tc>
          <w:tcPr>
            <w:tcW w:w="4760" w:type="dxa"/>
            <w:vAlign w:val="bottom"/>
          </w:tcPr>
          <w:p>
            <w:pPr>
              <w:ind w:left="340"/>
              <w:spacing w:after="0" w:line="191" w:lineRule="exact"/>
              <w:rPr>
                <w:sz w:val="20"/>
                <w:szCs w:val="20"/>
                <w:color w:val="auto"/>
              </w:rPr>
            </w:pPr>
            <w:r>
              <w:rPr>
                <w:rFonts w:ascii="Times New Roman" w:cs="Times New Roman" w:eastAsia="Times New Roman" w:hAnsi="Times New Roman"/>
                <w:sz w:val="17"/>
                <w:szCs w:val="17"/>
                <w:color w:val="auto"/>
              </w:rPr>
              <w:t>Dividends on Series A, B, B-1, B-2, C, D, E, F, G, G-3, and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4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G-4 preferred shares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(40,975)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58"/>
              <w:spacing w:after="0"/>
              <w:rPr>
                <w:sz w:val="20"/>
                <w:szCs w:val="20"/>
                <w:color w:val="auto"/>
              </w:rPr>
            </w:pPr>
            <w:r>
              <w:rPr>
                <w:rFonts w:ascii="Times New Roman" w:cs="Times New Roman" w:eastAsia="Times New Roman" w:hAnsi="Times New Roman"/>
                <w:sz w:val="17"/>
                <w:szCs w:val="17"/>
                <w:color w:val="auto"/>
              </w:rPr>
              <w:t>(44,497)</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(10,669)</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9"/>
              </w:rPr>
              <w:t>(27,807)</w:t>
            </w:r>
          </w:p>
        </w:tc>
      </w:tr>
      <w:tr>
        <w:trPr>
          <w:trHeight w:val="191"/>
        </w:trPr>
        <w:tc>
          <w:tcPr>
            <w:tcW w:w="476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Cumulative Undeclared Dividends on Series C preferred</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7"/>
        </w:trPr>
        <w:tc>
          <w:tcPr>
            <w:tcW w:w="4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shares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(2,841)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7"/>
                <w:szCs w:val="17"/>
                <w:color w:val="auto"/>
              </w:rPr>
              <w:t>(3,011)</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(506)</w:t>
            </w:r>
          </w:p>
        </w:tc>
      </w:tr>
      <w:tr>
        <w:trPr>
          <w:trHeight w:val="221"/>
        </w:trPr>
        <w:tc>
          <w:tcPr>
            <w:tcW w:w="47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(333,928</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(265,964</w:t>
            </w:r>
          </w:p>
        </w:tc>
        <w:tc>
          <w:tcPr>
            <w:tcW w:w="600" w:type="dxa"/>
            <w:vAlign w:val="bottom"/>
          </w:tcPr>
          <w:p>
            <w:pPr>
              <w:jc w:val="right"/>
              <w:ind w:right="45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(65,767)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9"/>
              </w:rPr>
              <w:t>(93,056)</w:t>
            </w:r>
          </w:p>
        </w:tc>
        <w:tc>
          <w:tcPr>
            <w:tcW w:w="100" w:type="dxa"/>
            <w:vAlign w:val="bottom"/>
          </w:tcPr>
          <w:p>
            <w:pPr>
              <w:spacing w:after="0"/>
              <w:rPr>
                <w:sz w:val="19"/>
                <w:szCs w:val="19"/>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1"/>
        </w:trPr>
        <w:tc>
          <w:tcPr>
            <w:tcW w:w="4760" w:type="dxa"/>
            <w:vAlign w:val="bottom"/>
          </w:tcPr>
          <w:p>
            <w:pPr>
              <w:ind w:left="340"/>
              <w:spacing w:after="0" w:line="191" w:lineRule="exact"/>
              <w:rPr>
                <w:sz w:val="20"/>
                <w:szCs w:val="20"/>
                <w:color w:val="auto"/>
              </w:rPr>
            </w:pPr>
            <w:r>
              <w:rPr>
                <w:rFonts w:ascii="Times New Roman" w:cs="Times New Roman" w:eastAsia="Times New Roman" w:hAnsi="Times New Roman"/>
                <w:sz w:val="17"/>
                <w:szCs w:val="17"/>
                <w:color w:val="auto"/>
              </w:rPr>
              <w:t>Weighted-average common shared outstanding, basic and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7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38"/>
              <w:spacing w:after="0"/>
              <w:rPr>
                <w:sz w:val="20"/>
                <w:szCs w:val="20"/>
                <w:color w:val="auto"/>
              </w:rPr>
            </w:pPr>
            <w:r>
              <w:rPr>
                <w:rFonts w:ascii="Times New Roman" w:cs="Times New Roman" w:eastAsia="Times New Roman" w:hAnsi="Times New Roman"/>
                <w:sz w:val="17"/>
                <w:szCs w:val="17"/>
                <w:color w:val="auto"/>
              </w:rPr>
              <w:t>63,032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18"/>
              <w:spacing w:after="0"/>
              <w:rPr>
                <w:sz w:val="20"/>
                <w:szCs w:val="20"/>
                <w:color w:val="auto"/>
              </w:rPr>
            </w:pPr>
            <w:r>
              <w:rPr>
                <w:rFonts w:ascii="Times New Roman" w:cs="Times New Roman" w:eastAsia="Times New Roman" w:hAnsi="Times New Roman"/>
                <w:sz w:val="17"/>
                <w:szCs w:val="17"/>
                <w:color w:val="auto"/>
              </w:rPr>
              <w:t>63,306</w:t>
            </w: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63,229</w:t>
            </w: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63,430</w:t>
            </w:r>
          </w:p>
        </w:tc>
      </w:tr>
      <w:tr>
        <w:trPr>
          <w:trHeight w:val="189"/>
        </w:trPr>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Net loss per share attributable to common stockholders,</w:t>
            </w: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9"/>
        </w:trPr>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basic and diluted</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rPr>
              <w:t>5.30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4.20</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  (1.04)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w:t>
            </w: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following outstanding shares of common stock equivalents were excluded from the calculation of diluted net loss per share for each period, as the impact of including them would have been anti-dilutive. As disclosed in Note 8, the Company issued a warrant for $100 million in shares of the Company’s Class A common stock. As per the terms of the warrant, potentially dilutive shares are based on the latest equity financing price.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Exclusion from calculation of diluted net loss per share</w:t>
      </w:r>
    </w:p>
    <w:p>
      <w:pPr>
        <w:spacing w:after="0" w:line="269" w:lineRule="exact"/>
        <w:rPr>
          <w:sz w:val="20"/>
          <w:szCs w:val="20"/>
          <w:color w:val="auto"/>
        </w:rPr>
      </w:pPr>
    </w:p>
    <w:tbl>
      <w:tblPr>
        <w:tblLayout w:type="fixed"/>
        <w:tblInd w:w="860" w:type="dxa"/>
        <w:tblCellMar>
          <w:top w:w="0" w:type="dxa"/>
          <w:left w:w="0" w:type="dxa"/>
          <w:bottom w:w="0" w:type="dxa"/>
          <w:right w:w="0" w:type="dxa"/>
        </w:tblCellMar>
      </w:tblPr>
      <w:tr>
        <w:trPr>
          <w:trHeight w:val="209"/>
        </w:trPr>
        <w:tc>
          <w:tcPr>
            <w:tcW w:w="4780" w:type="dxa"/>
            <w:vAlign w:val="bottom"/>
            <w:shd w:val="clear" w:color="auto" w:fill="CCEEFF"/>
          </w:tcPr>
          <w:p>
            <w:pPr>
              <w:spacing w:after="0"/>
              <w:rPr>
                <w:sz w:val="18"/>
                <w:szCs w:val="18"/>
                <w:color w:val="auto"/>
              </w:rPr>
            </w:pPr>
          </w:p>
        </w:tc>
        <w:tc>
          <w:tcPr>
            <w:tcW w:w="246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340" w:type="dxa"/>
            <w:vAlign w:val="bottom"/>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37"/>
        </w:trPr>
        <w:tc>
          <w:tcPr>
            <w:tcW w:w="478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7"/>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5"/>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7"/>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295"/>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1"/>
                <w:szCs w:val="11"/>
                <w:color w:val="auto"/>
              </w:rPr>
            </w:pPr>
          </w:p>
        </w:tc>
      </w:tr>
      <w:tr>
        <w:trPr>
          <w:trHeight w:val="202"/>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 outstanding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60" w:type="dxa"/>
            <w:vAlign w:val="bottom"/>
            <w:shd w:val="clear" w:color="auto" w:fill="CCEEFF"/>
          </w:tcPr>
          <w:p>
            <w:pPr>
              <w:spacing w:after="0"/>
              <w:rPr>
                <w:sz w:val="17"/>
                <w:szCs w:val="17"/>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preferred stock</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62,692,927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63,525,953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62,740,708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63,603,084</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Astrazeneca warrant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1,744,991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1,744,991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1,744,991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1,744,991</w:t>
            </w: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Mpirik holdback liability</w:t>
            </w: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8,724</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8,724</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SEngine holdback liability</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41,436</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41,007</w:t>
            </w: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Allen &amp; Company warrant</w:t>
            </w:r>
          </w:p>
        </w:tc>
        <w:tc>
          <w:tcPr>
            <w:tcW w:w="100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150,000</w:t>
            </w:r>
          </w:p>
        </w:tc>
      </w:tr>
      <w:tr>
        <w:trPr>
          <w:trHeight w:val="26"/>
        </w:trPr>
        <w:tc>
          <w:tcPr>
            <w:tcW w:w="47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potentially dilutive shares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64,647,918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65,681,104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64,704,423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65,749,082</w:t>
            </w:r>
          </w:p>
        </w:tc>
      </w:tr>
      <w:tr>
        <w:trPr>
          <w:trHeight w:val="20"/>
        </w:trPr>
        <w:tc>
          <w:tcPr>
            <w:tcW w:w="4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As disclosed in Note 10, the Company’s RSUs include a triggering liquidation performance condition prior to vesting. As disclosed in Note 11, contingent upon certain financing events,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1300"/>
          </w:cols>
          <w:pgMar w:left="320" w:top="446" w:right="27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As disclosed in Note 9, the Company’s Series G-3 Preferred and Series G-4 Preferred contain embedded conversion features which will result in additional shares of Class A Common Stock to be distributed upon completion of an IPO. The number of shares which will be paid out related to these features is dependent upon the IPO price. As such, these are treated as contingently issuable shares and will be excluded from potential dilutive impact until the successful completion of an IPO.</w:t>
      </w:r>
    </w:p>
    <w:p>
      <w:pPr>
        <w:spacing w:after="0" w:line="169"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As disclosed in Note 3, as part of the SEngine acquisition, the transaction includes a contingent consideration of up to 35,000 additional shares of non-voting common stock, to be determined based on the per share price of the Company’s non-voting common stock in a liquidity event completed prior to December 31, 2027. The number of shares which will be paid out is dependent upon the IPO price. As such, these are treated as contingently issuable shares and will be excluded from potential dilutive impact until the successful completion of an IPO.</w:t>
      </w:r>
    </w:p>
    <w:p>
      <w:pPr>
        <w:spacing w:after="0" w:line="31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13.</w:t>
        <w:tab/>
        <w:t>INCOME TAXES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Deferred income taxes consist of the following as of December 31, 2022 and 2023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88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74"/>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Deferred Income Tax Assets: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7"/>
                <w:szCs w:val="17"/>
                <w:color w:val="auto"/>
              </w:rPr>
              <w:t>196,643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195,378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IRC §163(j) Interest Expense Limitation Carryover</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10,784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Lease Liability</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7"/>
                <w:szCs w:val="17"/>
                <w:color w:val="auto"/>
              </w:rPr>
              <w:t>11,179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37,590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Excess of Tax Basis over Book Basis Fixed Assets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7"/>
                <w:szCs w:val="17"/>
                <w:color w:val="auto"/>
              </w:rPr>
              <w:t>434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Revenue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Revenue Reserve Liability</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18"/>
              <w:spacing w:after="0"/>
              <w:rPr>
                <w:sz w:val="20"/>
                <w:szCs w:val="20"/>
                <w:color w:val="auto"/>
              </w:rPr>
            </w:pPr>
            <w:r>
              <w:rPr>
                <w:rFonts w:ascii="Times New Roman" w:cs="Times New Roman" w:eastAsia="Times New Roman" w:hAnsi="Times New Roman"/>
                <w:sz w:val="17"/>
                <w:szCs w:val="17"/>
                <w:color w:val="auto"/>
              </w:rPr>
              <w:t>1,351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2,033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260,487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313,527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Less Valuation Allowance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(244,064)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(297,294)</w:t>
            </w:r>
          </w:p>
        </w:tc>
        <w:tc>
          <w:tcPr>
            <w:tcW w:w="0" w:type="dxa"/>
            <w:vAlign w:val="bottom"/>
          </w:tcPr>
          <w:p>
            <w:pPr>
              <w:spacing w:after="0"/>
              <w:rPr>
                <w:sz w:val="1"/>
                <w:szCs w:val="1"/>
                <w:color w:val="auto"/>
              </w:rPr>
            </w:pPr>
          </w:p>
        </w:tc>
      </w:tr>
      <w:tr>
        <w:trPr>
          <w:trHeight w:val="215"/>
        </w:trPr>
        <w:tc>
          <w:tcPr>
            <w:tcW w:w="8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16,423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Income Tax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Unrealized Gain/Loss on Marketable Equity 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(2,420)</w:t>
            </w: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Right of Use Asset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(6,129)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(5,067)</w:t>
            </w:r>
          </w:p>
        </w:tc>
        <w:tc>
          <w:tcPr>
            <w:tcW w:w="0" w:type="dxa"/>
            <w:vAlign w:val="bottom"/>
          </w:tcPr>
          <w:p>
            <w:pPr>
              <w:spacing w:after="0"/>
              <w:rPr>
                <w:sz w:val="1"/>
                <w:szCs w:val="1"/>
                <w:color w:val="auto"/>
              </w:rPr>
            </w:pPr>
          </w:p>
        </w:tc>
      </w:tr>
      <w:tr>
        <w:trPr>
          <w:trHeight w:val="209"/>
        </w:trPr>
        <w:tc>
          <w:tcPr>
            <w:tcW w:w="8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Warrant Contract Asset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58"/>
              <w:spacing w:after="0"/>
              <w:rPr>
                <w:sz w:val="20"/>
                <w:szCs w:val="20"/>
                <w:color w:val="auto"/>
              </w:rPr>
            </w:pPr>
            <w:r>
              <w:rPr>
                <w:rFonts w:ascii="Times New Roman" w:cs="Times New Roman" w:eastAsia="Times New Roman" w:hAnsi="Times New Roman"/>
                <w:sz w:val="17"/>
                <w:szCs w:val="17"/>
                <w:color w:val="auto"/>
              </w:rPr>
              <w:t>(8,169)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(7,513)</w:t>
            </w:r>
          </w:p>
        </w:tc>
        <w:tc>
          <w:tcPr>
            <w:tcW w:w="0" w:type="dxa"/>
            <w:vAlign w:val="bottom"/>
          </w:tcPr>
          <w:p>
            <w:pPr>
              <w:spacing w:after="0"/>
              <w:rPr>
                <w:sz w:val="1"/>
                <w:szCs w:val="1"/>
                <w:color w:val="auto"/>
              </w:rPr>
            </w:pPr>
          </w:p>
        </w:tc>
      </w:tr>
      <w:tr>
        <w:trPr>
          <w:trHeight w:val="222"/>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(2,125)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(1,356)</w:t>
            </w:r>
          </w:p>
        </w:tc>
        <w:tc>
          <w:tcPr>
            <w:tcW w:w="0" w:type="dxa"/>
            <w:vAlign w:val="bottom"/>
          </w:tcPr>
          <w:p>
            <w:pPr>
              <w:spacing w:after="0"/>
              <w:rPr>
                <w:sz w:val="1"/>
                <w:szCs w:val="1"/>
                <w:color w:val="auto"/>
              </w:rPr>
            </w:pPr>
          </w:p>
        </w:tc>
      </w:tr>
      <w:tr>
        <w:trPr>
          <w:trHeight w:val="221"/>
        </w:trPr>
        <w:tc>
          <w:tcPr>
            <w:tcW w:w="8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(16,423</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(16,356</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Deferred Income Tax Asset (Liability)</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The total income tax expense (benefit) consists of the following as of December 31, 2022 and 2023 (in thousands):</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8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82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6"/>
              <w:spacing w:after="0" w:line="137"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Tax Expense (Benefit)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Tax Expense (Benefit)</w:t>
            </w:r>
          </w:p>
        </w:tc>
        <w:tc>
          <w:tcPr>
            <w:tcW w:w="1220" w:type="dxa"/>
            <w:vAlign w:val="bottom"/>
            <w:gridSpan w:val="5"/>
          </w:tcPr>
          <w:p>
            <w:pPr>
              <w:jc w:val="right"/>
              <w:ind w:right="160"/>
              <w:spacing w:after="0"/>
              <w:rPr>
                <w:sz w:val="20"/>
                <w:szCs w:val="20"/>
                <w:color w:val="auto"/>
              </w:rPr>
            </w:pPr>
            <w:r>
              <w:rPr>
                <w:rFonts w:ascii="Times New Roman" w:cs="Times New Roman" w:eastAsia="Times New Roman" w:hAnsi="Times New Roman"/>
                <w:sz w:val="17"/>
                <w:szCs w:val="17"/>
                <w:color w:val="auto"/>
              </w:rPr>
              <w:t>(66,827)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9"/>
              </w:rPr>
              <w:t>(52,755)</w:t>
            </w: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66,827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52,878</w:t>
            </w:r>
          </w:p>
        </w:tc>
        <w:tc>
          <w:tcPr>
            <w:tcW w:w="0" w:type="dxa"/>
            <w:vAlign w:val="bottom"/>
          </w:tcPr>
          <w:p>
            <w:pPr>
              <w:spacing w:after="0"/>
              <w:rPr>
                <w:sz w:val="1"/>
                <w:szCs w:val="1"/>
                <w:color w:val="auto"/>
              </w:rPr>
            </w:pPr>
          </w:p>
        </w:tc>
      </w:tr>
      <w:tr>
        <w:trPr>
          <w:trHeight w:val="215"/>
        </w:trPr>
        <w:tc>
          <w:tcPr>
            <w:tcW w:w="8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income tax expense (benefit)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ind w:left="5480"/>
              <w:spacing w:after="0"/>
              <w:rPr>
                <w:sz w:val="20"/>
                <w:szCs w:val="20"/>
                <w:color w:val="auto"/>
              </w:rPr>
            </w:pPr>
            <w:r>
              <w:rPr>
                <w:rFonts w:ascii="Times New Roman" w:cs="Times New Roman" w:eastAsia="Times New Roman" w:hAnsi="Times New Roman"/>
                <w:sz w:val="17"/>
                <w:szCs w:val="17"/>
                <w:color w:val="auto"/>
              </w:rPr>
              <w:t>F-43</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446" w:right="27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60" w:type="dxa"/>
            <w:vAlign w:val="bottom"/>
          </w:tcPr>
          <w:p>
            <w:pPr>
              <w:ind w:left="33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85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provision for income taxes consists of the following as of December 31, 2022 and 2023 (in thousands):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56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8"/>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Current tax expense (benefit)</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Federal</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State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5"/>
        </w:trPr>
        <w:tc>
          <w:tcPr>
            <w:tcW w:w="8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Foreign</w:t>
            </w: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expense (benefit)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Federal</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9"/>
              </w:rPr>
              <w:t>(59,141)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(45,738)</w:t>
            </w:r>
          </w:p>
        </w:tc>
        <w:tc>
          <w:tcPr>
            <w:tcW w:w="0" w:type="dxa"/>
            <w:vAlign w:val="bottom"/>
          </w:tcPr>
          <w:p>
            <w:pPr>
              <w:spacing w:after="0"/>
              <w:rPr>
                <w:sz w:val="1"/>
                <w:szCs w:val="1"/>
                <w:color w:val="auto"/>
              </w:rPr>
            </w:pPr>
          </w:p>
        </w:tc>
      </w:tr>
      <w:tr>
        <w:trPr>
          <w:trHeight w:val="209"/>
        </w:trPr>
        <w:tc>
          <w:tcPr>
            <w:tcW w:w="85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State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(7,686)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(7,017)</w:t>
            </w:r>
          </w:p>
        </w:tc>
        <w:tc>
          <w:tcPr>
            <w:tcW w:w="0" w:type="dxa"/>
            <w:vAlign w:val="bottom"/>
          </w:tcPr>
          <w:p>
            <w:pPr>
              <w:spacing w:after="0"/>
              <w:rPr>
                <w:sz w:val="1"/>
                <w:szCs w:val="1"/>
                <w:color w:val="auto"/>
              </w:rPr>
            </w:pPr>
          </w:p>
        </w:tc>
      </w:tr>
      <w:tr>
        <w:trPr>
          <w:trHeight w:val="26"/>
        </w:trPr>
        <w:tc>
          <w:tcPr>
            <w:tcW w:w="8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9"/>
              </w:rPr>
              <w:t>(66,827)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(52,755)</w:t>
            </w:r>
          </w:p>
        </w:tc>
        <w:tc>
          <w:tcPr>
            <w:tcW w:w="0" w:type="dxa"/>
            <w:vAlign w:val="bottom"/>
          </w:tcPr>
          <w:p>
            <w:pPr>
              <w:spacing w:after="0"/>
              <w:rPr>
                <w:sz w:val="1"/>
                <w:szCs w:val="1"/>
                <w:color w:val="auto"/>
              </w:rPr>
            </w:pPr>
          </w:p>
        </w:tc>
      </w:tr>
      <w:tr>
        <w:trPr>
          <w:trHeight w:val="215"/>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income tax expense (benefit)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The components of income before income taxes as follows (in thousands):</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5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8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8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4"/>
          </w:tcPr>
          <w:p>
            <w:pPr>
              <w:jc w:val="right"/>
              <w:ind w:right="214"/>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Domestic</w:t>
            </w:r>
          </w:p>
        </w:tc>
        <w:tc>
          <w:tcPr>
            <w:tcW w:w="70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5"/>
              </w:rPr>
              <w:t>$ (289,556)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 (213,522)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A reconciliation of the difference between the federal statutory rate and the effective income tax rate as a percentage of income before taxes for the years ended December 31, 2022 and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1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gridSpan w:val="2"/>
          </w:tcPr>
          <w:p>
            <w:pPr>
              <w:jc w:val="right"/>
              <w:ind w:right="13"/>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16"/>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Tax Rate</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21.00%</w:t>
            </w:r>
          </w:p>
        </w:tc>
        <w:tc>
          <w:tcPr>
            <w:tcW w:w="2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State Statutory Tax Rate</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w:t>
            </w: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0.03%</w:t>
            </w:r>
          </w:p>
        </w:tc>
        <w:tc>
          <w:tcPr>
            <w:tcW w:w="2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(0.09%)</w:t>
            </w:r>
          </w:p>
        </w:tc>
        <w:tc>
          <w:tcPr>
            <w:tcW w:w="0" w:type="dxa"/>
            <w:vAlign w:val="bottom"/>
          </w:tcPr>
          <w:p>
            <w:pPr>
              <w:spacing w:after="0"/>
              <w:rPr>
                <w:sz w:val="1"/>
                <w:szCs w:val="1"/>
                <w:color w:val="auto"/>
              </w:rPr>
            </w:pPr>
          </w:p>
        </w:tc>
      </w:tr>
      <w:tr>
        <w:trPr>
          <w:trHeight w:val="209"/>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Permanent Differences</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(0.29%)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(0.29%)</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(0.06%)</w:t>
            </w:r>
          </w:p>
        </w:tc>
        <w:tc>
          <w:tcPr>
            <w:tcW w:w="0" w:type="dxa"/>
            <w:vAlign w:val="bottom"/>
          </w:tcPr>
          <w:p>
            <w:pPr>
              <w:spacing w:after="0"/>
              <w:rPr>
                <w:sz w:val="1"/>
                <w:szCs w:val="1"/>
                <w:color w:val="auto"/>
              </w:rPr>
            </w:pPr>
          </w:p>
        </w:tc>
      </w:tr>
      <w:tr>
        <w:trPr>
          <w:trHeight w:val="209"/>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(23.11%)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(24.74%)</w:t>
            </w:r>
          </w:p>
        </w:tc>
        <w:tc>
          <w:tcPr>
            <w:tcW w:w="0" w:type="dxa"/>
            <w:vAlign w:val="bottom"/>
          </w:tcPr>
          <w:p>
            <w:pPr>
              <w:spacing w:after="0"/>
              <w:rPr>
                <w:sz w:val="1"/>
                <w:szCs w:val="1"/>
                <w:color w:val="auto"/>
              </w:rPr>
            </w:pPr>
          </w:p>
        </w:tc>
      </w:tr>
      <w:tr>
        <w:trPr>
          <w:trHeight w:val="26"/>
        </w:trPr>
        <w:tc>
          <w:tcPr>
            <w:tcW w:w="9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(0.02)%</w:t>
            </w:r>
          </w:p>
        </w:tc>
        <w:tc>
          <w:tcPr>
            <w:tcW w:w="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(0.14%)</w:t>
            </w:r>
          </w:p>
        </w:tc>
        <w:tc>
          <w:tcPr>
            <w:tcW w:w="0" w:type="dxa"/>
            <w:vAlign w:val="bottom"/>
          </w:tcPr>
          <w:p>
            <w:pPr>
              <w:spacing w:after="0"/>
              <w:rPr>
                <w:sz w:val="1"/>
                <w:szCs w:val="1"/>
                <w:color w:val="auto"/>
              </w:rPr>
            </w:pPr>
          </w:p>
        </w:tc>
      </w:tr>
      <w:tr>
        <w:trPr>
          <w:trHeight w:val="20"/>
        </w:trPr>
        <w:tc>
          <w:tcPr>
            <w:tcW w:w="916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Net change in valuation allowance as follows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9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9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916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 beginning of year</w:t>
            </w:r>
          </w:p>
        </w:tc>
        <w:tc>
          <w:tcPr>
            <w:tcW w:w="3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161,749</w:t>
            </w:r>
          </w:p>
        </w:tc>
        <w:tc>
          <w:tcPr>
            <w:tcW w:w="2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Charges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66,827</w:t>
            </w: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52,878</w:t>
            </w:r>
          </w:p>
        </w:tc>
        <w:tc>
          <w:tcPr>
            <w:tcW w:w="0" w:type="dxa"/>
            <w:vAlign w:val="bottom"/>
          </w:tcPr>
          <w:p>
            <w:pPr>
              <w:spacing w:after="0"/>
              <w:rPr>
                <w:sz w:val="1"/>
                <w:szCs w:val="1"/>
                <w:color w:val="auto"/>
              </w:rPr>
            </w:pPr>
          </w:p>
        </w:tc>
      </w:tr>
      <w:tr>
        <w:trPr>
          <w:trHeight w:val="209"/>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accounting adjustments</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15,488</w:t>
            </w: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20"/>
        </w:trPr>
        <w:tc>
          <w:tcPr>
            <w:tcW w:w="916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 end of year</w:t>
            </w: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244,064</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297,294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2022 or 2023.</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ectPr>
          <w:pgSz w:w="11900" w:h="16838" w:orient="portrait"/>
          <w:cols w:equalWidth="0" w:num="1">
            <w:col w:w="11300"/>
          </w:cols>
          <w:pgMar w:left="320" w:top="446" w:right="27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As of December 31, 2023 the Company had federal net operating loss (“NOL”) carry forwards of $161.7 million (tax effected) and state NOL carry forwards of approximately $33.7 million (tax effected), which may be available to offset future taxable income. The federal NOLs will begin to expire in 2037 and the state NOLs will begin to expire in 2028. A full valuation allowance has been recorded against the NOL carry forwards.</w:t>
      </w:r>
    </w:p>
    <w:p>
      <w:pPr>
        <w:spacing w:after="0" w:line="162" w:lineRule="exact"/>
        <w:rPr>
          <w:sz w:val="20"/>
          <w:szCs w:val="20"/>
          <w:color w:val="auto"/>
        </w:rPr>
      </w:pPr>
    </w:p>
    <w:p>
      <w:pPr>
        <w:jc w:val="both"/>
        <w:ind w:firstLine="451"/>
        <w:spacing w:after="0" w:line="260"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2022 and 2023,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2022 and 2023.</w:t>
      </w:r>
    </w:p>
    <w:p>
      <w:pPr>
        <w:spacing w:after="0" w:line="177" w:lineRule="exact"/>
        <w:rPr>
          <w:sz w:val="20"/>
          <w:szCs w:val="20"/>
          <w:color w:val="auto"/>
        </w:rPr>
      </w:pPr>
    </w:p>
    <w:p>
      <w:pPr>
        <w:jc w:val="both"/>
        <w:ind w:firstLine="451"/>
        <w:spacing w:after="0" w:line="288" w:lineRule="auto"/>
        <w:rPr>
          <w:sz w:val="20"/>
          <w:szCs w:val="20"/>
          <w:color w:val="auto"/>
        </w:rPr>
      </w:pPr>
      <w:r>
        <w:rPr>
          <w:rFonts w:ascii="Times New Roman" w:cs="Times New Roman" w:eastAsia="Times New Roman" w:hAnsi="Times New Roman"/>
          <w:sz w:val="17"/>
          <w:szCs w:val="17"/>
          <w:color w:val="auto"/>
        </w:rPr>
        <w:t>The Company recognizes interest and, if applicable, penalties for any uncertain tax positions. Interest and penalties are recorded as a component of income tax expense. In the years ended December 31, 2022 and 2023, the Company did not have any accrued interest or penalties associated with any unrecognized tax benefits.</w:t>
      </w:r>
    </w:p>
    <w:p>
      <w:pPr>
        <w:spacing w:after="0" w:line="36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Company does not provide for U.S. income taxes on unremitted earnings of foreign subsidiaries. Unremitted earnings of foreign subsidiaries were immaterial on December 31, 2022 and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2023 and 2024</w:t>
      </w:r>
    </w:p>
    <w:p>
      <w:pPr>
        <w:spacing w:after="0" w:line="120"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Income tax expense (benefit) for the three months ended March 31, 2023 and 2024 is less than $0.1 million.</w:t>
      </w:r>
    </w:p>
    <w:p>
      <w:pPr>
        <w:spacing w:after="0" w:line="22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288" w:lineRule="exact"/>
        <w:rPr>
          <w:sz w:val="20"/>
          <w:szCs w:val="20"/>
          <w:color w:val="auto"/>
        </w:rPr>
      </w:pPr>
    </w:p>
    <w:p>
      <w:pPr>
        <w:ind w:left="440" w:hanging="435"/>
        <w:spacing w:after="0"/>
        <w:tabs>
          <w:tab w:leader="none" w:pos="44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20"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1300"/>
          </w:cols>
          <w:pgMar w:left="320" w:top="446" w:right="27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The valuation methodologies used for the Company’s assets and liabilities measured at fair value and their classification in the valuation hierarchy are summarized below:</w:t>
      </w:r>
    </w:p>
    <w:p>
      <w:pPr>
        <w:spacing w:after="0" w:line="40" w:lineRule="exact"/>
        <w:rPr>
          <w:sz w:val="20"/>
          <w:szCs w:val="20"/>
          <w:color w:val="auto"/>
        </w:rPr>
      </w:pPr>
    </w:p>
    <w:p>
      <w:pPr>
        <w:jc w:val="both"/>
        <w:ind w:left="460"/>
        <w:spacing w:after="0" w:line="277" w:lineRule="auto"/>
        <w:rPr>
          <w:sz w:val="20"/>
          <w:szCs w:val="20"/>
          <w:color w:val="auto"/>
        </w:rPr>
      </w:pPr>
      <w:r>
        <w:rPr>
          <w:rFonts w:ascii="Times New Roman" w:cs="Times New Roman" w:eastAsia="Times New Roman" w:hAnsi="Times New Roman"/>
          <w:sz w:val="17"/>
          <w:szCs w:val="17"/>
          <w:i w:val="1"/>
          <w:iCs w:val="1"/>
          <w:color w:val="auto"/>
        </w:rPr>
        <w:t>Marketable equity securities</w:t>
      </w:r>
      <w:r>
        <w:rPr>
          <w:rFonts w:ascii="Times New Roman" w:cs="Times New Roman" w:eastAsia="Times New Roman" w:hAnsi="Times New Roman"/>
          <w:sz w:val="17"/>
          <w:szCs w:val="17"/>
          <w:color w:val="auto"/>
        </w:rPr>
        <w:t>— The Company holds marketable equity securities, that are all publicly traded securities with quoted prices in active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classified as short-term. The securities are measured at fair value each reporting period. We classify the marketable equity securities as Level 1 as they are valued using quoted market prices at each reporting period.</w:t>
      </w:r>
    </w:p>
    <w:p>
      <w:pPr>
        <w:spacing w:after="0" w:line="55" w:lineRule="exact"/>
        <w:rPr>
          <w:sz w:val="20"/>
          <w:szCs w:val="20"/>
          <w:color w:val="auto"/>
        </w:rPr>
      </w:pPr>
    </w:p>
    <w:p>
      <w:pPr>
        <w:jc w:val="both"/>
        <w:ind w:left="460"/>
        <w:spacing w:after="0" w:line="277" w:lineRule="auto"/>
        <w:rPr>
          <w:sz w:val="20"/>
          <w:szCs w:val="20"/>
          <w:color w:val="auto"/>
        </w:rPr>
      </w:pPr>
      <w:r>
        <w:rPr>
          <w:rFonts w:ascii="Times New Roman" w:cs="Times New Roman" w:eastAsia="Times New Roman" w:hAnsi="Times New Roman"/>
          <w:sz w:val="17"/>
          <w:szCs w:val="17"/>
          <w:i w:val="1"/>
          <w:iCs w:val="1"/>
          <w:color w:val="auto"/>
        </w:rPr>
        <w:t>Contingent consideration</w:t>
      </w:r>
      <w:r>
        <w:rPr>
          <w:rFonts w:ascii="Times New Roman" w:cs="Times New Roman" w:eastAsia="Times New Roman" w:hAnsi="Times New Roman"/>
          <w:sz w:val="17"/>
          <w:szCs w:val="17"/>
          <w:color w:val="auto"/>
        </w:rPr>
        <w:t>— The Company is subject to a contingent consideration arrangement to make a cash payment in an aggregate value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$1.0 million, contingent upon Mpirik reaching a revenue target of $1.5 million for the twelve-month period ending December 31, 2023. See Note 3, Business Combinations, for further discussion of that acquisition.</w:t>
      </w:r>
    </w:p>
    <w:p>
      <w:pPr>
        <w:spacing w:after="0" w:line="162" w:lineRule="exact"/>
        <w:rPr>
          <w:sz w:val="20"/>
          <w:szCs w:val="20"/>
          <w:color w:val="auto"/>
        </w:rPr>
      </w:pPr>
    </w:p>
    <w:p>
      <w:pPr>
        <w:jc w:val="both"/>
        <w:ind w:left="460"/>
        <w:spacing w:after="0" w:line="276" w:lineRule="auto"/>
        <w:rPr>
          <w:sz w:val="20"/>
          <w:szCs w:val="20"/>
          <w:color w:val="auto"/>
        </w:rPr>
      </w:pPr>
      <w:r>
        <w:rPr>
          <w:rFonts w:ascii="Times New Roman" w:cs="Times New Roman" w:eastAsia="Times New Roman" w:hAnsi="Times New Roman"/>
          <w:sz w:val="17"/>
          <w:szCs w:val="17"/>
          <w:color w:val="auto"/>
        </w:rPr>
        <w:t>The Company is also subject to a contingent consideration arrangement of up to 35,000 additional shares of non-voting common stock, to be determined based on the per share price of the Company’s non-voting common stock in a liquidity event completed prior to December 31, 2027. The contingent consideration has an acquisition fair value date of $0.8 million. See Note 3, Business Combinations for further discussion of that acquisition.</w:t>
      </w:r>
    </w:p>
    <w:p>
      <w:pPr>
        <w:spacing w:after="0" w:line="57"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7"/>
          <w:szCs w:val="17"/>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65" w:lineRule="exact"/>
        <w:rPr>
          <w:sz w:val="20"/>
          <w:szCs w:val="20"/>
          <w:color w:val="auto"/>
        </w:rPr>
      </w:pPr>
    </w:p>
    <w:p>
      <w:pPr>
        <w:jc w:val="both"/>
        <w:ind w:left="460"/>
        <w:spacing w:after="0" w:line="277" w:lineRule="auto"/>
        <w:rPr>
          <w:sz w:val="20"/>
          <w:szCs w:val="20"/>
          <w:color w:val="auto"/>
        </w:rPr>
      </w:pPr>
      <w:r>
        <w:rPr>
          <w:rFonts w:ascii="Times New Roman" w:cs="Times New Roman" w:eastAsia="Times New Roman" w:hAnsi="Times New Roman"/>
          <w:sz w:val="17"/>
          <w:szCs w:val="17"/>
          <w:i w:val="1"/>
          <w:iCs w:val="1"/>
          <w:color w:val="auto"/>
        </w:rPr>
        <w:t>Warrant asset</w:t>
      </w:r>
      <w:r>
        <w:rPr>
          <w:rFonts w:ascii="Times New Roman" w:cs="Times New Roman" w:eastAsia="Times New Roman" w:hAnsi="Times New Roman"/>
          <w:sz w:val="17"/>
          <w:szCs w:val="17"/>
          <w:color w:val="auto"/>
        </w:rPr>
        <w:t>—As discussed in Note 2, the Company received warrants from Personalis. The warrant assets are measured at fair value each reporting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using a Black-Scholes option pricing model, which takes into consideration the price and volatility of Personalis Class A common stock. We classify the warrant asset as Level 2 as they are valued using observable market prices of Personalis Class A common stock.</w:t>
      </w:r>
    </w:p>
    <w:p>
      <w:pPr>
        <w:spacing w:after="0" w:line="55" w:lineRule="exact"/>
        <w:rPr>
          <w:sz w:val="20"/>
          <w:szCs w:val="20"/>
          <w:color w:val="auto"/>
        </w:rPr>
      </w:pPr>
    </w:p>
    <w:p>
      <w:pPr>
        <w:jc w:val="both"/>
        <w:ind w:left="460"/>
        <w:spacing w:after="0" w:line="274" w:lineRule="auto"/>
        <w:rPr>
          <w:sz w:val="20"/>
          <w:szCs w:val="20"/>
          <w:color w:val="auto"/>
        </w:rPr>
      </w:pPr>
      <w:r>
        <w:rPr>
          <w:rFonts w:ascii="Times New Roman" w:cs="Times New Roman" w:eastAsia="Times New Roman" w:hAnsi="Times New Roman"/>
          <w:sz w:val="17"/>
          <w:szCs w:val="17"/>
          <w:i w:val="1"/>
          <w:iCs w:val="1"/>
          <w:color w:val="auto"/>
        </w:rPr>
        <w:t>Warrant liability</w:t>
      </w:r>
      <w:r>
        <w:rPr>
          <w:rFonts w:ascii="Times New Roman" w:cs="Times New Roman" w:eastAsia="Times New Roman" w:hAnsi="Times New Roman"/>
          <w:sz w:val="17"/>
          <w:szCs w:val="17"/>
          <w:color w:val="auto"/>
        </w:rPr>
        <w:t>—As discussed in Note 8, the Company issued a $100 million warrant to AstraZeneca. The warrant liability is measured at fair value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 as of December 31, 2023 and March 31,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 liability assumptions</w:t>
      </w: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416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2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160" w:type="dxa"/>
            <w:vAlign w:val="bottom"/>
          </w:tcPr>
          <w:p>
            <w:pPr>
              <w:spacing w:after="0"/>
              <w:rPr>
                <w:sz w:val="9"/>
                <w:szCs w:val="9"/>
                <w:color w:val="auto"/>
              </w:rPr>
            </w:pPr>
          </w:p>
        </w:tc>
        <w:tc>
          <w:tcPr>
            <w:tcW w:w="1520" w:type="dxa"/>
            <w:vAlign w:val="bottom"/>
            <w:gridSpan w:val="2"/>
          </w:tcPr>
          <w:p>
            <w:pPr>
              <w:jc w:val="right"/>
              <w:ind w:right="74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14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1520" w:type="dxa"/>
            <w:vAlign w:val="bottom"/>
            <w:gridSpan w:val="2"/>
          </w:tcPr>
          <w:p>
            <w:pPr>
              <w:jc w:val="right"/>
              <w:ind w:right="74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Stay Private</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60" w:type="dxa"/>
            <w:vAlign w:val="bottom"/>
            <w:gridSpan w:val="2"/>
            <w:vMerge w:val="continue"/>
          </w:tcPr>
          <w:p>
            <w:pPr>
              <w:spacing w:after="0"/>
              <w:rPr>
                <w:sz w:val="14"/>
                <w:szCs w:val="14"/>
                <w:color w:val="auto"/>
              </w:rPr>
            </w:pPr>
          </w:p>
        </w:tc>
        <w:tc>
          <w:tcPr>
            <w:tcW w:w="15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7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3.69%</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3.56%</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4.26%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55.00%</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55.00%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55.00%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55.00%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0.00%</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0.00%</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0.00%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Scenario weighting</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70.00%</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30.00%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70.00%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We classify the warrant liability as Level 3 due to the lack of relevant observable market data over fair value inputs such as the probability-weighting and expected term of the IPO and stay private scenarios.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1300"/>
          </w:cols>
          <w:pgMar w:left="320" w:top="446" w:right="27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The Term Loan Facility and the Note were not recorded at fair value. The fair values of the Term Loan Facility and the Note approximated their carrying values as of December 31, 2022 and 2023 and March 31, 2024. Estimates of the fair values of the Term Loan Facility and the Note are classified as Level 3 due to the lack of relevant observable market data over fair value inputs.</w:t>
      </w:r>
    </w:p>
    <w:p>
      <w:pPr>
        <w:spacing w:after="0" w:line="162"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The following table summarizes assets and liabilities that are measured at fair value on a recurring basis as of December 31, 2022 and 2023 and March 31, 2024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4"/>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w w:val="99"/>
              </w:rPr>
              <w:t>Fair Value Measurement at Reporting Date Using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gridSpan w:val="6"/>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5"/>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8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360" w:type="dxa"/>
            <w:vAlign w:val="bottom"/>
            <w:gridSpan w:val="8"/>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2"/>
                <w:szCs w:val="12"/>
                <w:color w:val="auto"/>
              </w:rPr>
            </w:pPr>
          </w:p>
        </w:tc>
        <w:tc>
          <w:tcPr>
            <w:tcW w:w="1400" w:type="dxa"/>
            <w:vAlign w:val="bottom"/>
            <w:gridSpan w:val="6"/>
          </w:tcPr>
          <w:p>
            <w:pPr>
              <w:jc w:val="center"/>
              <w:ind w:right="4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40" w:type="dxa"/>
            <w:vAlign w:val="bottom"/>
          </w:tcPr>
          <w:p>
            <w:pPr>
              <w:spacing w:after="0"/>
              <w:rPr>
                <w:sz w:val="12"/>
                <w:szCs w:val="12"/>
                <w:color w:val="auto"/>
              </w:rPr>
            </w:pPr>
          </w:p>
        </w:tc>
        <w:tc>
          <w:tcPr>
            <w:tcW w:w="980" w:type="dxa"/>
            <w:vAlign w:val="bottom"/>
            <w:gridSpan w:val="3"/>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36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5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76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89"/>
        </w:trPr>
        <w:tc>
          <w:tcPr>
            <w:tcW w:w="56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Liabilities</w:t>
            </w: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42,500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42,500</w:t>
            </w:r>
          </w:p>
        </w:tc>
        <w:tc>
          <w:tcPr>
            <w:tcW w:w="0" w:type="dxa"/>
            <w:vAlign w:val="bottom"/>
          </w:tcPr>
          <w:p>
            <w:pPr>
              <w:spacing w:after="0"/>
              <w:rPr>
                <w:sz w:val="1"/>
                <w:szCs w:val="1"/>
                <w:color w:val="auto"/>
              </w:rPr>
            </w:pPr>
          </w:p>
        </w:tc>
      </w:tr>
      <w:tr>
        <w:trPr>
          <w:trHeight w:val="361"/>
        </w:trPr>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1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Fair Value Measurement at Reporting Date Using</w:t>
            </w:r>
          </w:p>
        </w:tc>
        <w:tc>
          <w:tcPr>
            <w:tcW w:w="0" w:type="dxa"/>
            <w:vAlign w:val="bottom"/>
          </w:tcPr>
          <w:p>
            <w:pPr>
              <w:spacing w:after="0"/>
              <w:rPr>
                <w:sz w:val="1"/>
                <w:szCs w:val="1"/>
                <w:color w:val="auto"/>
              </w:rPr>
            </w:pPr>
          </w:p>
        </w:tc>
      </w:tr>
      <w:tr>
        <w:trPr>
          <w:trHeight w:val="112"/>
        </w:trPr>
        <w:tc>
          <w:tcPr>
            <w:tcW w:w="5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top w:val="single" w:sz="8" w:color="auto"/>
            </w:tcBorders>
            <w:gridSpan w:val="5"/>
          </w:tcPr>
          <w:p>
            <w:pPr>
              <w:jc w:val="right"/>
              <w:ind w:right="46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840"/>
              <w:spacing w:after="0" w:line="144"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4"/>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40" w:type="dxa"/>
            <w:vAlign w:val="bottom"/>
          </w:tcPr>
          <w:p>
            <w:pPr>
              <w:spacing w:after="0"/>
              <w:rPr>
                <w:sz w:val="12"/>
                <w:szCs w:val="12"/>
                <w:color w:val="auto"/>
              </w:rPr>
            </w:pPr>
          </w:p>
        </w:tc>
        <w:tc>
          <w:tcPr>
            <w:tcW w:w="1440" w:type="dxa"/>
            <w:vAlign w:val="bottom"/>
            <w:gridSpan w:val="7"/>
          </w:tcPr>
          <w:p>
            <w:pPr>
              <w:jc w:val="center"/>
              <w:ind w:right="6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40" w:type="dxa"/>
            <w:vAlign w:val="bottom"/>
          </w:tcPr>
          <w:p>
            <w:pPr>
              <w:spacing w:after="0"/>
              <w:rPr>
                <w:sz w:val="12"/>
                <w:szCs w:val="12"/>
                <w:color w:val="auto"/>
              </w:rPr>
            </w:pPr>
          </w:p>
        </w:tc>
        <w:tc>
          <w:tcPr>
            <w:tcW w:w="9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8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89"/>
        </w:trPr>
        <w:tc>
          <w:tcPr>
            <w:tcW w:w="56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Assets</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7"/>
                <w:szCs w:val="17"/>
                <w:color w:val="auto"/>
              </w:rPr>
              <w:t>31,807</w:t>
            </w:r>
          </w:p>
        </w:tc>
        <w:tc>
          <w:tcPr>
            <w:tcW w:w="140" w:type="dxa"/>
            <w:vAlign w:val="bottom"/>
          </w:tcPr>
          <w:p>
            <w:pPr>
              <w:spacing w:after="0"/>
              <w:rPr>
                <w:sz w:val="18"/>
                <w:szCs w:val="18"/>
                <w:color w:val="auto"/>
              </w:rPr>
            </w:pPr>
          </w:p>
        </w:tc>
        <w:tc>
          <w:tcPr>
            <w:tcW w:w="420" w:type="dxa"/>
            <w:vAlign w:val="bottom"/>
            <w:gridSpan w:val="3"/>
          </w:tcPr>
          <w:p>
            <w:pPr>
              <w:jc w:val="right"/>
              <w:ind w:right="1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31,807</w:t>
            </w:r>
          </w:p>
        </w:tc>
        <w:tc>
          <w:tcPr>
            <w:tcW w:w="2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Warrant asset</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10,000</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Warrant liability</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34,500</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34,500</w:t>
            </w:r>
          </w:p>
        </w:tc>
        <w:tc>
          <w:tcPr>
            <w:tcW w:w="0" w:type="dxa"/>
            <w:vAlign w:val="bottom"/>
          </w:tcPr>
          <w:p>
            <w:pPr>
              <w:spacing w:after="0"/>
              <w:rPr>
                <w:sz w:val="1"/>
                <w:szCs w:val="1"/>
                <w:color w:val="auto"/>
              </w:rPr>
            </w:pPr>
          </w:p>
        </w:tc>
      </w:tr>
      <w:tr>
        <w:trPr>
          <w:trHeight w:val="227"/>
        </w:trPr>
        <w:tc>
          <w:tcPr>
            <w:tcW w:w="5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w w:val="93"/>
              </w:rPr>
              <w:t>775</w:t>
            </w:r>
          </w:p>
        </w:tc>
        <w:tc>
          <w:tcPr>
            <w:tcW w:w="140" w:type="dxa"/>
            <w:vAlign w:val="bottom"/>
          </w:tcPr>
          <w:p>
            <w:pPr>
              <w:spacing w:after="0"/>
              <w:rPr>
                <w:sz w:val="19"/>
                <w:szCs w:val="19"/>
                <w:color w:val="auto"/>
              </w:rPr>
            </w:pPr>
          </w:p>
        </w:tc>
        <w:tc>
          <w:tcPr>
            <w:tcW w:w="420" w:type="dxa"/>
            <w:vAlign w:val="bottom"/>
            <w:gridSpan w:val="3"/>
          </w:tcPr>
          <w:p>
            <w:pPr>
              <w:jc w:val="right"/>
              <w:ind w:right="1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2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361"/>
        </w:trPr>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15"/>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2"/>
        </w:trPr>
        <w:tc>
          <w:tcPr>
            <w:tcW w:w="5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top w:val="single" w:sz="8" w:color="auto"/>
            </w:tcBorders>
            <w:gridSpan w:val="4"/>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gridSpan w:val="5"/>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Market for</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66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right="5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40" w:type="dxa"/>
            <w:vAlign w:val="bottom"/>
          </w:tcPr>
          <w:p>
            <w:pPr>
              <w:spacing w:after="0"/>
              <w:rPr>
                <w:sz w:val="12"/>
                <w:szCs w:val="12"/>
                <w:color w:val="auto"/>
              </w:rPr>
            </w:pPr>
          </w:p>
        </w:tc>
        <w:tc>
          <w:tcPr>
            <w:tcW w:w="9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660"/>
              <w:spacing w:after="0" w:line="144"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89"/>
        </w:trPr>
        <w:tc>
          <w:tcPr>
            <w:tcW w:w="56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Assets</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14,956</w:t>
            </w:r>
          </w:p>
        </w:tc>
        <w:tc>
          <w:tcPr>
            <w:tcW w:w="520" w:type="dxa"/>
            <w:vAlign w:val="bottom"/>
            <w:gridSpan w:val="4"/>
          </w:tcPr>
          <w:p>
            <w:pPr>
              <w:ind w:left="4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14,956</w:t>
            </w:r>
          </w:p>
        </w:tc>
        <w:tc>
          <w:tcPr>
            <w:tcW w:w="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Warrant asset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5,300</w:t>
            </w:r>
          </w:p>
        </w:tc>
        <w:tc>
          <w:tcPr>
            <w:tcW w:w="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5,300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Warrant liability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35,300</w:t>
            </w:r>
          </w:p>
        </w:tc>
        <w:tc>
          <w:tcPr>
            <w:tcW w:w="52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35,300</w:t>
            </w:r>
          </w:p>
        </w:tc>
        <w:tc>
          <w:tcPr>
            <w:tcW w:w="0" w:type="dxa"/>
            <w:vAlign w:val="bottom"/>
          </w:tcPr>
          <w:p>
            <w:pPr>
              <w:spacing w:after="0"/>
              <w:rPr>
                <w:sz w:val="1"/>
                <w:szCs w:val="1"/>
                <w:color w:val="auto"/>
              </w:rPr>
            </w:pPr>
          </w:p>
        </w:tc>
      </w:tr>
      <w:tr>
        <w:trPr>
          <w:trHeight w:val="227"/>
        </w:trPr>
        <w:tc>
          <w:tcPr>
            <w:tcW w:w="56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969</w:t>
            </w:r>
          </w:p>
        </w:tc>
        <w:tc>
          <w:tcPr>
            <w:tcW w:w="520" w:type="dxa"/>
            <w:vAlign w:val="bottom"/>
            <w:gridSpan w:val="4"/>
          </w:tcPr>
          <w:p>
            <w:pPr>
              <w:ind w:left="4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tcPr>
          <w:p>
            <w:pPr>
              <w:ind w:left="4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969</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balances for the assets and liabilities measured at fair value using significant unobservable inputs (Level 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400" w:type="dxa"/>
            <w:vAlign w:val="bottom"/>
          </w:tcPr>
          <w:p>
            <w:pPr>
              <w:spacing w:after="0"/>
              <w:rPr>
                <w:sz w:val="13"/>
                <w:szCs w:val="13"/>
                <w:color w:val="auto"/>
              </w:rPr>
            </w:pPr>
          </w:p>
        </w:tc>
        <w:tc>
          <w:tcPr>
            <w:tcW w:w="11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Warrant Liability</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4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3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8,005</w:t>
            </w: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(3,701)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fair value of warrant</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4,700</w:t>
            </w:r>
          </w:p>
        </w:tc>
        <w:tc>
          <w:tcPr>
            <w:tcW w:w="0" w:type="dxa"/>
            <w:vAlign w:val="bottom"/>
          </w:tcPr>
          <w:p>
            <w:pPr>
              <w:spacing w:after="0"/>
              <w:rPr>
                <w:sz w:val="1"/>
                <w:szCs w:val="1"/>
                <w:color w:val="auto"/>
              </w:rPr>
            </w:pPr>
          </w:p>
        </w:tc>
      </w:tr>
      <w:tr>
        <w:trPr>
          <w:trHeight w:val="209"/>
        </w:trPr>
        <w:tc>
          <w:tcPr>
            <w:tcW w:w="4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Settlement paid in non-voting common shares</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(4,304)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42,500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0" w:type="dxa"/>
            <w:vAlign w:val="bottom"/>
          </w:tcPr>
          <w:p>
            <w:pPr>
              <w:spacing w:after="0"/>
              <w:rPr>
                <w:sz w:val="24"/>
                <w:szCs w:val="24"/>
                <w:color w:val="auto"/>
              </w:rPr>
            </w:pPr>
          </w:p>
        </w:tc>
        <w:tc>
          <w:tcPr>
            <w:tcW w:w="39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F-47</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446" w:right="27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68"/>
        </w:trPr>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2"/>
        </w:trPr>
        <w:tc>
          <w:tcPr>
            <w:tcW w:w="8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93"/>
              </w:rPr>
              <w:t>— </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Contingent consideration from acquisitions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4"/>
          </w:tcPr>
          <w:p>
            <w:pPr>
              <w:jc w:val="right"/>
              <w:ind w:right="68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(8,000)</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6"/>
        </w:trPr>
        <w:tc>
          <w:tcPr>
            <w:tcW w:w="8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34,500</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8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1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68"/>
        </w:trPr>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6"/>
            <w:vMerge w:val="continue"/>
          </w:tcPr>
          <w:p>
            <w:pPr>
              <w:spacing w:after="0"/>
              <w:rPr>
                <w:sz w:val="14"/>
                <w:szCs w:val="14"/>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2"/>
        </w:trPr>
        <w:tc>
          <w:tcPr>
            <w:tcW w:w="8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775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800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15"/>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Balance at March 31, 2024</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35,300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tcPr>
          <w:p>
            <w:pPr>
              <w:ind w:left="500"/>
              <w:spacing w:after="0"/>
              <w:rPr>
                <w:sz w:val="20"/>
                <w:szCs w:val="20"/>
                <w:color w:val="auto"/>
              </w:rPr>
            </w:pPr>
            <w:r>
              <w:rPr>
                <w:rFonts w:ascii="Times New Roman" w:cs="Times New Roman" w:eastAsia="Times New Roman" w:hAnsi="Times New Roman"/>
                <w:sz w:val="17"/>
                <w:szCs w:val="17"/>
                <w:color w:val="auto"/>
                <w:w w:val="93"/>
              </w:rPr>
              <w:t>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451"/>
        <w:spacing w:after="0" w:line="276" w:lineRule="auto"/>
        <w:rPr>
          <w:sz w:val="20"/>
          <w:szCs w:val="20"/>
          <w:color w:val="auto"/>
        </w:rPr>
      </w:pPr>
      <w:r>
        <w:rPr>
          <w:rFonts w:ascii="Times New Roman" w:cs="Times New Roman" w:eastAsia="Times New Roman" w:hAnsi="Times New Roman"/>
          <w:sz w:val="17"/>
          <w:szCs w:val="17"/>
          <w:color w:val="auto"/>
        </w:rPr>
        <w:t>For the year ended December 31, 2022, the Company recognized a gain of $3.7 million in selling, general and administrative expense due to the change in fair value of contingent consideration and $4.7 million in other expense, net due to the change in the fair value of warrant liability determined by Level 3 valuation techniques.</w:t>
      </w:r>
    </w:p>
    <w:p>
      <w:pPr>
        <w:spacing w:after="0" w:line="57"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For the year ended December 31, 2023, the Company recognized a gain of $0.4 million in selling, general and administrative expense due to the change in fair value of contingent consideration and gains of $8.0 million due to changes in fair value of the warrant liability determined by Level 3 valuation techniques.</w:t>
      </w:r>
    </w:p>
    <w:p>
      <w:pPr>
        <w:spacing w:after="0" w:line="147" w:lineRule="exact"/>
        <w:rPr>
          <w:sz w:val="20"/>
          <w:szCs w:val="20"/>
          <w:color w:val="auto"/>
        </w:rPr>
      </w:pPr>
    </w:p>
    <w:p>
      <w:pPr>
        <w:jc w:val="both"/>
        <w:ind w:right="20" w:firstLine="451"/>
        <w:spacing w:after="0" w:line="276" w:lineRule="auto"/>
        <w:rPr>
          <w:sz w:val="20"/>
          <w:szCs w:val="20"/>
          <w:color w:val="auto"/>
        </w:rPr>
      </w:pPr>
      <w:r>
        <w:rPr>
          <w:rFonts w:ascii="Times New Roman" w:cs="Times New Roman" w:eastAsia="Times New Roman" w:hAnsi="Times New Roman"/>
          <w:sz w:val="17"/>
          <w:szCs w:val="17"/>
          <w:color w:val="auto"/>
        </w:rPr>
        <w:t>For the three months ended March 31, 2024, the Company recognized a loss of $0.8 million in other income, net due to the change in fair value of the warrant liability and a loss of $0.2 million in selling, general and administrative expense due to the change in fair value of contingent consideration determined by Level 3 valuation techniques.</w:t>
      </w:r>
    </w:p>
    <w:p>
      <w:pPr>
        <w:spacing w:after="0" w:line="304" w:lineRule="exact"/>
        <w:rPr>
          <w:sz w:val="20"/>
          <w:szCs w:val="20"/>
          <w:color w:val="auto"/>
        </w:rPr>
      </w:pPr>
    </w:p>
    <w:p>
      <w:pPr>
        <w:ind w:left="440" w:hanging="435"/>
        <w:spacing w:after="0"/>
        <w:tabs>
          <w:tab w:leader="none" w:pos="44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PARTIES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 2018, the Company received $1.5 million from a related party for assuming an office lease from such party. The Company is amortizing this amount over the course of its lease with the building. The Company had a remaining related liability of $0.9 million, $0.7 million, $0.7 million, as of December 31, 2022 and 2023 and March 31, 2024, respectively. Upon the adoption of ASC 842, the liability is amortized through the right-of-use asset as a reduction of rent expense over the lease term. The Company subleases a portion of office space to this related party on a month-to-month basis. Sublease income received from the related party was insignificant for the years ended December 31, 2022 and 2023 and the three months ended March 31, 2024.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Investment</w:t>
      </w:r>
    </w:p>
    <w:p>
      <w:pPr>
        <w:spacing w:after="0" w:line="120"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The Company entered into a related party arrangement in August 2021, as amended and restated in February 2024, with Pathos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ectPr>
          <w:pgSz w:w="11900" w:h="16838" w:orient="portrait"/>
          <w:cols w:equalWidth="0" w:num="1">
            <w:col w:w="11300"/>
          </w:cols>
          <w:pgMar w:left="320" w:top="446" w:right="27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during the term of the master agreement. Pathos also agreed to pay the Company a subscription fee equal to $0.4 million per year for access to our Lens product. The Company recognized $0.4 million, $0.4 million, and $0.1 million in revenue for this access fee in the years ended December 31, 2022 and 2023, and the three months ended March 31, 2024, respectively. The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w:t>
      </w:r>
    </w:p>
    <w:p>
      <w:pPr>
        <w:spacing w:after="0" w:line="171" w:lineRule="exact"/>
        <w:rPr>
          <w:sz w:val="20"/>
          <w:szCs w:val="20"/>
          <w:color w:val="auto"/>
        </w:rPr>
      </w:pPr>
    </w:p>
    <w:p>
      <w:pPr>
        <w:jc w:val="both"/>
        <w:ind w:firstLine="451"/>
        <w:spacing w:after="0" w:line="269" w:lineRule="auto"/>
        <w:rPr>
          <w:sz w:val="20"/>
          <w:szCs w:val="20"/>
          <w:color w:val="auto"/>
        </w:rPr>
      </w:pPr>
      <w:r>
        <w:rPr>
          <w:rFonts w:ascii="Times New Roman" w:cs="Times New Roman" w:eastAsia="Times New Roman" w:hAnsi="Times New Roman"/>
          <w:sz w:val="17"/>
          <w:szCs w:val="17"/>
          <w:color w:val="auto"/>
        </w:rPr>
        <w:t>In 2022, the Company entered into two additional related party arrangements with Pathos for both sequencing and other data services. The Company recognized less than $0.3 million in revenue for both arrangements for the years ended December 31, 2022 and 2023, and the three months ended March 31, 2023 and 2024. In 2023, the Company entered into an additional related party arrangement with Pathos for other data services. The Company recognized less than $0.1 million in revenue for the year ended December 31, 2023 and the three months ended March 31, 2023 and 2024.</w:t>
      </w:r>
    </w:p>
    <w:p>
      <w:pPr>
        <w:spacing w:after="0" w:line="169"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As of December 31, 2022 and 2023 and March 31, 2024, there was no amount due to related parties. As of December 31, 2022 and 2023 and March 31, 2024, the amount due from related parties was $0.4 million, less than $0.1 million, and $0.5 million, respectively.</w:t>
      </w:r>
    </w:p>
    <w:p>
      <w:pPr>
        <w:spacing w:after="0" w:line="288" w:lineRule="exact"/>
        <w:rPr>
          <w:sz w:val="20"/>
          <w:szCs w:val="20"/>
          <w:color w:val="auto"/>
        </w:rPr>
      </w:pPr>
    </w:p>
    <w:p>
      <w:pPr>
        <w:ind w:left="440" w:hanging="435"/>
        <w:spacing w:after="0"/>
        <w:tabs>
          <w:tab w:leader="none" w:pos="44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120"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For its consolidated financial statements as of December 31, 2023, the Company evaluated subsequent events through February 28, 2024, the date on which those financial statements were available to be issued. </w:t>
      </w:r>
    </w:p>
    <w:p>
      <w:pPr>
        <w:spacing w:after="0" w:line="147"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The Company sold 1,725,902 shares of Recursion Class A common stock during the month of February 2024 at a weighted average price of $13.35 for $23.0 million of cash. The Company has 1,500,000 of Recursion Class A common stock remaining in marketable equity securities.</w:t>
      </w:r>
    </w:p>
    <w:p>
      <w:pPr>
        <w:spacing w:after="0" w:line="288" w:lineRule="exact"/>
        <w:rPr>
          <w:sz w:val="20"/>
          <w:szCs w:val="20"/>
          <w:color w:val="auto"/>
        </w:rPr>
      </w:pPr>
    </w:p>
    <w:p>
      <w:pPr>
        <w:ind w:left="440" w:hanging="435"/>
        <w:spacing w:after="0"/>
        <w:tabs>
          <w:tab w:leader="none" w:pos="44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UNAUDITED SUBSEQUENT EVENTS</w:t>
      </w:r>
    </w:p>
    <w:p>
      <w:pPr>
        <w:spacing w:after="0" w:line="120"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evaluated subsequent events through June 5, 2024, the date on which these financial statements were available to be issued.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G-5 Financing</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On April 30, 2024, the Company authorized 4,362,476 and issued 3,489,981 shares of Series G-5 convertible preferred stock (“Series G-5 Preferred”) for aggregate proceeds of $200.0 million (See Note 9, Redeemable Convertible Preferred Stock).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Japan Joint Venture</w:t>
      </w:r>
    </w:p>
    <w:p>
      <w:pPr>
        <w:spacing w:after="0" w:line="120" w:lineRule="exact"/>
        <w:rPr>
          <w:sz w:val="20"/>
          <w:szCs w:val="20"/>
          <w:color w:val="auto"/>
        </w:rPr>
      </w:pPr>
    </w:p>
    <w:p>
      <w:pPr>
        <w:jc w:val="both"/>
        <w:ind w:firstLine="451"/>
        <w:spacing w:after="0" w:line="262" w:lineRule="auto"/>
        <w:rPr>
          <w:sz w:val="20"/>
          <w:szCs w:val="20"/>
          <w:color w:val="auto"/>
        </w:rPr>
      </w:pPr>
      <w:r>
        <w:rPr>
          <w:rFonts w:ascii="Times New Roman" w:cs="Times New Roman" w:eastAsia="Times New Roman" w:hAnsi="Times New Roman"/>
          <w:sz w:val="17"/>
          <w:szCs w:val="17"/>
          <w:color w:val="auto"/>
        </w:rPr>
        <w:t>On May 18, 2024, the Company entered into a Joint Venture Agreement (the “Joint Venture Agreement”), by and among SoftBank Group Corporation (“SoftBank”), SoftBank Group Japan Corporation, the Company and Pegasos Corp. (the “Joint Venture”), pursuant to which the Joint Venture will engage in certain business activities in Japan similar to those conducted by the Company in the United States, including performing clinical sequencing, organizing patient data, and building a real world data business in Japan. The Company and SoftBank initially will capitalize the Joint Venture with ¥30,000,000,000 (approximately $190,779,000 based on foreign exchange rates as of May 31, 2024, split evenly between the two parties) and will each receive 50% of the Joint Venture’s outstanding capital stock and board seats. The initial capitalization of the Joint Venture is subject to a number of closing conditions, including that the parties must agree to a business plan and operating budget for the Joint Venture, receive an independent valuation of certain licensed technology of the Company and obtain any required regulatory clearances in the United States and Japan.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1300"/>
          </w:cols>
          <w:pgMar w:left="320" w:top="446" w:right="27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1" w:lineRule="exact"/>
        <w:rPr>
          <w:sz w:val="20"/>
          <w:szCs w:val="20"/>
          <w:color w:val="auto"/>
        </w:rPr>
      </w:pPr>
    </w:p>
    <w:p>
      <w:pPr>
        <w:jc w:val="both"/>
        <w:ind w:firstLine="451"/>
        <w:spacing w:after="0" w:line="259" w:lineRule="auto"/>
        <w:rPr>
          <w:sz w:val="20"/>
          <w:szCs w:val="20"/>
          <w:color w:val="auto"/>
        </w:rPr>
      </w:pPr>
      <w:r>
        <w:rPr>
          <w:rFonts w:ascii="Times New Roman" w:cs="Times New Roman" w:eastAsia="Times New Roman" w:hAnsi="Times New Roman"/>
          <w:sz w:val="17"/>
          <w:szCs w:val="17"/>
          <w:color w:val="auto"/>
        </w:rPr>
        <w:t>In connection with entering into the Joint Venture Agreement, the Company entered into the following agreements with the Joint Venture: a Data License Agreement (the “Data License Agreement”), which became effective immediately upon signing the Joint Venture Agreement; an Intellectual Property License Agreement (the “IP License Agreement”), and a Services Agreement, each of which will become effective upon closing. Under the Data License Agreement, Tempus will grant the Joint Venture a limited, non-exclusive, transferable license with a limited right to sublicense certain de-identified data for certain specified uses solely in Japan (which we refer to as the Unrestricted Data License). The Unrestricted Data License will be initially granted with respect to a certain specified number of de-identified data records (which we refer to as the Initial Records Batch) and the Joint Venture may elect to license additional de-identified data records under the Unrestricted Data License. Under the Data License Agreement, the Joint Venture will pay the Company ¥7,500,000,000 (approximately $47,694,750 based on foreign exchange rates as of May 31, 2024) in exchange for the license to the Initial Records Batch. For a certain specified number of additional de-identified data records beyond the Initial Records Batch, the license fees will be the same as the Initial Records Batch or the then-current lowest price that Tempus provides to its other customers for similar data and license terms, whichever is lower. For any additional de-identified data records licensed under the Unrestricted Data License, the license fees will be the then-current lowest price that Tempus provides to its other customers for similar data and license terms. Pursuant to the IP License Agreement, the Company will provide the Joint Venture with a non-exclusive license with respect to certain of the Company’s technologies for certain specified uses solely in Japan in exchange for ¥7,500,000,000 (approximately $47,694,750 based on foreign exchange rates as of May 31, 2024). Under the Services Agreement, the Company will provide the Joint Venture with certain services. The Company will account for the Joint Venture as a true 50/50 joint venture, which will be accounted for as an equity method investment. The accounting for the Data License Agreement and IP License Agreement is still being evaluated by the Company.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ectPr>
          <w:pgSz w:w="11900" w:h="16838" w:orient="portrait"/>
          <w:cols w:equalWidth="0" w:num="1">
            <w:col w:w="11300"/>
          </w:cols>
          <w:pgMar w:left="320" w:top="446" w:right="27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i w:val="1"/>
          <w:iCs w:val="1"/>
          <w:color w:val="auto"/>
        </w:rPr>
        <w:t>11,100,000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919480</wp:posOffset>
            </wp:positionV>
            <wp:extent cx="2606040" cy="398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06040" cy="398145"/>
                    </a:xfrm>
                    <a:prstGeom prst="rect">
                      <a:avLst/>
                    </a:prstGeom>
                    <a:noFill/>
                  </pic:spPr>
                </pic:pic>
              </a:graphicData>
            </a:graphic>
          </wp:anchor>
        </w:drawing>
      </w:r>
    </w:p>
    <w:p>
      <w:pPr>
        <w:sectPr>
          <w:pgSz w:w="11900" w:h="16838" w:orient="portrait"/>
          <w:cols w:equalWidth="0" w:num="1">
            <w:col w:w="11300"/>
          </w:cols>
          <w:pgMar w:left="320" w:top="44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0" w:lineRule="exact"/>
        <w:rPr>
          <w:sz w:val="20"/>
          <w:szCs w:val="20"/>
          <w:color w:val="auto"/>
        </w:rPr>
      </w:pPr>
    </w:p>
    <w:p>
      <w:pPr>
        <w:sectPr>
          <w:pgSz w:w="11900" w:h="16838" w:orient="portrait"/>
          <w:cols w:equalWidth="0" w:num="3">
            <w:col w:w="4440" w:space="720"/>
            <w:col w:w="2200" w:space="720"/>
            <w:col w:w="3220"/>
          </w:cols>
          <w:pgMar w:left="320" w:top="446" w:right="27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TD COWEN</w:t>
      </w:r>
    </w:p>
    <w:p>
      <w:pPr>
        <w:spacing w:after="0" w:line="98" w:lineRule="exact"/>
        <w:rPr>
          <w:sz w:val="20"/>
          <w:szCs w:val="20"/>
          <w:color w:val="auto"/>
        </w:rPr>
      </w:pPr>
    </w:p>
    <w:p>
      <w:pPr>
        <w:sectPr>
          <w:pgSz w:w="11900" w:h="16838" w:orient="portrait"/>
          <w:cols w:equalWidth="0" w:num="2">
            <w:col w:w="7960" w:space="720"/>
            <w:col w:w="2620"/>
          </w:cols>
          <w:pgMar w:left="320" w:top="446" w:right="27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WILLIAM BLAIR</w:t>
      </w:r>
    </w:p>
    <w:p>
      <w:pPr>
        <w:spacing w:after="0" w:line="110" w:lineRule="exact"/>
        <w:rPr>
          <w:sz w:val="20"/>
          <w:szCs w:val="20"/>
          <w:color w:val="auto"/>
        </w:rPr>
      </w:pPr>
    </w:p>
    <w:p>
      <w:pPr>
        <w:sectPr>
          <w:pgSz w:w="11900" w:h="16838" w:orient="portrait"/>
          <w:cols w:equalWidth="0" w:num="2">
            <w:col w:w="7760" w:space="720"/>
            <w:col w:w="2820"/>
          </w:cols>
          <w:pgMar w:left="320" w:top="446" w:right="27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380" w:space="720"/>
            <w:col w:w="3200"/>
          </w:cols>
          <w:pgMar w:left="320" w:top="44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451"/>
        <w:spacing w:after="0" w:line="277" w:lineRule="auto"/>
        <w:rPr>
          <w:sz w:val="20"/>
          <w:szCs w:val="20"/>
          <w:color w:val="auto"/>
        </w:rPr>
      </w:pPr>
      <w:r>
        <w:rPr>
          <w:rFonts w:ascii="Times New Roman" w:cs="Times New Roman" w:eastAsia="Times New Roman" w:hAnsi="Times New Roman"/>
          <w:sz w:val="17"/>
          <w:szCs w:val="17"/>
          <w:b w:val="1"/>
          <w:b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 2024.</w:t>
      </w:r>
    </w:p>
    <w:p>
      <w:pPr>
        <w:sectPr>
          <w:pgSz w:w="11900" w:h="16838" w:orient="portrait"/>
          <w:cols w:equalWidth="0" w:num="1">
            <w:col w:w="11300"/>
          </w:cols>
          <w:pgMar w:left="320" w:top="446" w:right="279" w:bottom="1440" w:gutter="0" w:footer="0" w:header="0"/>
          <w:type w:val="continuous"/>
        </w:sectPr>
      </w:pPr>
    </w:p>
    <w:bookmarkStart w:id="325" w:name="page326"/>
    <w:bookmarkEnd w:id="3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Unless otherwise indicated, all references to “Tempus,” the “company,” “we,” “our,” “us” or similar terms refer to Tempus AI, Inc. and its subsidiaries.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20"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The following table sets forth all expenses to be paid by us, other than underwriting discounts and commissions, in connection with this offering. All amounts shown are estimates except for the SEC registration fee, the FINRA filing fee and the Nasdaq listing fee.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69,713</w:t>
            </w:r>
          </w:p>
        </w:tc>
      </w:tr>
      <w:tr>
        <w:trPr>
          <w:trHeight w:val="209"/>
        </w:trPr>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71,346</w:t>
            </w:r>
          </w:p>
        </w:tc>
      </w:tr>
      <w:tr>
        <w:trPr>
          <w:trHeight w:val="209"/>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Nasdaq listing fee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295,000</w:t>
            </w:r>
          </w:p>
        </w:tc>
      </w:tr>
      <w:tr>
        <w:trPr>
          <w:trHeight w:val="209"/>
        </w:trPr>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Printing and engraving expenses</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1,430,130</w:t>
            </w:r>
          </w:p>
        </w:tc>
      </w:tr>
      <w:tr>
        <w:trPr>
          <w:trHeight w:val="209"/>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5,250,000</w:t>
            </w:r>
          </w:p>
        </w:tc>
      </w:tr>
      <w:tr>
        <w:trPr>
          <w:trHeight w:val="209"/>
        </w:trPr>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2,375,790</w:t>
            </w:r>
          </w:p>
        </w:tc>
      </w:tr>
      <w:tr>
        <w:trPr>
          <w:trHeight w:val="209"/>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agent and registrar fees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10,000</w:t>
            </w:r>
          </w:p>
        </w:tc>
      </w:tr>
      <w:tr>
        <w:trPr>
          <w:trHeight w:val="215"/>
        </w:trPr>
        <w:tc>
          <w:tcPr>
            <w:tcW w:w="1016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998,021</w:t>
            </w:r>
          </w:p>
        </w:tc>
        <w:tc>
          <w:tcPr>
            <w:tcW w:w="60" w:type="dxa"/>
            <w:vAlign w:val="bottom"/>
          </w:tcPr>
          <w:p>
            <w:pPr>
              <w:spacing w:after="0"/>
              <w:rPr>
                <w:sz w:val="18"/>
                <w:szCs w:val="18"/>
                <w:color w:val="auto"/>
              </w:rPr>
            </w:pPr>
          </w:p>
        </w:tc>
      </w:tr>
      <w:tr>
        <w:trPr>
          <w:trHeight w:val="209"/>
        </w:trPr>
        <w:tc>
          <w:tcPr>
            <w:tcW w:w="10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10,500,000</w:t>
            </w:r>
          </w:p>
        </w:tc>
      </w:tr>
      <w:tr>
        <w:trPr>
          <w:trHeight w:val="20"/>
        </w:trPr>
        <w:tc>
          <w:tcPr>
            <w:tcW w:w="10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20"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17"/>
          <w:szCs w:val="17"/>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73"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AI, Inc., provided that such director or executive officer acted in good faith and in a manner that the director or executive officer reasonably believed to be in, or not opposed to, the best interest of Tempus AI, Inc. At present, there is no pending litigation or proceeding involving a director or executive officer of Tempus AI, Inc. regarding which indemnification is sought, nor is the registrant aware of any threatened litigation that may result in claims for indemnification.</w:t>
      </w:r>
    </w:p>
    <w:p>
      <w:pPr>
        <w:spacing w:after="0" w:line="173" w:lineRule="exact"/>
        <w:rPr>
          <w:sz w:val="20"/>
          <w:szCs w:val="20"/>
          <w:color w:val="auto"/>
        </w:rPr>
      </w:pPr>
    </w:p>
    <w:p>
      <w:pPr>
        <w:jc w:val="both"/>
        <w:ind w:right="20" w:firstLine="451"/>
        <w:spacing w:after="0" w:line="295" w:lineRule="auto"/>
        <w:rPr>
          <w:sz w:val="20"/>
          <w:szCs w:val="20"/>
          <w:color w:val="auto"/>
        </w:rPr>
      </w:pPr>
      <w:r>
        <w:rPr>
          <w:rFonts w:ascii="Times New Roman" w:cs="Times New Roman" w:eastAsia="Times New Roman" w:hAnsi="Times New Roman"/>
          <w:sz w:val="17"/>
          <w:szCs w:val="17"/>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1300"/>
          </w:cols>
          <w:pgMar w:left="320" w:top="446" w:right="27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The underwriters are obligated, under certain circumstances, under the underwriting agreement to be filed as Exhibit 1.1 hereto, to indemnify us and our officers and directors against liabilities under the Securities Act.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sets forth information regarding all unregistered securities sold since January 1, 2021:</w:t>
      </w:r>
    </w:p>
    <w:p>
      <w:pPr>
        <w:spacing w:after="0" w:line="131" w:lineRule="exact"/>
        <w:rPr>
          <w:sz w:val="20"/>
          <w:szCs w:val="20"/>
          <w:color w:val="auto"/>
        </w:rPr>
      </w:pPr>
    </w:p>
    <w:p>
      <w:pPr>
        <w:ind w:left="1460" w:hanging="449"/>
        <w:spacing w:after="0" w:line="295"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granted, under our 2015 Plan, RSUs representing 15,938,986 shares of our Class A common stock to our employees, consultants, and directors, having a fair market value ranging from $28.35 to $54.97 per share.</w:t>
      </w:r>
    </w:p>
    <w:p>
      <w:pPr>
        <w:spacing w:after="0" w:line="55" w:lineRule="exact"/>
        <w:rPr>
          <w:rFonts w:ascii="Times New Roman" w:cs="Times New Roman" w:eastAsia="Times New Roman" w:hAnsi="Times New Roman"/>
          <w:sz w:val="17"/>
          <w:szCs w:val="17"/>
          <w:color w:val="auto"/>
        </w:rPr>
      </w:pPr>
    </w:p>
    <w:p>
      <w:pPr>
        <w:jc w:val="both"/>
        <w:ind w:left="1460" w:hanging="449"/>
        <w:spacing w:after="0" w:line="273"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granted, under our 2015 Plan, PSUs representing 17,450 shares of our Class A common stock to our employees, consultants, and directors, having a fair market value of $32.89 per share. In July 2023, our board of directors approved the removal of the performance-vesting condition, following which the PSUs are treated as RSUs as the terms of such PSUs are consistent with those of our outstanding RSUs.</w:t>
      </w:r>
    </w:p>
    <w:p>
      <w:pPr>
        <w:spacing w:after="0" w:line="286" w:lineRule="exact"/>
        <w:rPr>
          <w:rFonts w:ascii="Times New Roman" w:cs="Times New Roman" w:eastAsia="Times New Roman" w:hAnsi="Times New Roman"/>
          <w:sz w:val="17"/>
          <w:szCs w:val="17"/>
          <w:color w:val="auto"/>
        </w:rPr>
      </w:pPr>
    </w:p>
    <w:p>
      <w:pPr>
        <w:ind w:left="1460" w:right="20" w:hanging="449"/>
        <w:spacing w:after="0" w:line="295"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granted, under our 2015 Plan, an option to purchase 210,000 shares of our Class A common stock to Revolution Growth Management Company, Inc., having an exercise price of $0.8542 per share.</w:t>
      </w:r>
    </w:p>
    <w:p>
      <w:pPr>
        <w:spacing w:after="0" w:line="55" w:lineRule="exact"/>
        <w:rPr>
          <w:rFonts w:ascii="Times New Roman" w:cs="Times New Roman" w:eastAsia="Times New Roman" w:hAnsi="Times New Roman"/>
          <w:sz w:val="17"/>
          <w:szCs w:val="17"/>
          <w:color w:val="auto"/>
        </w:rPr>
      </w:pPr>
    </w:p>
    <w:p>
      <w:pPr>
        <w:jc w:val="both"/>
        <w:ind w:left="1460" w:hanging="449"/>
        <w:spacing w:after="0" w:line="269"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77" w:lineRule="exact"/>
        <w:rPr>
          <w:rFonts w:ascii="Times New Roman" w:cs="Times New Roman" w:eastAsia="Times New Roman" w:hAnsi="Times New Roman"/>
          <w:sz w:val="17"/>
          <w:szCs w:val="17"/>
          <w:color w:val="auto"/>
        </w:rPr>
      </w:pPr>
    </w:p>
    <w:p>
      <w:pPr>
        <w:jc w:val="both"/>
        <w:ind w:left="1460" w:hanging="449"/>
        <w:spacing w:after="0" w:line="276"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2021, in connection with our entry into a master services agreement, we issued a warrant to AstraZeneca to purchase $100 million in shares of our Class A common stock at an exercise price equal to the price per share at which our common stock is valued in connection with the consummation of this offering.</w:t>
      </w:r>
    </w:p>
    <w:p>
      <w:pPr>
        <w:spacing w:after="0" w:line="70" w:lineRule="exact"/>
        <w:rPr>
          <w:rFonts w:ascii="Times New Roman" w:cs="Times New Roman" w:eastAsia="Times New Roman" w:hAnsi="Times New Roman"/>
          <w:sz w:val="17"/>
          <w:szCs w:val="17"/>
          <w:color w:val="auto"/>
        </w:rPr>
      </w:pPr>
    </w:p>
    <w:p>
      <w:pPr>
        <w:jc w:val="both"/>
        <w:ind w:left="1460" w:hanging="449"/>
        <w:spacing w:after="0" w:line="266"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79" w:lineRule="exact"/>
        <w:rPr>
          <w:rFonts w:ascii="Times New Roman" w:cs="Times New Roman" w:eastAsia="Times New Roman" w:hAnsi="Times New Roman"/>
          <w:sz w:val="17"/>
          <w:szCs w:val="17"/>
          <w:color w:val="auto"/>
        </w:rPr>
      </w:pPr>
    </w:p>
    <w:p>
      <w:pPr>
        <w:ind w:left="1460" w:hanging="449"/>
        <w:spacing w:after="0" w:line="295"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2022, we issued and sold an aggregate of 1,614,114 shares of our Series G-3 convertible preferred stock at a price per share of $57.3069, for an aggregate purchase price of approximately $92.5 million, in private placements to five accredited investors.</w:t>
      </w:r>
    </w:p>
    <w:p>
      <w:pPr>
        <w:spacing w:after="0" w:line="55" w:lineRule="exact"/>
        <w:rPr>
          <w:rFonts w:ascii="Times New Roman" w:cs="Times New Roman" w:eastAsia="Times New Roman" w:hAnsi="Times New Roman"/>
          <w:sz w:val="17"/>
          <w:szCs w:val="17"/>
          <w:color w:val="auto"/>
        </w:rPr>
      </w:pPr>
    </w:p>
    <w:p>
      <w:pPr>
        <w:jc w:val="both"/>
        <w:ind w:left="1460" w:hanging="449"/>
        <w:spacing w:after="0" w:line="276"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our purchase of all of the outstanding shares of AKESOgen, Inc. in December 2019, we issued 145,466 shares of Class A common stock to former stockholders of AKESOgen, Inc. in December 2022 with a fair value of approximately $3.4 million, all of which shares were subsequently repurchased by us in January 2023.</w:t>
      </w:r>
    </w:p>
    <w:p>
      <w:pPr>
        <w:spacing w:after="0" w:line="70" w:lineRule="exact"/>
        <w:rPr>
          <w:rFonts w:ascii="Times New Roman" w:cs="Times New Roman" w:eastAsia="Times New Roman" w:hAnsi="Times New Roman"/>
          <w:sz w:val="17"/>
          <w:szCs w:val="17"/>
          <w:color w:val="auto"/>
        </w:rPr>
      </w:pPr>
    </w:p>
    <w:p>
      <w:pPr>
        <w:ind w:left="1460" w:right="20" w:hanging="449"/>
        <w:spacing w:after="0" w:line="295"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2022, in connection with our acquisition of Arterys, Inc., we issued 174,499 shares of Class A common stock to former stockholders of Arterys, Inc.</w:t>
      </w:r>
    </w:p>
    <w:p>
      <w:pPr>
        <w:spacing w:after="0" w:line="55" w:lineRule="exact"/>
        <w:rPr>
          <w:rFonts w:ascii="Times New Roman" w:cs="Times New Roman" w:eastAsia="Times New Roman" w:hAnsi="Times New Roman"/>
          <w:sz w:val="17"/>
          <w:szCs w:val="17"/>
          <w:color w:val="auto"/>
        </w:rPr>
      </w:pPr>
    </w:p>
    <w:p>
      <w:pPr>
        <w:ind w:left="1460" w:hanging="449"/>
        <w:spacing w:after="0"/>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2023, we issued 47,781 shares of Series G-3 convertible preferred stock as payment of paid-in-kind dividends.</w:t>
      </w:r>
    </w:p>
    <w:p>
      <w:pPr>
        <w:spacing w:after="0" w:line="131" w:lineRule="exact"/>
        <w:rPr>
          <w:rFonts w:ascii="Times New Roman" w:cs="Times New Roman" w:eastAsia="Times New Roman" w:hAnsi="Times New Roman"/>
          <w:sz w:val="17"/>
          <w:szCs w:val="17"/>
          <w:color w:val="auto"/>
        </w:rPr>
      </w:pPr>
    </w:p>
    <w:p>
      <w:pPr>
        <w:ind w:left="1460" w:hanging="449"/>
        <w:spacing w:after="0" w:line="295" w:lineRule="auto"/>
        <w:tabs>
          <w:tab w:leader="none" w:pos="1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2023, in connection with an agreement and plan of merger to acquire Mpirik, we issued 130,862 shares of Class A common stock to former stockholders of Mpirik.</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ectPr>
          <w:pgSz w:w="11900" w:h="16838" w:orient="portrait"/>
          <w:cols w:equalWidth="0" w:num="1">
            <w:col w:w="11300"/>
          </w:cols>
          <w:pgMar w:left="320" w:top="447" w:right="27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ind w:left="1460" w:right="20" w:hanging="449"/>
        <w:spacing w:after="0" w:line="295" w:lineRule="auto"/>
        <w:tabs>
          <w:tab w:leader="none" w:pos="14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2023, in connection with our acquisition of SEngine, we issued 142,513 shares of Class A common stock to former stockholders of SEngine.</w:t>
      </w:r>
    </w:p>
    <w:p>
      <w:pPr>
        <w:spacing w:after="0" w:line="55" w:lineRule="exact"/>
        <w:rPr>
          <w:rFonts w:ascii="Times New Roman" w:cs="Times New Roman" w:eastAsia="Times New Roman" w:hAnsi="Times New Roman"/>
          <w:sz w:val="17"/>
          <w:szCs w:val="17"/>
          <w:color w:val="auto"/>
        </w:rPr>
      </w:pPr>
    </w:p>
    <w:p>
      <w:pPr>
        <w:ind w:left="1460" w:hanging="449"/>
        <w:spacing w:after="0" w:line="295" w:lineRule="auto"/>
        <w:tabs>
          <w:tab w:leader="none" w:pos="14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2023, we issued and sold an aggregate of 785,245 shares of our Series G-4 convertible preferred stock at a price per share of $57.3069, for an aggregate purchase price of approximately $45.0 million, in private placements to three accredited investors.</w:t>
      </w:r>
    </w:p>
    <w:p>
      <w:pPr>
        <w:spacing w:after="0" w:line="55" w:lineRule="exact"/>
        <w:rPr>
          <w:rFonts w:ascii="Times New Roman" w:cs="Times New Roman" w:eastAsia="Times New Roman" w:hAnsi="Times New Roman"/>
          <w:sz w:val="17"/>
          <w:szCs w:val="17"/>
          <w:color w:val="auto"/>
        </w:rPr>
      </w:pPr>
    </w:p>
    <w:p>
      <w:pPr>
        <w:ind w:left="1460" w:right="20" w:hanging="449"/>
        <w:spacing w:after="0" w:line="295" w:lineRule="auto"/>
        <w:tabs>
          <w:tab w:leader="none" w:pos="14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2023, we issued a warrant to Allen &amp; Company LLC, an underwriter for this offering, to purchase up to 150,000 shares of our Class A common stock with an exercise price of $10 per share.</w:t>
      </w:r>
    </w:p>
    <w:p>
      <w:pPr>
        <w:spacing w:after="0" w:line="55" w:lineRule="exact"/>
        <w:rPr>
          <w:rFonts w:ascii="Times New Roman" w:cs="Times New Roman" w:eastAsia="Times New Roman" w:hAnsi="Times New Roman"/>
          <w:sz w:val="17"/>
          <w:szCs w:val="17"/>
          <w:color w:val="auto"/>
        </w:rPr>
      </w:pPr>
    </w:p>
    <w:p>
      <w:pPr>
        <w:ind w:left="1460" w:hanging="449"/>
        <w:spacing w:after="0"/>
        <w:tabs>
          <w:tab w:leader="none" w:pos="14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2024, we issued 66,465 shares of G-3 convertible preferred stock as payment of paid-in-kind dividends.</w:t>
      </w:r>
    </w:p>
    <w:p>
      <w:pPr>
        <w:spacing w:after="0" w:line="131" w:lineRule="exact"/>
        <w:rPr>
          <w:rFonts w:ascii="Times New Roman" w:cs="Times New Roman" w:eastAsia="Times New Roman" w:hAnsi="Times New Roman"/>
          <w:sz w:val="17"/>
          <w:szCs w:val="17"/>
          <w:color w:val="auto"/>
        </w:rPr>
      </w:pPr>
    </w:p>
    <w:p>
      <w:pPr>
        <w:ind w:left="1460" w:hanging="449"/>
        <w:spacing w:after="0"/>
        <w:tabs>
          <w:tab w:leader="none" w:pos="14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2024, we issued 10,666 shares of G-4 convertible preferred stock as payment of paid-in-kind dividends.</w:t>
      </w:r>
    </w:p>
    <w:p>
      <w:pPr>
        <w:spacing w:after="0" w:line="131" w:lineRule="exact"/>
        <w:rPr>
          <w:rFonts w:ascii="Times New Roman" w:cs="Times New Roman" w:eastAsia="Times New Roman" w:hAnsi="Times New Roman"/>
          <w:sz w:val="17"/>
          <w:szCs w:val="17"/>
          <w:color w:val="auto"/>
        </w:rPr>
      </w:pPr>
    </w:p>
    <w:p>
      <w:pPr>
        <w:ind w:left="1460" w:hanging="449"/>
        <w:spacing w:after="0" w:line="295" w:lineRule="auto"/>
        <w:tabs>
          <w:tab w:leader="none" w:pos="14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2024, in connection with our purchase of certain assets of SEngine, we issued 429 shares of Class A common stock to former stockholders of SEngine.</w:t>
      </w:r>
    </w:p>
    <w:p>
      <w:pPr>
        <w:spacing w:after="0" w:line="55" w:lineRule="exact"/>
        <w:rPr>
          <w:rFonts w:ascii="Times New Roman" w:cs="Times New Roman" w:eastAsia="Times New Roman" w:hAnsi="Times New Roman"/>
          <w:sz w:val="17"/>
          <w:szCs w:val="17"/>
          <w:color w:val="auto"/>
        </w:rPr>
      </w:pPr>
    </w:p>
    <w:p>
      <w:pPr>
        <w:ind w:left="1460" w:right="20" w:hanging="449"/>
        <w:spacing w:after="0" w:line="295" w:lineRule="auto"/>
        <w:tabs>
          <w:tab w:leader="none" w:pos="14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2024, in connection with our purchase of certain assets of Mpirik, we issued 8,724 shares of Class A common stock to former stockholders of Mpirik.</w:t>
      </w:r>
    </w:p>
    <w:p>
      <w:pPr>
        <w:spacing w:after="0" w:line="55" w:lineRule="exact"/>
        <w:rPr>
          <w:rFonts w:ascii="Times New Roman" w:cs="Times New Roman" w:eastAsia="Times New Roman" w:hAnsi="Times New Roman"/>
          <w:sz w:val="17"/>
          <w:szCs w:val="17"/>
          <w:color w:val="auto"/>
        </w:rPr>
      </w:pPr>
    </w:p>
    <w:p>
      <w:pPr>
        <w:ind w:left="1460" w:right="20" w:hanging="449"/>
        <w:spacing w:after="0" w:line="295" w:lineRule="auto"/>
        <w:tabs>
          <w:tab w:leader="none" w:pos="14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2024, we issued and sold an aggregate of 6,172,839 shares of our Series G-5 convertible preferred stock at a price per share of $57.3069 for an aggregate purchase price of approximately $200.0 miillion, in a private placement to an accredited investor.</w:t>
      </w:r>
    </w:p>
    <w:p>
      <w:pPr>
        <w:spacing w:after="0" w:line="147" w:lineRule="exact"/>
        <w:rPr>
          <w:sz w:val="20"/>
          <w:szCs w:val="20"/>
          <w:color w:val="auto"/>
        </w:rPr>
      </w:pPr>
    </w:p>
    <w:p>
      <w:pPr>
        <w:jc w:val="both"/>
        <w:ind w:firstLine="451"/>
        <w:spacing w:after="0" w:line="263" w:lineRule="auto"/>
        <w:rPr>
          <w:sz w:val="20"/>
          <w:szCs w:val="20"/>
          <w:color w:val="auto"/>
        </w:rPr>
      </w:pPr>
      <w:r>
        <w:rPr>
          <w:rFonts w:ascii="Times New Roman" w:cs="Times New Roman" w:eastAsia="Times New Roman" w:hAnsi="Times New Roman"/>
          <w:sz w:val="17"/>
          <w:szCs w:val="17"/>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133" w:lineRule="exact"/>
        <w:rPr>
          <w:sz w:val="20"/>
          <w:szCs w:val="20"/>
          <w:color w:val="auto"/>
        </w:rPr>
      </w:pPr>
    </w:p>
    <w:p>
      <w:pPr>
        <w:ind w:left="1240" w:hanging="674"/>
        <w:spacing w:after="0"/>
        <w:tabs>
          <w:tab w:leader="none" w:pos="12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223" w:lineRule="exact"/>
        <w:rPr>
          <w:sz w:val="20"/>
          <w:szCs w:val="20"/>
          <w:color w:val="auto"/>
        </w:rPr>
      </w:pPr>
    </w:p>
    <w:p>
      <w:pPr>
        <w:ind w:right="20" w:firstLine="451"/>
        <w:spacing w:after="0" w:line="295" w:lineRule="auto"/>
        <w:rPr>
          <w:sz w:val="20"/>
          <w:szCs w:val="20"/>
          <w:color w:val="auto"/>
        </w:rPr>
      </w:pPr>
      <w:r>
        <w:rPr>
          <w:rFonts w:ascii="Times New Roman" w:cs="Times New Roman" w:eastAsia="Times New Roman" w:hAnsi="Times New Roman"/>
          <w:sz w:val="17"/>
          <w:szCs w:val="17"/>
          <w:color w:val="auto"/>
        </w:rPr>
        <w:t>See the Exhibit Index on the page immediately preceding the signature page for a list of exhibits filed as part of this registration statement on Form S-1, which Exhibit Index is incorporated herein by reference.</w:t>
      </w:r>
    </w:p>
    <w:p>
      <w:pPr>
        <w:spacing w:after="0" w:line="173" w:lineRule="exact"/>
        <w:rPr>
          <w:sz w:val="20"/>
          <w:szCs w:val="20"/>
          <w:color w:val="auto"/>
        </w:rPr>
      </w:pPr>
    </w:p>
    <w:p>
      <w:pPr>
        <w:ind w:left="1240" w:hanging="674"/>
        <w:spacing w:after="0"/>
        <w:tabs>
          <w:tab w:leader="none" w:pos="124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w:t>
      </w:r>
    </w:p>
    <w:p>
      <w:pPr>
        <w:spacing w:after="0" w:line="223"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All financial statement schedules are omitted because the information required to be set forth therein is not applicable or is shown in the consolidated financial statements or the notes thereto.</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20" w:lineRule="exact"/>
        <w:rPr>
          <w:sz w:val="20"/>
          <w:szCs w:val="20"/>
          <w:color w:val="auto"/>
        </w:rPr>
      </w:pPr>
    </w:p>
    <w:p>
      <w:pPr>
        <w:jc w:val="both"/>
        <w:ind w:firstLine="451"/>
        <w:spacing w:after="0" w:line="266"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1300"/>
          </w:cols>
          <w:pgMar w:left="320" w:top="446" w:right="27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undersigned registrant hereby undertakes that:</w:t>
      </w:r>
    </w:p>
    <w:p>
      <w:pPr>
        <w:spacing w:after="0" w:line="131" w:lineRule="exact"/>
        <w:rPr>
          <w:sz w:val="20"/>
          <w:szCs w:val="20"/>
          <w:color w:val="auto"/>
        </w:rPr>
      </w:pPr>
    </w:p>
    <w:p>
      <w:pPr>
        <w:jc w:val="both"/>
        <w:ind w:left="1240" w:hanging="674"/>
        <w:spacing w:after="0" w:line="276" w:lineRule="auto"/>
        <w:tabs>
          <w:tab w:leader="none" w:pos="12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70" w:lineRule="exact"/>
        <w:rPr>
          <w:rFonts w:ascii="Times New Roman" w:cs="Times New Roman" w:eastAsia="Times New Roman" w:hAnsi="Times New Roman"/>
          <w:sz w:val="17"/>
          <w:szCs w:val="17"/>
          <w:color w:val="auto"/>
        </w:rPr>
      </w:pPr>
    </w:p>
    <w:p>
      <w:pPr>
        <w:jc w:val="both"/>
        <w:ind w:left="1240" w:hanging="674"/>
        <w:spacing w:after="0" w:line="276" w:lineRule="auto"/>
        <w:tabs>
          <w:tab w:leader="none" w:pos="12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1300"/>
          </w:cols>
          <w:pgMar w:left="320" w:top="446" w:right="27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40" w:type="dxa"/>
            <w:vAlign w:val="bottom"/>
            <w:gridSpan w:val="20"/>
          </w:tcPr>
          <w:p>
            <w:pPr>
              <w:jc w:val="center"/>
              <w:ind w:right="340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355"/>
        </w:trPr>
        <w:tc>
          <w:tcPr>
            <w:tcW w:w="1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54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54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1.1</w:t>
            </w:r>
          </w:p>
        </w:tc>
        <w:tc>
          <w:tcPr>
            <w:tcW w:w="540" w:type="dxa"/>
            <w:vAlign w:val="bottom"/>
          </w:tcPr>
          <w:p>
            <w:pPr>
              <w:spacing w:after="0"/>
              <w:rPr>
                <w:sz w:val="23"/>
                <w:szCs w:val="23"/>
                <w:color w:val="auto"/>
              </w:rPr>
            </w:pPr>
          </w:p>
        </w:tc>
        <w:tc>
          <w:tcPr>
            <w:tcW w:w="2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Form of Underwriting Agreement.</w:t>
            </w:r>
          </w:p>
        </w:tc>
        <w:tc>
          <w:tcPr>
            <w:tcW w:w="6860" w:type="dxa"/>
            <w:vAlign w:val="bottom"/>
            <w:gridSpan w:val="22"/>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3.1*</w:t>
            </w:r>
          </w:p>
        </w:tc>
        <w:tc>
          <w:tcPr>
            <w:tcW w:w="540" w:type="dxa"/>
            <w:vAlign w:val="bottom"/>
          </w:tcPr>
          <w:p>
            <w:pPr>
              <w:spacing w:after="0"/>
              <w:rPr>
                <w:sz w:val="24"/>
                <w:szCs w:val="24"/>
                <w:color w:val="auto"/>
              </w:rPr>
            </w:pPr>
          </w:p>
        </w:tc>
        <w:tc>
          <w:tcPr>
            <w:tcW w:w="9280" w:type="dxa"/>
            <w:vAlign w:val="bottom"/>
            <w:gridSpan w:val="24"/>
          </w:tcPr>
          <w:p>
            <w:pPr>
              <w:spacing w:after="0"/>
              <w:rPr>
                <w:rFonts w:ascii="Times New Roman" w:cs="Times New Roman" w:eastAsia="Times New Roman" w:hAnsi="Times New Roman"/>
                <w:sz w:val="17"/>
                <w:szCs w:val="17"/>
                <w:color w:val="0000EE"/>
              </w:rPr>
            </w:pPr>
            <w:hyperlink r:id="rId440">
              <w:r>
                <w:rPr>
                  <w:rFonts w:ascii="Times New Roman" w:cs="Times New Roman" w:eastAsia="Times New Roman" w:hAnsi="Times New Roman"/>
                  <w:sz w:val="17"/>
                  <w:szCs w:val="17"/>
                  <w:color w:val="0000EE"/>
                </w:rPr>
                <w:t>Twelfth 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3.2*</w:t>
            </w:r>
          </w:p>
        </w:tc>
        <w:tc>
          <w:tcPr>
            <w:tcW w:w="540" w:type="dxa"/>
            <w:vAlign w:val="bottom"/>
          </w:tcPr>
          <w:p>
            <w:pPr>
              <w:spacing w:after="0"/>
              <w:rPr>
                <w:sz w:val="24"/>
                <w:szCs w:val="24"/>
                <w:color w:val="auto"/>
              </w:rPr>
            </w:pPr>
          </w:p>
        </w:tc>
        <w:tc>
          <w:tcPr>
            <w:tcW w:w="9280" w:type="dxa"/>
            <w:vAlign w:val="bottom"/>
            <w:gridSpan w:val="24"/>
          </w:tcPr>
          <w:p>
            <w:pPr>
              <w:spacing w:after="0"/>
              <w:rPr>
                <w:rFonts w:ascii="Times New Roman" w:cs="Times New Roman" w:eastAsia="Times New Roman" w:hAnsi="Times New Roman"/>
                <w:sz w:val="17"/>
                <w:szCs w:val="17"/>
                <w:color w:val="0000EE"/>
              </w:rPr>
            </w:pPr>
            <w:hyperlink r:id="rId441">
              <w:r>
                <w:rPr>
                  <w:rFonts w:ascii="Times New Roman" w:cs="Times New Roman" w:eastAsia="Times New Roman" w:hAnsi="Times New Roman"/>
                  <w:sz w:val="17"/>
                  <w:szCs w:val="17"/>
                  <w:color w:val="0000EE"/>
                </w:rPr>
                <w:t>Form of Amended and Restated Certificate of Incorporation of the Registrant, to be in effect on the closing of the offering.</w:t>
              </w:r>
            </w:hyperlink>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3.3*</w:t>
            </w:r>
          </w:p>
        </w:tc>
        <w:tc>
          <w:tcPr>
            <w:tcW w:w="54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7"/>
                <w:szCs w:val="17"/>
                <w:color w:val="0000EE"/>
              </w:rPr>
            </w:pPr>
            <w:hyperlink r:id="rId442">
              <w:r>
                <w:rPr>
                  <w:rFonts w:ascii="Times New Roman" w:cs="Times New Roman" w:eastAsia="Times New Roman" w:hAnsi="Times New Roman"/>
                  <w:sz w:val="17"/>
                  <w:szCs w:val="17"/>
                  <w:color w:val="0000EE"/>
                </w:rPr>
                <w:t>Amended and Restated Bylaws of the Registrant, as currently in effect.</w:t>
              </w:r>
            </w:hyperlink>
          </w:p>
        </w:tc>
        <w:tc>
          <w:tcPr>
            <w:tcW w:w="3580" w:type="dxa"/>
            <w:vAlign w:val="bottom"/>
            <w:tcBorders>
              <w:top w:val="single" w:sz="8" w:color="0000EE"/>
            </w:tcBorders>
            <w:gridSpan w:val="14"/>
          </w:tcPr>
          <w:p>
            <w:pPr>
              <w:spacing w:after="0"/>
              <w:rPr>
                <w:sz w:val="24"/>
                <w:szCs w:val="24"/>
                <w:color w:val="auto"/>
              </w:rPr>
            </w:pPr>
          </w:p>
        </w:tc>
        <w:tc>
          <w:tcPr>
            <w:tcW w:w="7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3.4*</w:t>
            </w:r>
          </w:p>
        </w:tc>
        <w:tc>
          <w:tcPr>
            <w:tcW w:w="540" w:type="dxa"/>
            <w:vAlign w:val="bottom"/>
          </w:tcPr>
          <w:p>
            <w:pPr>
              <w:spacing w:after="0"/>
              <w:rPr>
                <w:sz w:val="24"/>
                <w:szCs w:val="24"/>
                <w:color w:val="auto"/>
              </w:rPr>
            </w:pPr>
          </w:p>
        </w:tc>
        <w:tc>
          <w:tcPr>
            <w:tcW w:w="716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443">
              <w:r>
                <w:rPr>
                  <w:rFonts w:ascii="Times New Roman" w:cs="Times New Roman" w:eastAsia="Times New Roman" w:hAnsi="Times New Roman"/>
                  <w:sz w:val="17"/>
                  <w:szCs w:val="17"/>
                  <w:color w:val="0000EE"/>
                </w:rPr>
                <w:t>Form of Amended and Restated Bylaws of the Registrant, to be in effect on the closing of the offering.</w:t>
              </w:r>
            </w:hyperlink>
          </w:p>
        </w:tc>
        <w:tc>
          <w:tcPr>
            <w:tcW w:w="21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4.1</w:t>
            </w:r>
          </w:p>
        </w:tc>
        <w:tc>
          <w:tcPr>
            <w:tcW w:w="54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7"/>
                <w:szCs w:val="17"/>
                <w:color w:val="0000EE"/>
              </w:rPr>
              <w:t>Form of Class A Common Stock Certificate.</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4.2*</w:t>
            </w:r>
          </w:p>
        </w:tc>
        <w:tc>
          <w:tcPr>
            <w:tcW w:w="540" w:type="dxa"/>
            <w:vAlign w:val="bottom"/>
          </w:tcPr>
          <w:p>
            <w:pPr>
              <w:spacing w:after="0"/>
              <w:rPr>
                <w:sz w:val="24"/>
                <w:szCs w:val="24"/>
                <w:color w:val="auto"/>
              </w:rPr>
            </w:pPr>
          </w:p>
        </w:tc>
        <w:tc>
          <w:tcPr>
            <w:tcW w:w="9280" w:type="dxa"/>
            <w:vAlign w:val="bottom"/>
            <w:gridSpan w:val="24"/>
          </w:tcPr>
          <w:p>
            <w:pPr>
              <w:spacing w:after="0"/>
              <w:rPr>
                <w:rFonts w:ascii="Times New Roman" w:cs="Times New Roman" w:eastAsia="Times New Roman" w:hAnsi="Times New Roman"/>
                <w:sz w:val="17"/>
                <w:szCs w:val="17"/>
                <w:color w:val="0000EE"/>
              </w:rPr>
            </w:pPr>
            <w:hyperlink r:id="rId444">
              <w:r>
                <w:rPr>
                  <w:rFonts w:ascii="Times New Roman" w:cs="Times New Roman" w:eastAsia="Times New Roman" w:hAnsi="Times New Roman"/>
                  <w:sz w:val="17"/>
                  <w:szCs w:val="17"/>
                  <w:color w:val="0000EE"/>
                </w:rPr>
                <w:t>Warrant to Purchase Class A Common Stock of the Registrant dated November 17, 2021 (included in Exhibit 10.16).</w:t>
              </w:r>
            </w:hyperlink>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4.3*</w:t>
            </w:r>
          </w:p>
        </w:tc>
        <w:tc>
          <w:tcPr>
            <w:tcW w:w="540" w:type="dxa"/>
            <w:vAlign w:val="bottom"/>
          </w:tcPr>
          <w:p>
            <w:pPr>
              <w:spacing w:after="0"/>
              <w:rPr>
                <w:sz w:val="24"/>
                <w:szCs w:val="24"/>
                <w:color w:val="auto"/>
              </w:rPr>
            </w:pPr>
          </w:p>
        </w:tc>
        <w:tc>
          <w:tcPr>
            <w:tcW w:w="808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7"/>
                <w:szCs w:val="17"/>
                <w:color w:val="0000EE"/>
              </w:rPr>
            </w:pPr>
            <w:hyperlink r:id="rId445">
              <w:r>
                <w:rPr>
                  <w:rFonts w:ascii="Times New Roman" w:cs="Times New Roman" w:eastAsia="Times New Roman" w:hAnsi="Times New Roman"/>
                  <w:sz w:val="17"/>
                  <w:szCs w:val="17"/>
                  <w:color w:val="0000EE"/>
                </w:rPr>
                <w:t>Warrant to Purchase Class A Common Stock of the Registrant dated December 8, 2023 for Allen &amp; Company LLC.</w:t>
              </w:r>
            </w:hyperlink>
          </w:p>
        </w:tc>
        <w:tc>
          <w:tcPr>
            <w:tcW w:w="80" w:type="dxa"/>
            <w:vAlign w:val="bottom"/>
            <w:tcBorders>
              <w:top w:val="single" w:sz="8" w:color="0000EE"/>
            </w:tcBorders>
          </w:tcPr>
          <w:p>
            <w:pPr>
              <w:spacing w:after="0"/>
              <w:rPr>
                <w:sz w:val="24"/>
                <w:szCs w:val="24"/>
                <w:color w:val="auto"/>
              </w:rPr>
            </w:pPr>
          </w:p>
        </w:tc>
        <w:tc>
          <w:tcPr>
            <w:tcW w:w="11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5.1</w:t>
            </w:r>
          </w:p>
        </w:tc>
        <w:tc>
          <w:tcPr>
            <w:tcW w:w="540" w:type="dxa"/>
            <w:vAlign w:val="bottom"/>
          </w:tcPr>
          <w:p>
            <w:pPr>
              <w:spacing w:after="0"/>
              <w:rPr>
                <w:sz w:val="24"/>
                <w:szCs w:val="24"/>
                <w:color w:val="auto"/>
              </w:rPr>
            </w:pPr>
          </w:p>
        </w:tc>
        <w:tc>
          <w:tcPr>
            <w:tcW w:w="9280" w:type="dxa"/>
            <w:vAlign w:val="bottom"/>
            <w:gridSpan w:val="24"/>
          </w:tcPr>
          <w:p>
            <w:pPr>
              <w:spacing w:after="0"/>
              <w:rPr>
                <w:sz w:val="20"/>
                <w:szCs w:val="20"/>
                <w:color w:val="auto"/>
              </w:rPr>
            </w:pPr>
            <w:r>
              <w:rPr>
                <w:rFonts w:ascii="Times New Roman" w:cs="Times New Roman" w:eastAsia="Times New Roman" w:hAnsi="Times New Roman"/>
                <w:sz w:val="17"/>
                <w:szCs w:val="17"/>
                <w:color w:val="0000EE"/>
              </w:rPr>
              <w:t>Opinion of Cooley LLP.</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540" w:type="dxa"/>
            <w:vAlign w:val="bottom"/>
          </w:tcPr>
          <w:p>
            <w:pPr>
              <w:spacing w:after="0"/>
              <w:rPr>
                <w:sz w:val="24"/>
                <w:szCs w:val="24"/>
                <w:color w:val="auto"/>
              </w:rPr>
            </w:pPr>
          </w:p>
        </w:tc>
        <w:tc>
          <w:tcPr>
            <w:tcW w:w="9280" w:type="dxa"/>
            <w:vAlign w:val="bottom"/>
            <w:gridSpan w:val="24"/>
          </w:tcPr>
          <w:p>
            <w:pPr>
              <w:spacing w:after="0"/>
              <w:rPr>
                <w:rFonts w:ascii="Times New Roman" w:cs="Times New Roman" w:eastAsia="Times New Roman" w:hAnsi="Times New Roman"/>
                <w:sz w:val="17"/>
                <w:szCs w:val="17"/>
                <w:color w:val="0000EE"/>
              </w:rPr>
            </w:pPr>
            <w:hyperlink r:id="rId446">
              <w:r>
                <w:rPr>
                  <w:rFonts w:ascii="Times New Roman" w:cs="Times New Roman" w:eastAsia="Times New Roman" w:hAnsi="Times New Roman"/>
                  <w:sz w:val="17"/>
                  <w:szCs w:val="17"/>
                  <w:color w:val="0000EE"/>
                </w:rPr>
                <w:t>Twelfth Amended and Restated Investor Rights Agreement, dated April 30, 2024.</w:t>
              </w:r>
            </w:hyperlink>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540" w:type="dxa"/>
            <w:vAlign w:val="bottom"/>
          </w:tcPr>
          <w:p>
            <w:pPr>
              <w:spacing w:after="0"/>
              <w:rPr>
                <w:sz w:val="24"/>
                <w:szCs w:val="24"/>
                <w:color w:val="auto"/>
              </w:rPr>
            </w:pPr>
          </w:p>
        </w:tc>
        <w:tc>
          <w:tcPr>
            <w:tcW w:w="54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7"/>
                <w:szCs w:val="17"/>
                <w:color w:val="0000EE"/>
              </w:rPr>
            </w:pPr>
            <w:hyperlink r:id="rId447">
              <w:r>
                <w:rPr>
                  <w:rFonts w:ascii="Times New Roman" w:cs="Times New Roman" w:eastAsia="Times New Roman" w:hAnsi="Times New Roman"/>
                  <w:sz w:val="17"/>
                  <w:szCs w:val="17"/>
                  <w:color w:val="0000EE"/>
                </w:rPr>
                <w:t>The Registrant’s Third Amended and Restated 2015 Stock Plan, as amended.</w:t>
              </w:r>
            </w:hyperlink>
          </w:p>
        </w:tc>
        <w:tc>
          <w:tcPr>
            <w:tcW w:w="280" w:type="dxa"/>
            <w:vAlign w:val="bottom"/>
            <w:tcBorders>
              <w:top w:val="single" w:sz="8" w:color="0000EE"/>
            </w:tcBorders>
          </w:tcPr>
          <w:p>
            <w:pPr>
              <w:spacing w:after="0"/>
              <w:rPr>
                <w:sz w:val="24"/>
                <w:szCs w:val="24"/>
                <w:color w:val="auto"/>
              </w:rPr>
            </w:pPr>
          </w:p>
        </w:tc>
        <w:tc>
          <w:tcPr>
            <w:tcW w:w="35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10.3+*</w:t>
            </w:r>
          </w:p>
        </w:tc>
        <w:tc>
          <w:tcPr>
            <w:tcW w:w="540" w:type="dxa"/>
            <w:vAlign w:val="bottom"/>
          </w:tcPr>
          <w:p>
            <w:pPr>
              <w:spacing w:after="0"/>
              <w:rPr>
                <w:sz w:val="24"/>
                <w:szCs w:val="24"/>
                <w:color w:val="auto"/>
              </w:rPr>
            </w:pPr>
          </w:p>
        </w:tc>
        <w:tc>
          <w:tcPr>
            <w:tcW w:w="9280" w:type="dxa"/>
            <w:vAlign w:val="bottom"/>
            <w:gridSpan w:val="24"/>
          </w:tcPr>
          <w:p>
            <w:pPr>
              <w:spacing w:after="0"/>
              <w:rPr>
                <w:rFonts w:ascii="Times New Roman" w:cs="Times New Roman" w:eastAsia="Times New Roman" w:hAnsi="Times New Roman"/>
                <w:sz w:val="17"/>
                <w:szCs w:val="17"/>
                <w:color w:val="0000EE"/>
              </w:rPr>
            </w:pPr>
            <w:hyperlink r:id="rId448">
              <w:r>
                <w:rPr>
                  <w:rFonts w:ascii="Times New Roman" w:cs="Times New Roman" w:eastAsia="Times New Roman" w:hAnsi="Times New Roman"/>
                  <w:sz w:val="17"/>
                  <w:szCs w:val="17"/>
                  <w:color w:val="0000EE"/>
                </w:rPr>
                <w:t>Forms of Grant Notices and Award Agreements under the Registrant’s Third Amended and Restated 2015 Stock Plan, as amended.</w:t>
              </w:r>
            </w:hyperlink>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54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The Registrant’s 2024 Equity Incentive Plan.</w:t>
            </w:r>
          </w:p>
        </w:tc>
        <w:tc>
          <w:tcPr>
            <w:tcW w:w="5980" w:type="dxa"/>
            <w:vAlign w:val="bottom"/>
            <w:tcBorders>
              <w:top w:val="single" w:sz="8" w:color="0000EE"/>
            </w:tcBorders>
            <w:gridSpan w:val="19"/>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10.5+*</w:t>
            </w:r>
          </w:p>
        </w:tc>
        <w:tc>
          <w:tcPr>
            <w:tcW w:w="540" w:type="dxa"/>
            <w:vAlign w:val="bottom"/>
          </w:tcPr>
          <w:p>
            <w:pPr>
              <w:spacing w:after="0"/>
              <w:rPr>
                <w:sz w:val="24"/>
                <w:szCs w:val="24"/>
                <w:color w:val="auto"/>
              </w:rPr>
            </w:pPr>
          </w:p>
        </w:tc>
        <w:tc>
          <w:tcPr>
            <w:tcW w:w="9280" w:type="dxa"/>
            <w:vAlign w:val="bottom"/>
            <w:gridSpan w:val="24"/>
          </w:tcPr>
          <w:p>
            <w:pPr>
              <w:spacing w:after="0"/>
              <w:rPr>
                <w:rFonts w:ascii="Times New Roman" w:cs="Times New Roman" w:eastAsia="Times New Roman" w:hAnsi="Times New Roman"/>
                <w:sz w:val="17"/>
                <w:szCs w:val="17"/>
                <w:color w:val="0000EE"/>
              </w:rPr>
            </w:pPr>
            <w:hyperlink r:id="rId449">
              <w:r>
                <w:rPr>
                  <w:rFonts w:ascii="Times New Roman" w:cs="Times New Roman" w:eastAsia="Times New Roman" w:hAnsi="Times New Roman"/>
                  <w:sz w:val="17"/>
                  <w:szCs w:val="17"/>
                  <w:color w:val="0000EE"/>
                </w:rPr>
                <w:t>Forms of Grant Notice, Stock Option Agreement and Notice of Exercise under the Registrant’s 2024 Equity Incentive Plan.</w:t>
              </w:r>
            </w:hyperlink>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10.6+*</w:t>
            </w:r>
          </w:p>
        </w:tc>
        <w:tc>
          <w:tcPr>
            <w:tcW w:w="540" w:type="dxa"/>
            <w:vAlign w:val="bottom"/>
          </w:tcPr>
          <w:p>
            <w:pPr>
              <w:spacing w:after="0"/>
              <w:rPr>
                <w:sz w:val="24"/>
                <w:szCs w:val="24"/>
                <w:color w:val="auto"/>
              </w:rPr>
            </w:pPr>
          </w:p>
        </w:tc>
        <w:tc>
          <w:tcPr>
            <w:tcW w:w="8600" w:type="dxa"/>
            <w:vAlign w:val="bottom"/>
            <w:tcBorders>
              <w:top w:val="single" w:sz="8" w:color="0000EE"/>
            </w:tcBorders>
            <w:gridSpan w:val="21"/>
          </w:tcPr>
          <w:p>
            <w:pPr>
              <w:spacing w:after="0"/>
              <w:rPr>
                <w:rFonts w:ascii="Times New Roman" w:cs="Times New Roman" w:eastAsia="Times New Roman" w:hAnsi="Times New Roman"/>
                <w:sz w:val="17"/>
                <w:szCs w:val="17"/>
                <w:color w:val="0000EE"/>
              </w:rPr>
            </w:pPr>
            <w:hyperlink r:id="rId450">
              <w:r>
                <w:rPr>
                  <w:rFonts w:ascii="Times New Roman" w:cs="Times New Roman" w:eastAsia="Times New Roman" w:hAnsi="Times New Roman"/>
                  <w:sz w:val="17"/>
                  <w:szCs w:val="17"/>
                  <w:color w:val="0000EE"/>
                </w:rPr>
                <w:t>Forms of Restricted Stock Unit Grant Notice and Award Agreement under the Registrant’s 2024 Equity Incentive Plan.</w:t>
              </w:r>
            </w:hyperlink>
          </w:p>
        </w:tc>
        <w:tc>
          <w:tcPr>
            <w:tcW w:w="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20" w:type="dxa"/>
            <w:vAlign w:val="bottom"/>
            <w:gridSpan w:val="9"/>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10.7+*</w:t>
            </w:r>
          </w:p>
        </w:tc>
        <w:tc>
          <w:tcPr>
            <w:tcW w:w="540" w:type="dxa"/>
            <w:vAlign w:val="bottom"/>
          </w:tcPr>
          <w:p>
            <w:pPr>
              <w:spacing w:after="0"/>
              <w:rPr>
                <w:sz w:val="24"/>
                <w:szCs w:val="24"/>
                <w:color w:val="auto"/>
              </w:rPr>
            </w:pPr>
          </w:p>
        </w:tc>
        <w:tc>
          <w:tcPr>
            <w:tcW w:w="836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451">
              <w:r>
                <w:rPr>
                  <w:rFonts w:ascii="Times New Roman" w:cs="Times New Roman" w:eastAsia="Times New Roman" w:hAnsi="Times New Roman"/>
                  <w:sz w:val="17"/>
                  <w:szCs w:val="17"/>
                  <w:color w:val="0000EE"/>
                </w:rPr>
                <w:t>Form of Indemnification Agreement entered into by and between the Registrant and each director and executive officer.</w:t>
              </w:r>
            </w:hyperlink>
          </w:p>
        </w:tc>
        <w:tc>
          <w:tcPr>
            <w:tcW w:w="9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10.8+*</w:t>
            </w:r>
          </w:p>
        </w:tc>
        <w:tc>
          <w:tcPr>
            <w:tcW w:w="540" w:type="dxa"/>
            <w:vAlign w:val="bottom"/>
          </w:tcPr>
          <w:p>
            <w:pPr>
              <w:spacing w:after="0"/>
              <w:rPr>
                <w:sz w:val="24"/>
                <w:szCs w:val="24"/>
                <w:color w:val="auto"/>
              </w:rPr>
            </w:pPr>
          </w:p>
        </w:tc>
        <w:tc>
          <w:tcPr>
            <w:tcW w:w="704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452">
              <w:r>
                <w:rPr>
                  <w:rFonts w:ascii="Times New Roman" w:cs="Times New Roman" w:eastAsia="Times New Roman" w:hAnsi="Times New Roman"/>
                  <w:sz w:val="17"/>
                  <w:szCs w:val="17"/>
                  <w:color w:val="0000EE"/>
                </w:rPr>
                <w:t>Employment Agreement, by and between the Registrant and Eric Lefkofsky, dated February 1, 2024.</w:t>
              </w:r>
            </w:hyperlink>
          </w:p>
        </w:tc>
        <w:tc>
          <w:tcPr>
            <w:tcW w:w="22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10.9+*</w:t>
            </w:r>
          </w:p>
        </w:tc>
        <w:tc>
          <w:tcPr>
            <w:tcW w:w="540" w:type="dxa"/>
            <w:vAlign w:val="bottom"/>
          </w:tcPr>
          <w:p>
            <w:pPr>
              <w:spacing w:after="0"/>
              <w:rPr>
                <w:sz w:val="24"/>
                <w:szCs w:val="24"/>
                <w:color w:val="auto"/>
              </w:rPr>
            </w:pPr>
          </w:p>
        </w:tc>
        <w:tc>
          <w:tcPr>
            <w:tcW w:w="9280" w:type="dxa"/>
            <w:vAlign w:val="bottom"/>
            <w:gridSpan w:val="24"/>
          </w:tcPr>
          <w:p>
            <w:pPr>
              <w:spacing w:after="0"/>
              <w:rPr>
                <w:rFonts w:ascii="Times New Roman" w:cs="Times New Roman" w:eastAsia="Times New Roman" w:hAnsi="Times New Roman"/>
                <w:sz w:val="17"/>
                <w:szCs w:val="17"/>
                <w:color w:val="0000EE"/>
              </w:rPr>
            </w:pPr>
            <w:hyperlink r:id="rId453">
              <w:r>
                <w:rPr>
                  <w:rFonts w:ascii="Times New Roman" w:cs="Times New Roman" w:eastAsia="Times New Roman" w:hAnsi="Times New Roman"/>
                  <w:sz w:val="17"/>
                  <w:szCs w:val="17"/>
                  <w:color w:val="0000EE"/>
                </w:rPr>
                <w:t>Employment Agreement, by and between the Registrant and Erik Phelps, dated January 1, 2023.</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20" w:type="dxa"/>
            <w:vAlign w:val="bottom"/>
            <w:gridSpan w:val="9"/>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10.10+*</w:t>
            </w:r>
          </w:p>
        </w:tc>
        <w:tc>
          <w:tcPr>
            <w:tcW w:w="540" w:type="dxa"/>
            <w:vAlign w:val="bottom"/>
          </w:tcPr>
          <w:p>
            <w:pPr>
              <w:spacing w:after="0"/>
              <w:rPr>
                <w:sz w:val="24"/>
                <w:szCs w:val="24"/>
                <w:color w:val="auto"/>
              </w:rPr>
            </w:pPr>
          </w:p>
        </w:tc>
        <w:tc>
          <w:tcPr>
            <w:tcW w:w="710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454">
              <w:r>
                <w:rPr>
                  <w:rFonts w:ascii="Times New Roman" w:cs="Times New Roman" w:eastAsia="Times New Roman" w:hAnsi="Times New Roman"/>
                  <w:sz w:val="17"/>
                  <w:szCs w:val="17"/>
                  <w:color w:val="0000EE"/>
                </w:rPr>
                <w:t>Employment Agreement, by and between the Registrant and Ryan Fukushima, dated January 1, 2023.</w:t>
              </w:r>
            </w:hyperlink>
          </w:p>
        </w:tc>
        <w:tc>
          <w:tcPr>
            <w:tcW w:w="21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10.11+*</w:t>
            </w:r>
          </w:p>
        </w:tc>
        <w:tc>
          <w:tcPr>
            <w:tcW w:w="540" w:type="dxa"/>
            <w:vAlign w:val="bottom"/>
          </w:tcPr>
          <w:p>
            <w:pPr>
              <w:spacing w:after="0"/>
              <w:rPr>
                <w:sz w:val="24"/>
                <w:szCs w:val="24"/>
                <w:color w:val="auto"/>
              </w:rPr>
            </w:pPr>
          </w:p>
        </w:tc>
        <w:tc>
          <w:tcPr>
            <w:tcW w:w="692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455">
              <w:r>
                <w:rPr>
                  <w:rFonts w:ascii="Times New Roman" w:cs="Times New Roman" w:eastAsia="Times New Roman" w:hAnsi="Times New Roman"/>
                  <w:sz w:val="17"/>
                  <w:szCs w:val="17"/>
                  <w:color w:val="0000EE"/>
                </w:rPr>
                <w:t>Employment Agreement, by and between the Registrant and James Rogers, dated January 1, 2023.</w:t>
              </w:r>
            </w:hyperlink>
          </w:p>
        </w:tc>
        <w:tc>
          <w:tcPr>
            <w:tcW w:w="23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10.12#*</w:t>
            </w:r>
          </w:p>
        </w:tc>
        <w:tc>
          <w:tcPr>
            <w:tcW w:w="540" w:type="dxa"/>
            <w:vAlign w:val="bottom"/>
          </w:tcPr>
          <w:p>
            <w:pPr>
              <w:spacing w:after="0"/>
              <w:rPr>
                <w:sz w:val="24"/>
                <w:szCs w:val="24"/>
                <w:color w:val="auto"/>
              </w:rPr>
            </w:pPr>
          </w:p>
        </w:tc>
        <w:tc>
          <w:tcPr>
            <w:tcW w:w="928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rPr>
            </w:pPr>
            <w:hyperlink r:id="rId456">
              <w:r>
                <w:rPr>
                  <w:rFonts w:ascii="Times New Roman" w:cs="Times New Roman" w:eastAsia="Times New Roman" w:hAnsi="Times New Roman"/>
                  <w:sz w:val="17"/>
                  <w:szCs w:val="17"/>
                  <w:color w:val="0000EE"/>
                </w:rPr>
                <w:t>Agreement of Lease, by and between the Registrant and EQC 600 West Chicago Property LLC, dated January 18, 2018, as amended.</w:t>
              </w:r>
            </w:hyperlink>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10.13†*</w:t>
            </w:r>
          </w:p>
        </w:tc>
        <w:tc>
          <w:tcPr>
            <w:tcW w:w="540" w:type="dxa"/>
            <w:vAlign w:val="bottom"/>
          </w:tcPr>
          <w:p>
            <w:pPr>
              <w:spacing w:after="0"/>
              <w:rPr>
                <w:sz w:val="24"/>
                <w:szCs w:val="24"/>
                <w:color w:val="auto"/>
              </w:rPr>
            </w:pPr>
          </w:p>
        </w:tc>
        <w:tc>
          <w:tcPr>
            <w:tcW w:w="632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457">
              <w:r>
                <w:rPr>
                  <w:rFonts w:ascii="Times New Roman" w:cs="Times New Roman" w:eastAsia="Times New Roman" w:hAnsi="Times New Roman"/>
                  <w:sz w:val="17"/>
                  <w:szCs w:val="17"/>
                  <w:color w:val="0000EE"/>
                </w:rPr>
                <w:t>Supply Agreement, by and between the Registrant and Illumina, Inc., dated June 29, 2021.</w:t>
              </w:r>
            </w:hyperlink>
          </w:p>
        </w:tc>
        <w:tc>
          <w:tcPr>
            <w:tcW w:w="29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10.14†*</w:t>
            </w:r>
          </w:p>
        </w:tc>
        <w:tc>
          <w:tcPr>
            <w:tcW w:w="540" w:type="dxa"/>
            <w:vAlign w:val="bottom"/>
          </w:tcPr>
          <w:p>
            <w:pPr>
              <w:spacing w:after="0"/>
              <w:rPr>
                <w:sz w:val="24"/>
                <w:szCs w:val="24"/>
                <w:color w:val="auto"/>
              </w:rPr>
            </w:pPr>
          </w:p>
        </w:tc>
        <w:tc>
          <w:tcPr>
            <w:tcW w:w="9280" w:type="dxa"/>
            <w:vAlign w:val="bottom"/>
            <w:gridSpan w:val="24"/>
          </w:tcPr>
          <w:p>
            <w:pPr>
              <w:spacing w:after="0"/>
              <w:rPr>
                <w:rFonts w:ascii="Times New Roman" w:cs="Times New Roman" w:eastAsia="Times New Roman" w:hAnsi="Times New Roman"/>
                <w:sz w:val="17"/>
                <w:szCs w:val="17"/>
                <w:color w:val="0000EE"/>
              </w:rPr>
            </w:pPr>
            <w:hyperlink r:id="rId458">
              <w:r>
                <w:rPr>
                  <w:rFonts w:ascii="Times New Roman" w:cs="Times New Roman" w:eastAsia="Times New Roman" w:hAnsi="Times New Roman"/>
                  <w:sz w:val="17"/>
                  <w:szCs w:val="17"/>
                  <w:color w:val="0000EE"/>
                </w:rPr>
                <w:t>Amended and Restated Convertible Promissory Note, by and between the Registrant and Google LLC, dated November 19, 2020.</w:t>
              </w:r>
            </w:hyperlink>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10.15†</w:t>
            </w:r>
          </w:p>
        </w:tc>
        <w:tc>
          <w:tcPr>
            <w:tcW w:w="540" w:type="dxa"/>
            <w:vAlign w:val="bottom"/>
          </w:tcPr>
          <w:p>
            <w:pPr>
              <w:spacing w:after="0"/>
              <w:rPr>
                <w:sz w:val="24"/>
                <w:szCs w:val="24"/>
                <w:color w:val="auto"/>
              </w:rPr>
            </w:pPr>
          </w:p>
        </w:tc>
        <w:tc>
          <w:tcPr>
            <w:tcW w:w="838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Amended and Restated Master Agreement, by and between the Registrant and Pathos AI, Inc., dated February 12, 2024.</w:t>
            </w:r>
          </w:p>
        </w:tc>
        <w:tc>
          <w:tcPr>
            <w:tcW w:w="680" w:type="dxa"/>
            <w:vAlign w:val="bottom"/>
            <w:tcBorders>
              <w:top w:val="single" w:sz="8" w:color="0000EE"/>
            </w:tcBorders>
            <w:gridSpan w:val="3"/>
          </w:tcPr>
          <w:p>
            <w:pPr>
              <w:spacing w:after="0"/>
              <w:rPr>
                <w:sz w:val="24"/>
                <w:szCs w:val="24"/>
                <w:color w:val="auto"/>
              </w:rPr>
            </w:pP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gridSpan w:val="20"/>
          </w:tcPr>
          <w:p>
            <w:pPr>
              <w:jc w:val="center"/>
              <w:ind w:right="3400"/>
              <w:spacing w:after="0"/>
              <w:rPr>
                <w:sz w:val="20"/>
                <w:szCs w:val="20"/>
                <w:color w:val="auto"/>
              </w:rPr>
            </w:pPr>
            <w:r>
              <w:rPr>
                <w:rFonts w:ascii="Times New Roman" w:cs="Times New Roman" w:eastAsia="Times New Roman" w:hAnsi="Times New Roman"/>
                <w:sz w:val="17"/>
                <w:szCs w:val="17"/>
                <w:color w:val="auto"/>
              </w:rPr>
              <w:t>II-5</w:t>
            </w:r>
          </w:p>
        </w:tc>
        <w:tc>
          <w:tcPr>
            <w:tcW w:w="0" w:type="dxa"/>
            <w:vAlign w:val="bottom"/>
          </w:tcPr>
          <w:p>
            <w:pPr>
              <w:spacing w:after="0"/>
              <w:rPr>
                <w:sz w:val="1"/>
                <w:szCs w:val="1"/>
                <w:color w:val="auto"/>
              </w:rPr>
            </w:pPr>
          </w:p>
        </w:tc>
      </w:tr>
    </w:tbl>
    <w:p>
      <w:pPr>
        <w:sectPr>
          <w:pgSz w:w="11900" w:h="16838" w:orient="portrait"/>
          <w:cols w:equalWidth="0" w:num="1">
            <w:col w:w="10420"/>
          </w:cols>
          <w:pgMar w:left="320" w:top="446" w:right="11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4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4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10.16†*</w:t>
            </w:r>
          </w:p>
        </w:tc>
        <w:tc>
          <w:tcPr>
            <w:tcW w:w="540" w:type="dxa"/>
            <w:vAlign w:val="bottom"/>
          </w:tcPr>
          <w:p>
            <w:pPr>
              <w:spacing w:after="0"/>
              <w:rPr>
                <w:sz w:val="23"/>
                <w:szCs w:val="23"/>
                <w:color w:val="auto"/>
              </w:rPr>
            </w:pPr>
          </w:p>
        </w:tc>
        <w:tc>
          <w:tcPr>
            <w:tcW w:w="758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444">
              <w:r>
                <w:rPr>
                  <w:rFonts w:ascii="Times New Roman" w:cs="Times New Roman" w:eastAsia="Times New Roman" w:hAnsi="Times New Roman"/>
                  <w:sz w:val="17"/>
                  <w:szCs w:val="17"/>
                  <w:color w:val="0000EE"/>
                </w:rPr>
                <w:t>Master Services Agreement, by and between the Registrant and AstraZeneca AB, dated November 17, 2021.</w:t>
              </w:r>
            </w:hyperlink>
          </w:p>
        </w:tc>
        <w:tc>
          <w:tcPr>
            <w:tcW w:w="240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10.17+*</w:t>
            </w:r>
          </w:p>
        </w:tc>
        <w:tc>
          <w:tcPr>
            <w:tcW w:w="540" w:type="dxa"/>
            <w:vAlign w:val="bottom"/>
          </w:tcPr>
          <w:p>
            <w:pPr>
              <w:spacing w:after="0"/>
              <w:rPr>
                <w:sz w:val="24"/>
                <w:szCs w:val="24"/>
                <w:color w:val="auto"/>
              </w:rPr>
            </w:pPr>
          </w:p>
        </w:tc>
        <w:tc>
          <w:tcPr>
            <w:tcW w:w="380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rPr>
            </w:pPr>
            <w:hyperlink r:id="rId460">
              <w:r>
                <w:rPr>
                  <w:rFonts w:ascii="Times New Roman" w:cs="Times New Roman" w:eastAsia="Times New Roman" w:hAnsi="Times New Roman"/>
                  <w:sz w:val="17"/>
                  <w:szCs w:val="17"/>
                  <w:color w:val="0000EE"/>
                </w:rPr>
                <w:t>The Registrant’s 2024 Employee Stock Purchase Plan.</w:t>
              </w:r>
            </w:hyperlink>
          </w:p>
        </w:tc>
        <w:tc>
          <w:tcPr>
            <w:tcW w:w="61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10.18†*</w:t>
            </w:r>
          </w:p>
        </w:tc>
        <w:tc>
          <w:tcPr>
            <w:tcW w:w="5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7"/>
                <w:szCs w:val="17"/>
                <w:color w:val="0000EE"/>
              </w:rPr>
            </w:pPr>
            <w:hyperlink r:id="rId461">
              <w:r>
                <w:rPr>
                  <w:rFonts w:ascii="Times New Roman" w:cs="Times New Roman" w:eastAsia="Times New Roman" w:hAnsi="Times New Roman"/>
                  <w:sz w:val="17"/>
                  <w:szCs w:val="17"/>
                  <w:color w:val="0000EE"/>
                </w:rPr>
                <w:t>Strategic Collaboration Agreement, by and between the Registrant and Glaxosmithkline LLC, dated August 1, 2022.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10.19#*</w:t>
            </w:r>
          </w:p>
        </w:tc>
        <w:tc>
          <w:tcPr>
            <w:tcW w:w="540" w:type="dxa"/>
            <w:vAlign w:val="bottom"/>
          </w:tcPr>
          <w:p>
            <w:pPr>
              <w:spacing w:after="0"/>
              <w:rPr>
                <w:sz w:val="24"/>
                <w:szCs w:val="24"/>
                <w:color w:val="auto"/>
              </w:rPr>
            </w:pPr>
          </w:p>
        </w:tc>
        <w:tc>
          <w:tcPr>
            <w:tcW w:w="998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rPr>
            </w:pPr>
            <w:hyperlink r:id="rId462">
              <w:r>
                <w:rPr>
                  <w:rFonts w:ascii="Times New Roman" w:cs="Times New Roman" w:eastAsia="Times New Roman" w:hAnsi="Times New Roman"/>
                  <w:sz w:val="17"/>
                  <w:szCs w:val="17"/>
                  <w:color w:val="0000EE"/>
                </w:rPr>
                <w:t>Credit Agreement, by and among the Registrant, the lenders party thereto, Ares Capital Corporation and Ares Capital Management LLC, dated</w:t>
              </w:r>
            </w:hyperlink>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Borders>
              <w:bottom w:val="single" w:sz="8" w:color="0000EE"/>
            </w:tcBorders>
            <w:gridSpan w:val="2"/>
          </w:tcPr>
          <w:p>
            <w:pPr>
              <w:spacing w:after="0" w:line="189" w:lineRule="exact"/>
              <w:rPr>
                <w:rFonts w:ascii="Times New Roman" w:cs="Times New Roman" w:eastAsia="Times New Roman" w:hAnsi="Times New Roman"/>
                <w:sz w:val="17"/>
                <w:szCs w:val="17"/>
                <w:color w:val="0000EE"/>
              </w:rPr>
            </w:pPr>
            <w:hyperlink r:id="rId462">
              <w:r>
                <w:rPr>
                  <w:rFonts w:ascii="Times New Roman" w:cs="Times New Roman" w:eastAsia="Times New Roman" w:hAnsi="Times New Roman"/>
                  <w:sz w:val="17"/>
                  <w:szCs w:val="17"/>
                  <w:color w:val="0000EE"/>
                </w:rPr>
                <w:t>September 22, 2022.</w:t>
              </w:r>
            </w:hyperlink>
          </w:p>
        </w:tc>
        <w:tc>
          <w:tcPr>
            <w:tcW w:w="852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10.20#*</w:t>
            </w:r>
          </w:p>
        </w:tc>
        <w:tc>
          <w:tcPr>
            <w:tcW w:w="540" w:type="dxa"/>
            <w:vAlign w:val="bottom"/>
          </w:tcPr>
          <w:p>
            <w:pPr>
              <w:spacing w:after="0"/>
              <w:rPr>
                <w:sz w:val="24"/>
                <w:szCs w:val="24"/>
                <w:color w:val="auto"/>
              </w:rPr>
            </w:pPr>
          </w:p>
        </w:tc>
        <w:tc>
          <w:tcPr>
            <w:tcW w:w="988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rPr>
            </w:pPr>
            <w:hyperlink r:id="rId463">
              <w:r>
                <w:rPr>
                  <w:rFonts w:ascii="Times New Roman" w:cs="Times New Roman" w:eastAsia="Times New Roman" w:hAnsi="Times New Roman"/>
                  <w:sz w:val="17"/>
                  <w:szCs w:val="17"/>
                  <w:color w:val="0000EE"/>
                </w:rPr>
                <w:t>Limited Waiver and First Amendment to Credit Agreement, by and among the Registrant, the loan party signatories and lenders party thereto,</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80" w:type="dxa"/>
            <w:vAlign w:val="bottom"/>
            <w:tcBorders>
              <w:bottom w:val="single" w:sz="8" w:color="0000EE"/>
            </w:tcBorders>
            <w:gridSpan w:val="8"/>
          </w:tcPr>
          <w:p>
            <w:pPr>
              <w:spacing w:after="0" w:line="189" w:lineRule="exact"/>
              <w:rPr>
                <w:rFonts w:ascii="Times New Roman" w:cs="Times New Roman" w:eastAsia="Times New Roman" w:hAnsi="Times New Roman"/>
                <w:sz w:val="17"/>
                <w:szCs w:val="17"/>
                <w:color w:val="0000EE"/>
              </w:rPr>
            </w:pPr>
            <w:hyperlink r:id="rId463">
              <w:r>
                <w:rPr>
                  <w:rFonts w:ascii="Times New Roman" w:cs="Times New Roman" w:eastAsia="Times New Roman" w:hAnsi="Times New Roman"/>
                  <w:sz w:val="17"/>
                  <w:szCs w:val="17"/>
                  <w:color w:val="0000EE"/>
                </w:rPr>
                <w:t>and Ares Capital Corporation as administrative agent, dated April 25, 2023.</w:t>
              </w:r>
            </w:hyperlink>
          </w:p>
        </w:tc>
        <w:tc>
          <w:tcPr>
            <w:tcW w:w="470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10.21#*</w:t>
            </w:r>
          </w:p>
        </w:tc>
        <w:tc>
          <w:tcPr>
            <w:tcW w:w="540" w:type="dxa"/>
            <w:vAlign w:val="bottom"/>
          </w:tcPr>
          <w:p>
            <w:pPr>
              <w:spacing w:after="0"/>
              <w:rPr>
                <w:sz w:val="24"/>
                <w:szCs w:val="24"/>
                <w:color w:val="auto"/>
              </w:rPr>
            </w:pPr>
          </w:p>
        </w:tc>
        <w:tc>
          <w:tcPr>
            <w:tcW w:w="986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rPr>
            </w:pPr>
            <w:hyperlink r:id="rId464">
              <w:r>
                <w:rPr>
                  <w:rFonts w:ascii="Times New Roman" w:cs="Times New Roman" w:eastAsia="Times New Roman" w:hAnsi="Times New Roman"/>
                  <w:sz w:val="17"/>
                  <w:szCs w:val="17"/>
                  <w:color w:val="0000EE"/>
                </w:rPr>
                <w:t>Second Amendment to Credit Agreement, by and among the Registrant, the loan party signatories and lenders party thereto, and Ares Capital</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60" w:type="dxa"/>
            <w:vAlign w:val="bottom"/>
            <w:tcBorders>
              <w:bottom w:val="single" w:sz="8" w:color="0000EE"/>
            </w:tcBorders>
            <w:gridSpan w:val="6"/>
          </w:tcPr>
          <w:p>
            <w:pPr>
              <w:spacing w:after="0" w:line="189" w:lineRule="exact"/>
              <w:rPr>
                <w:rFonts w:ascii="Times New Roman" w:cs="Times New Roman" w:eastAsia="Times New Roman" w:hAnsi="Times New Roman"/>
                <w:sz w:val="17"/>
                <w:szCs w:val="17"/>
                <w:color w:val="0000EE"/>
              </w:rPr>
            </w:pPr>
            <w:hyperlink r:id="rId464">
              <w:r>
                <w:rPr>
                  <w:rFonts w:ascii="Times New Roman" w:cs="Times New Roman" w:eastAsia="Times New Roman" w:hAnsi="Times New Roman"/>
                  <w:sz w:val="17"/>
                  <w:szCs w:val="17"/>
                  <w:color w:val="0000EE"/>
                </w:rPr>
                <w:t>Corporation as administrative agent, dated October 11, 2023.</w:t>
              </w:r>
            </w:hyperlink>
          </w:p>
        </w:tc>
        <w:tc>
          <w:tcPr>
            <w:tcW w:w="572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10.22†*</w:t>
            </w:r>
          </w:p>
        </w:tc>
        <w:tc>
          <w:tcPr>
            <w:tcW w:w="540" w:type="dxa"/>
            <w:vAlign w:val="bottom"/>
          </w:tcPr>
          <w:p>
            <w:pPr>
              <w:spacing w:after="0"/>
              <w:rPr>
                <w:sz w:val="24"/>
                <w:szCs w:val="24"/>
                <w:color w:val="auto"/>
              </w:rPr>
            </w:pPr>
          </w:p>
        </w:tc>
        <w:tc>
          <w:tcPr>
            <w:tcW w:w="794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465">
              <w:r>
                <w:rPr>
                  <w:rFonts w:ascii="Times New Roman" w:cs="Times New Roman" w:eastAsia="Times New Roman" w:hAnsi="Times New Roman"/>
                  <w:sz w:val="17"/>
                  <w:szCs w:val="17"/>
                  <w:color w:val="0000EE"/>
                </w:rPr>
                <w:t>Master Agreement, by and between the Registrant and Recursion Pharmaceuticals, Inc., dated November 3, 2023.</w:t>
              </w:r>
            </w:hyperlink>
          </w:p>
        </w:tc>
        <w:tc>
          <w:tcPr>
            <w:tcW w:w="20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10.23+*</w:t>
            </w:r>
          </w:p>
        </w:tc>
        <w:tc>
          <w:tcPr>
            <w:tcW w:w="5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7"/>
                <w:szCs w:val="17"/>
                <w:color w:val="0000EE"/>
              </w:rPr>
            </w:pPr>
            <w:hyperlink r:id="rId466">
              <w:r>
                <w:rPr>
                  <w:rFonts w:ascii="Times New Roman" w:cs="Times New Roman" w:eastAsia="Times New Roman" w:hAnsi="Times New Roman"/>
                  <w:sz w:val="17"/>
                  <w:szCs w:val="17"/>
                  <w:color w:val="0000EE"/>
                </w:rPr>
                <w:t>Employment Agreement, by and between the Registrant and Andy Polovin, dated January 1, 2023.</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10.24†*</w:t>
            </w:r>
          </w:p>
        </w:tc>
        <w:tc>
          <w:tcPr>
            <w:tcW w:w="5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7"/>
                <w:szCs w:val="17"/>
                <w:color w:val="0000EE"/>
              </w:rPr>
            </w:pPr>
            <w:hyperlink r:id="rId467">
              <w:r>
                <w:rPr>
                  <w:rFonts w:ascii="Times New Roman" w:cs="Times New Roman" w:eastAsia="Times New Roman" w:hAnsi="Times New Roman"/>
                  <w:sz w:val="17"/>
                  <w:szCs w:val="17"/>
                  <w:color w:val="0000EE"/>
                </w:rPr>
                <w:t>Amendment to Master Services Agreement, by and between Registrant and AstraZeneca AB, dated October 29, 2022.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10.25†*</w:t>
            </w:r>
          </w:p>
        </w:tc>
        <w:tc>
          <w:tcPr>
            <w:tcW w:w="5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7"/>
                <w:szCs w:val="17"/>
                <w:color w:val="0000EE"/>
              </w:rPr>
            </w:pPr>
            <w:hyperlink r:id="rId468">
              <w:r>
                <w:rPr>
                  <w:rFonts w:ascii="Times New Roman" w:cs="Times New Roman" w:eastAsia="Times New Roman" w:hAnsi="Times New Roman"/>
                  <w:sz w:val="17"/>
                  <w:szCs w:val="17"/>
                  <w:color w:val="0000EE"/>
                </w:rPr>
                <w:t>Second Amendment to Master Services Agreement, by and between Registrant and AstraZeneca UK Ltd, dated February 21, 2023.</w:t>
              </w:r>
            </w:hyperlink>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10.26†*</w:t>
            </w:r>
          </w:p>
        </w:tc>
        <w:tc>
          <w:tcPr>
            <w:tcW w:w="540" w:type="dxa"/>
            <w:vAlign w:val="bottom"/>
          </w:tcPr>
          <w:p>
            <w:pPr>
              <w:spacing w:after="0"/>
              <w:rPr>
                <w:sz w:val="24"/>
                <w:szCs w:val="24"/>
                <w:color w:val="auto"/>
              </w:rPr>
            </w:pPr>
          </w:p>
        </w:tc>
        <w:tc>
          <w:tcPr>
            <w:tcW w:w="882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7"/>
                <w:szCs w:val="17"/>
                <w:color w:val="0000EE"/>
              </w:rPr>
            </w:pPr>
            <w:hyperlink r:id="rId469">
              <w:r>
                <w:rPr>
                  <w:rFonts w:ascii="Times New Roman" w:cs="Times New Roman" w:eastAsia="Times New Roman" w:hAnsi="Times New Roman"/>
                  <w:sz w:val="17"/>
                  <w:szCs w:val="17"/>
                  <w:color w:val="0000EE"/>
                </w:rPr>
                <w:t>Third Amendment to Master Services Agreement, by and between Registrant and AstraZeneca AB, dated December 18, 2023.</w:t>
              </w:r>
            </w:hyperlink>
          </w:p>
        </w:tc>
        <w:tc>
          <w:tcPr>
            <w:tcW w:w="320" w:type="dxa"/>
            <w:vAlign w:val="bottom"/>
            <w:tcBorders>
              <w:top w:val="single" w:sz="8" w:color="0000EE"/>
            </w:tcBorders>
          </w:tcPr>
          <w:p>
            <w:pPr>
              <w:spacing w:after="0"/>
              <w:rPr>
                <w:sz w:val="24"/>
                <w:szCs w:val="24"/>
                <w:color w:val="auto"/>
              </w:rPr>
            </w:pPr>
          </w:p>
        </w:tc>
        <w:tc>
          <w:tcPr>
            <w:tcW w:w="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10.27†</w:t>
            </w:r>
          </w:p>
        </w:tc>
        <w:tc>
          <w:tcPr>
            <w:tcW w:w="540" w:type="dxa"/>
            <w:vAlign w:val="bottom"/>
          </w:tcPr>
          <w:p>
            <w:pPr>
              <w:spacing w:after="0"/>
              <w:rPr>
                <w:sz w:val="24"/>
                <w:szCs w:val="24"/>
                <w:color w:val="auto"/>
              </w:rPr>
            </w:pPr>
          </w:p>
        </w:tc>
        <w:tc>
          <w:tcPr>
            <w:tcW w:w="98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7"/>
                <w:szCs w:val="17"/>
                <w:color w:val="0000EE"/>
              </w:rPr>
              <w:t>Joint Venture Agreement, by and among Softbank Group Corporation, Softbank Group Japan Corporation, the Registrant and Pegasos Corp.,</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Borders>
              <w:bottom w:val="single" w:sz="8" w:color="0000EE"/>
            </w:tcBorders>
          </w:tcPr>
          <w:p>
            <w:pPr>
              <w:spacing w:after="0" w:line="189" w:lineRule="exact"/>
              <w:rPr>
                <w:sz w:val="20"/>
                <w:szCs w:val="20"/>
                <w:color w:val="auto"/>
              </w:rPr>
            </w:pPr>
            <w:r>
              <w:rPr>
                <w:rFonts w:ascii="Times New Roman" w:cs="Times New Roman" w:eastAsia="Times New Roman" w:hAnsi="Times New Roman"/>
                <w:sz w:val="17"/>
                <w:szCs w:val="17"/>
                <w:color w:val="0000EE"/>
              </w:rPr>
              <w:t>dated May 18, 2024.</w:t>
            </w:r>
          </w:p>
        </w:tc>
        <w:tc>
          <w:tcPr>
            <w:tcW w:w="854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10.28†</w:t>
            </w:r>
          </w:p>
        </w:tc>
        <w:tc>
          <w:tcPr>
            <w:tcW w:w="540" w:type="dxa"/>
            <w:vAlign w:val="bottom"/>
          </w:tcPr>
          <w:p>
            <w:pPr>
              <w:spacing w:after="0"/>
              <w:rPr>
                <w:sz w:val="24"/>
                <w:szCs w:val="24"/>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Data License Agreement by and between the Registrant and Pegasos Corp., dated May 18, 2024.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10.29†</w:t>
            </w:r>
          </w:p>
        </w:tc>
        <w:tc>
          <w:tcPr>
            <w:tcW w:w="540" w:type="dxa"/>
            <w:vAlign w:val="bottom"/>
          </w:tcPr>
          <w:p>
            <w:pPr>
              <w:spacing w:after="0"/>
              <w:rPr>
                <w:sz w:val="24"/>
                <w:szCs w:val="24"/>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Intellectual Property License Agreement, by and between the Registrant and Pegasos Corp., dated May 18, 2024.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10.30†</w:t>
            </w:r>
          </w:p>
        </w:tc>
        <w:tc>
          <w:tcPr>
            <w:tcW w:w="540" w:type="dxa"/>
            <w:vAlign w:val="bottom"/>
          </w:tcPr>
          <w:p>
            <w:pPr>
              <w:spacing w:after="0"/>
              <w:rPr>
                <w:sz w:val="24"/>
                <w:szCs w:val="24"/>
                <w:color w:val="auto"/>
              </w:rPr>
            </w:pPr>
          </w:p>
        </w:tc>
        <w:tc>
          <w:tcPr>
            <w:tcW w:w="96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rPr>
              <w:t>Amendment No. 1 to Strategic Collaboration Agreement, by and between the Registrant and GlaxoSmithKline LLC, dated May 20, 2024.</w:t>
            </w:r>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21.1</w:t>
            </w:r>
          </w:p>
        </w:tc>
        <w:tc>
          <w:tcPr>
            <w:tcW w:w="540" w:type="dxa"/>
            <w:vAlign w:val="bottom"/>
          </w:tcPr>
          <w:p>
            <w:pPr>
              <w:spacing w:after="0"/>
              <w:rPr>
                <w:sz w:val="24"/>
                <w:szCs w:val="24"/>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List of Subsidiaries of the Registrant.</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23.1</w:t>
            </w:r>
          </w:p>
        </w:tc>
        <w:tc>
          <w:tcPr>
            <w:tcW w:w="540" w:type="dxa"/>
            <w:vAlign w:val="bottom"/>
          </w:tcPr>
          <w:p>
            <w:pPr>
              <w:spacing w:after="0"/>
              <w:rPr>
                <w:sz w:val="24"/>
                <w:szCs w:val="24"/>
                <w:color w:val="auto"/>
              </w:rPr>
            </w:pPr>
          </w:p>
        </w:tc>
        <w:tc>
          <w:tcPr>
            <w:tcW w:w="62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Consent of PricewaterhouseCoopers, LLP, independent registered public accounting firm.</w:t>
            </w:r>
          </w:p>
        </w:tc>
        <w:tc>
          <w:tcPr>
            <w:tcW w:w="37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23.2</w:t>
            </w:r>
          </w:p>
        </w:tc>
        <w:tc>
          <w:tcPr>
            <w:tcW w:w="540" w:type="dxa"/>
            <w:vAlign w:val="bottom"/>
          </w:tcPr>
          <w:p>
            <w:pPr>
              <w:spacing w:after="0"/>
              <w:rPr>
                <w:sz w:val="24"/>
                <w:szCs w:val="24"/>
                <w:color w:val="auto"/>
              </w:rPr>
            </w:pPr>
          </w:p>
        </w:tc>
        <w:tc>
          <w:tcPr>
            <w:tcW w:w="998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Consent of Cooley LLP (included in Exhibit 5.1).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30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24.1*</w:t>
            </w:r>
          </w:p>
        </w:tc>
        <w:tc>
          <w:tcPr>
            <w:tcW w:w="540" w:type="dxa"/>
            <w:vAlign w:val="bottom"/>
          </w:tcPr>
          <w:p>
            <w:pPr>
              <w:spacing w:after="0"/>
              <w:rPr>
                <w:sz w:val="24"/>
                <w:szCs w:val="24"/>
                <w:color w:val="auto"/>
              </w:rPr>
            </w:pPr>
          </w:p>
        </w:tc>
        <w:tc>
          <w:tcPr>
            <w:tcW w:w="69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Power of Attorney (included on the signature page of the initial filing of this registration statement).</w:t>
            </w:r>
          </w:p>
        </w:tc>
        <w:tc>
          <w:tcPr>
            <w:tcW w:w="30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140" w:hanging="1135"/>
        <w:spacing w:after="0"/>
        <w:tabs>
          <w:tab w:leader="none" w:pos="11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886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90" w:lineRule="exact"/>
        <w:rPr>
          <w:sz w:val="20"/>
          <w:szCs w:val="20"/>
          <w:color w:val="auto"/>
        </w:rPr>
      </w:pPr>
    </w:p>
    <w:p>
      <w:pPr>
        <w:ind w:left="440" w:hanging="435"/>
        <w:spacing w:after="0"/>
        <w:tabs>
          <w:tab w:leader="none" w:pos="44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w:t>
      </w:r>
    </w:p>
    <w:p>
      <w:pPr>
        <w:spacing w:after="0" w:line="32" w:lineRule="exact"/>
        <w:rPr>
          <w:sz w:val="20"/>
          <w:szCs w:val="20"/>
          <w:color w:val="auto"/>
        </w:rPr>
      </w:pPr>
    </w:p>
    <w:p>
      <w:pPr>
        <w:ind w:left="440" w:hanging="435"/>
        <w:spacing w:after="0"/>
        <w:tabs>
          <w:tab w:leader="none" w:pos="4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w:t>
      </w:r>
    </w:p>
    <w:p>
      <w:pPr>
        <w:spacing w:after="0" w:line="14" w:lineRule="exact"/>
        <w:rPr>
          <w:sz w:val="20"/>
          <w:szCs w:val="20"/>
          <w:color w:val="auto"/>
        </w:rPr>
      </w:pPr>
    </w:p>
    <w:p>
      <w:pPr>
        <w:ind w:left="440" w:hanging="435"/>
        <w:spacing w:after="0" w:line="256" w:lineRule="auto"/>
        <w:tabs>
          <w:tab w:leader="none" w:pos="4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(indicated by asterisks) have been omitted because they are not material and are the type that the registrant treats as private or confidential.</w:t>
      </w:r>
    </w:p>
    <w:p>
      <w:pPr>
        <w:spacing w:after="0" w:line="1" w:lineRule="exact"/>
        <w:rPr>
          <w:sz w:val="20"/>
          <w:szCs w:val="20"/>
          <w:color w:val="auto"/>
        </w:rPr>
      </w:pPr>
    </w:p>
    <w:p>
      <w:pPr>
        <w:ind w:left="440" w:right="20" w:hanging="435"/>
        <w:spacing w:after="0" w:line="273" w:lineRule="auto"/>
        <w:tabs>
          <w:tab w:leader="none" w:pos="4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to this exhibit have been omitted pursuant to Item 601(a)(5) of Regulation S-K. A copy of any omitted schedule and/or exhibit will be furnished to the SEC upon request.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ectPr>
          <w:pgSz w:w="11900" w:h="16838" w:orient="portrait"/>
          <w:cols w:equalWidth="0" w:num="1">
            <w:col w:w="11300"/>
          </w:cols>
          <w:pgMar w:left="320" w:top="446" w:right="27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firstLine="451"/>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Chicago, Illinois, on this 5th day of June, 2024.</w:t>
      </w:r>
    </w:p>
    <w:p>
      <w:pPr>
        <w:spacing w:after="0" w:line="1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264" w:lineRule="exact"/>
        <w:rPr>
          <w:sz w:val="20"/>
          <w:szCs w:val="20"/>
          <w:color w:val="auto"/>
        </w:rPr>
      </w:pPr>
    </w:p>
    <w:tbl>
      <w:tblPr>
        <w:tblLayout w:type="fixed"/>
        <w:tblInd w:w="678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Eric Lefkofsky</w:t>
            </w:r>
          </w:p>
        </w:tc>
      </w:tr>
      <w:tr>
        <w:trPr>
          <w:trHeight w:val="19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Eric Lefkofsky</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Founder and Chairman</w:t>
            </w:r>
          </w:p>
        </w:tc>
      </w:tr>
    </w:tbl>
    <w:p>
      <w:pPr>
        <w:spacing w:after="0" w:line="191"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900" w:type="dxa"/>
            <w:vAlign w:val="bottom"/>
          </w:tcPr>
          <w:p>
            <w:pPr>
              <w:spacing w:after="0"/>
              <w:rPr>
                <w:sz w:val="14"/>
                <w:szCs w:val="14"/>
                <w:color w:val="auto"/>
              </w:rPr>
            </w:pPr>
          </w:p>
        </w:tc>
        <w:tc>
          <w:tcPr>
            <w:tcW w:w="156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Eric Lefkofsky</w:t>
            </w:r>
          </w:p>
        </w:tc>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Chief Executive Officer, Founder and Chairman</w:t>
            </w:r>
          </w:p>
        </w:tc>
        <w:tc>
          <w:tcPr>
            <w:tcW w:w="1560" w:type="dxa"/>
            <w:vAlign w:val="bottom"/>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1"/>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Eric Lefkofsky</w:t>
            </w:r>
          </w:p>
        </w:tc>
        <w:tc>
          <w:tcPr>
            <w:tcW w:w="2240" w:type="dxa"/>
            <w:vAlign w:val="bottom"/>
          </w:tcPr>
          <w:p>
            <w:pPr>
              <w:spacing w:after="0"/>
              <w:rPr>
                <w:sz w:val="19"/>
                <w:szCs w:val="19"/>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560" w:type="dxa"/>
            <w:vAlign w:val="bottom"/>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1"/>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Rogers</w:t>
            </w:r>
          </w:p>
        </w:tc>
        <w:tc>
          <w:tcPr>
            <w:tcW w:w="2240" w:type="dxa"/>
            <w:vAlign w:val="bottom"/>
          </w:tcPr>
          <w:p>
            <w:pPr>
              <w:spacing w:after="0"/>
              <w:rPr>
                <w:sz w:val="19"/>
                <w:szCs w:val="19"/>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Chief Accounting Officer</w:t>
            </w:r>
          </w:p>
        </w:tc>
        <w:tc>
          <w:tcPr>
            <w:tcW w:w="1560" w:type="dxa"/>
            <w:vAlign w:val="bottom"/>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1"/>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Ryan Bartolucci</w:t>
            </w:r>
          </w:p>
        </w:tc>
        <w:tc>
          <w:tcPr>
            <w:tcW w:w="2240" w:type="dxa"/>
            <w:vAlign w:val="bottom"/>
          </w:tcPr>
          <w:p>
            <w:pPr>
              <w:spacing w:after="0"/>
              <w:rPr>
                <w:sz w:val="19"/>
                <w:szCs w:val="19"/>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Accounting Officer</w:t>
            </w: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560" w:type="dxa"/>
            <w:vAlign w:val="bottom"/>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0"/>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J. Barris</w:t>
            </w:r>
          </w:p>
        </w:tc>
        <w:tc>
          <w:tcPr>
            <w:tcW w:w="2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560" w:type="dxa"/>
            <w:vAlign w:val="bottom"/>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0"/>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Eric D. Belcher</w:t>
            </w:r>
          </w:p>
        </w:tc>
        <w:tc>
          <w:tcPr>
            <w:tcW w:w="2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1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560" w:type="dxa"/>
            <w:vAlign w:val="bottom"/>
            <w:gridSpan w:val="3"/>
          </w:tcPr>
          <w:p>
            <w:pPr>
              <w:jc w:val="center"/>
              <w:ind w:left="5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0"/>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Jennifer A. Doudna, Ph.D.</w:t>
            </w:r>
          </w:p>
        </w:tc>
        <w:tc>
          <w:tcPr>
            <w:tcW w:w="2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48"/>
        </w:trPr>
        <w:tc>
          <w:tcPr>
            <w:tcW w:w="2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II-7</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00"/>
          </w:cols>
          <w:pgMar w:left="320" w:top="446" w:right="27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3460" w:type="dxa"/>
            <w:vAlign w:val="bottom"/>
            <w:gridSpan w:val="3"/>
          </w:tcPr>
          <w:p>
            <w:pPr>
              <w:jc w:val="center"/>
              <w:ind w:left="249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1"/>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60" w:type="dxa"/>
            <w:vAlign w:val="bottom"/>
          </w:tcPr>
          <w:p>
            <w:pPr>
              <w:jc w:val="right"/>
              <w:ind w:right="1173"/>
              <w:spacing w:after="0"/>
              <w:rPr>
                <w:sz w:val="20"/>
                <w:szCs w:val="20"/>
                <w:color w:val="auto"/>
              </w:rPr>
            </w:pPr>
            <w:r>
              <w:rPr>
                <w:rFonts w:ascii="Times New Roman" w:cs="Times New Roman" w:eastAsia="Times New Roman" w:hAnsi="Times New Roman"/>
                <w:sz w:val="17"/>
                <w:szCs w:val="17"/>
                <w:color w:val="auto"/>
              </w:rPr>
              <w:t>Director</w:t>
            </w:r>
          </w:p>
        </w:tc>
        <w:tc>
          <w:tcPr>
            <w:tcW w:w="280" w:type="dxa"/>
            <w:vAlign w:val="bottom"/>
          </w:tcPr>
          <w:p>
            <w:pPr>
              <w:spacing w:after="0"/>
              <w:rPr>
                <w:sz w:val="24"/>
                <w:szCs w:val="24"/>
                <w:color w:val="auto"/>
              </w:rPr>
            </w:pPr>
          </w:p>
        </w:tc>
        <w:tc>
          <w:tcPr>
            <w:tcW w:w="3460" w:type="dxa"/>
            <w:vAlign w:val="bottom"/>
            <w:gridSpan w:val="3"/>
          </w:tcPr>
          <w:p>
            <w:pPr>
              <w:jc w:val="center"/>
              <w:ind w:left="24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0"/>
        </w:trPr>
        <w:tc>
          <w:tcPr>
            <w:tcW w:w="2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David R. Epstein</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7"/>
                <w:szCs w:val="17"/>
                <w:color w:val="auto"/>
              </w:rPr>
              <w:t>Director</w:t>
            </w:r>
          </w:p>
        </w:tc>
        <w:tc>
          <w:tcPr>
            <w:tcW w:w="3460" w:type="dxa"/>
            <w:vAlign w:val="bottom"/>
            <w:gridSpan w:val="3"/>
          </w:tcPr>
          <w:p>
            <w:pPr>
              <w:jc w:val="center"/>
              <w:ind w:left="24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0"/>
        </w:trPr>
        <w:tc>
          <w:tcPr>
            <w:tcW w:w="2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Wayne A.I. Frederick, M.D.</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7"/>
                <w:szCs w:val="17"/>
                <w:color w:val="auto"/>
              </w:rPr>
              <w:t>Director</w:t>
            </w:r>
          </w:p>
        </w:tc>
        <w:tc>
          <w:tcPr>
            <w:tcW w:w="3460" w:type="dxa"/>
            <w:vAlign w:val="bottom"/>
            <w:gridSpan w:val="3"/>
          </w:tcPr>
          <w:p>
            <w:pPr>
              <w:jc w:val="center"/>
              <w:ind w:left="24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0"/>
        </w:trPr>
        <w:tc>
          <w:tcPr>
            <w:tcW w:w="2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Robert Ghenchev</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7"/>
                <w:szCs w:val="17"/>
                <w:color w:val="auto"/>
              </w:rPr>
              <w:t>Director</w:t>
            </w:r>
          </w:p>
        </w:tc>
        <w:tc>
          <w:tcPr>
            <w:tcW w:w="3460" w:type="dxa"/>
            <w:vAlign w:val="bottom"/>
            <w:gridSpan w:val="3"/>
          </w:tcPr>
          <w:p>
            <w:pPr>
              <w:jc w:val="center"/>
              <w:ind w:left="24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0"/>
        </w:trPr>
        <w:tc>
          <w:tcPr>
            <w:tcW w:w="2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Scott Gottlieb, M.D.</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7"/>
                <w:szCs w:val="17"/>
                <w:color w:val="auto"/>
              </w:rPr>
              <w:t>Director</w:t>
            </w:r>
          </w:p>
        </w:tc>
        <w:tc>
          <w:tcPr>
            <w:tcW w:w="3460" w:type="dxa"/>
            <w:vAlign w:val="bottom"/>
            <w:gridSpan w:val="3"/>
          </w:tcPr>
          <w:p>
            <w:pPr>
              <w:jc w:val="center"/>
              <w:ind w:left="24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0"/>
        </w:trPr>
        <w:tc>
          <w:tcPr>
            <w:tcW w:w="2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Theodore J. Leonsis</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1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7"/>
                <w:szCs w:val="17"/>
                <w:color w:val="auto"/>
              </w:rPr>
              <w:t>Director</w:t>
            </w:r>
          </w:p>
        </w:tc>
        <w:tc>
          <w:tcPr>
            <w:tcW w:w="3460" w:type="dxa"/>
            <w:vAlign w:val="bottom"/>
            <w:gridSpan w:val="3"/>
          </w:tcPr>
          <w:p>
            <w:pPr>
              <w:jc w:val="center"/>
              <w:ind w:left="2495"/>
              <w:spacing w:after="0"/>
              <w:rPr>
                <w:sz w:val="20"/>
                <w:szCs w:val="20"/>
                <w:color w:val="auto"/>
              </w:rPr>
            </w:pPr>
            <w:r>
              <w:rPr>
                <w:rFonts w:ascii="Times New Roman" w:cs="Times New Roman" w:eastAsia="Times New Roman" w:hAnsi="Times New Roman"/>
                <w:sz w:val="17"/>
                <w:szCs w:val="17"/>
                <w:color w:val="auto"/>
              </w:rPr>
              <w:t>June 5, 2024</w:t>
            </w:r>
          </w:p>
        </w:tc>
      </w:tr>
      <w:tr>
        <w:trPr>
          <w:trHeight w:val="220"/>
        </w:trPr>
        <w:tc>
          <w:tcPr>
            <w:tcW w:w="2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Nadja West, M.D.</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9"/>
        </w:trPr>
        <w:tc>
          <w:tcPr>
            <w:tcW w:w="2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/s/ Eric Lefkofsky</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7"/>
        </w:trPr>
        <w:tc>
          <w:tcPr>
            <w:tcW w:w="500" w:type="dxa"/>
            <w:vAlign w:val="bottom"/>
          </w:tcPr>
          <w:p>
            <w:pPr>
              <w:spacing w:after="0"/>
              <w:rPr>
                <w:sz w:val="17"/>
                <w:szCs w:val="17"/>
                <w:color w:val="auto"/>
              </w:rPr>
            </w:pPr>
          </w:p>
        </w:tc>
        <w:tc>
          <w:tcPr>
            <w:tcW w:w="2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Eric Lefkofsky</w:t>
            </w:r>
          </w:p>
        </w:tc>
        <w:tc>
          <w:tcPr>
            <w:tcW w:w="16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7"/>
        </w:trPr>
        <w:tc>
          <w:tcPr>
            <w:tcW w:w="50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Attorney-in-Fact</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53"/>
        </w:trPr>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gridSpan w:val="2"/>
          </w:tcPr>
          <w:p>
            <w:pPr>
              <w:jc w:val="right"/>
              <w:ind w:right="1470"/>
              <w:spacing w:after="0"/>
              <w:rPr>
                <w:sz w:val="20"/>
                <w:szCs w:val="20"/>
                <w:color w:val="auto"/>
              </w:rPr>
            </w:pPr>
            <w:r>
              <w:rPr>
                <w:rFonts w:ascii="Times New Roman" w:cs="Times New Roman" w:eastAsia="Times New Roman" w:hAnsi="Times New Roman"/>
                <w:sz w:val="17"/>
                <w:szCs w:val="17"/>
                <w:color w:val="auto"/>
              </w:rPr>
              <w:t>II-8</w:t>
            </w: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780"/>
          </w:cols>
          <w:pgMar w:left="320" w:top="446" w:right="79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7"/>
          <w:szCs w:val="17"/>
          <w:b w:val="1"/>
          <w:bCs w:val="1"/>
          <w:color w:val="auto"/>
        </w:rPr>
        <w:t>Exhibit 1.1</w:t>
      </w:r>
    </w:p>
    <w:p>
      <w:pPr>
        <w:spacing w:after="0" w:line="200" w:lineRule="exact"/>
        <w:rPr>
          <w:sz w:val="20"/>
          <w:szCs w:val="20"/>
          <w:color w:val="auto"/>
        </w:rPr>
      </w:pPr>
    </w:p>
    <w:p>
      <w:pPr>
        <w:spacing w:after="0" w:line="23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Shares</w:t>
      </w:r>
    </w:p>
    <w:p>
      <w:pPr>
        <w:spacing w:after="0" w:line="22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2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b w:val="1"/>
          <w:bCs w:val="1"/>
          <w:color w:val="auto"/>
        </w:rPr>
        <w:t>CLASS A COMMON STOCK, PAR VALUE $0.0001 PER SHARE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June [●], 2024</w:t>
      </w:r>
    </w:p>
    <w:p>
      <w:pPr>
        <w:sectPr>
          <w:pgSz w:w="11900" w:h="16838" w:orient="portrait"/>
          <w:cols w:equalWidth="0" w:num="1">
            <w:col w:w="9840"/>
          </w:cols>
          <w:pgMar w:left="1440" w:top="119" w:right="61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June [●], 2024</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Allen &amp; Company LLC</w:t>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As Representatives of the several Underwriters named in Schedule I hereto</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c/o Morgan Stanley &amp; Co. LLC</w:t>
      </w:r>
    </w:p>
    <w:p>
      <w:pPr>
        <w:spacing w:after="0" w:line="32" w:lineRule="exact"/>
        <w:rPr>
          <w:sz w:val="20"/>
          <w:szCs w:val="20"/>
          <w:color w:val="auto"/>
        </w:rPr>
      </w:pPr>
    </w:p>
    <w:p>
      <w:pPr>
        <w:ind w:left="168" w:hanging="168"/>
        <w:spacing w:after="0"/>
        <w:tabs>
          <w:tab w:leader="none" w:pos="168"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1585 Broadway</w:t>
      </w:r>
    </w:p>
    <w:p>
      <w:pPr>
        <w:spacing w:after="0" w:line="25" w:lineRule="exact"/>
        <w:rPr>
          <w:rFonts w:ascii="Times New Roman" w:cs="Times New Roman" w:eastAsia="Times New Roman" w:hAnsi="Times New Roman"/>
          <w:sz w:val="16"/>
          <w:szCs w:val="16"/>
          <w:color w:val="auto"/>
        </w:rPr>
      </w:pPr>
    </w:p>
    <w:p>
      <w:pPr>
        <w:ind w:left="168" w:hanging="168"/>
        <w:spacing w:after="0"/>
        <w:tabs>
          <w:tab w:leader="none" w:pos="168"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New York, New York 10036</w:t>
      </w:r>
    </w:p>
    <w:p>
      <w:pPr>
        <w:spacing w:after="0" w:line="2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c/o J.P. Morgan Securities LLC</w:t>
      </w:r>
    </w:p>
    <w:p>
      <w:pPr>
        <w:spacing w:after="0" w:line="32" w:lineRule="exact"/>
        <w:rPr>
          <w:sz w:val="20"/>
          <w:szCs w:val="20"/>
          <w:color w:val="auto"/>
        </w:rPr>
      </w:pPr>
    </w:p>
    <w:p>
      <w:pPr>
        <w:ind w:left="168" w:hanging="168"/>
        <w:spacing w:after="0"/>
        <w:tabs>
          <w:tab w:leader="none" w:pos="168"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383 Madison Avenue</w:t>
      </w:r>
    </w:p>
    <w:p>
      <w:pPr>
        <w:spacing w:after="0" w:line="25" w:lineRule="exact"/>
        <w:rPr>
          <w:rFonts w:ascii="Times New Roman" w:cs="Times New Roman" w:eastAsia="Times New Roman" w:hAnsi="Times New Roman"/>
          <w:sz w:val="16"/>
          <w:szCs w:val="16"/>
          <w:color w:val="auto"/>
        </w:rPr>
      </w:pPr>
    </w:p>
    <w:p>
      <w:pPr>
        <w:ind w:left="168" w:hanging="168"/>
        <w:spacing w:after="0"/>
        <w:tabs>
          <w:tab w:leader="none" w:pos="168"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New York, New York 10179</w:t>
      </w:r>
    </w:p>
    <w:p>
      <w:pPr>
        <w:spacing w:after="0" w:line="2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c/o Allen &amp; Company LLC</w:t>
      </w:r>
    </w:p>
    <w:p>
      <w:pPr>
        <w:spacing w:after="0" w:line="32" w:lineRule="exact"/>
        <w:rPr>
          <w:sz w:val="20"/>
          <w:szCs w:val="20"/>
          <w:color w:val="auto"/>
        </w:rPr>
      </w:pPr>
    </w:p>
    <w:p>
      <w:pPr>
        <w:ind w:left="168" w:hanging="168"/>
        <w:spacing w:after="0"/>
        <w:tabs>
          <w:tab w:leader="none" w:pos="16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711 Fifth Avenue</w:t>
      </w:r>
    </w:p>
    <w:p>
      <w:pPr>
        <w:spacing w:after="0" w:line="25" w:lineRule="exact"/>
        <w:rPr>
          <w:rFonts w:ascii="Times New Roman" w:cs="Times New Roman" w:eastAsia="Times New Roman" w:hAnsi="Times New Roman"/>
          <w:sz w:val="16"/>
          <w:szCs w:val="16"/>
          <w:color w:val="auto"/>
        </w:rPr>
      </w:pPr>
    </w:p>
    <w:p>
      <w:pPr>
        <w:ind w:left="168" w:hanging="168"/>
        <w:spacing w:after="0"/>
        <w:tabs>
          <w:tab w:leader="none" w:pos="16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New York, New York 10022</w:t>
      </w:r>
    </w:p>
    <w:p>
      <w:pPr>
        <w:spacing w:after="0" w:line="2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21" w:lineRule="exact"/>
        <w:rPr>
          <w:sz w:val="20"/>
          <w:szCs w:val="20"/>
          <w:color w:val="auto"/>
        </w:rPr>
      </w:pPr>
    </w:p>
    <w:p>
      <w:pPr>
        <w:ind w:left="8" w:right="80" w:firstLine="426"/>
        <w:spacing w:after="0" w:line="298" w:lineRule="auto"/>
        <w:rPr>
          <w:sz w:val="20"/>
          <w:szCs w:val="20"/>
          <w:color w:val="auto"/>
        </w:rPr>
      </w:pPr>
      <w:r>
        <w:rPr>
          <w:rFonts w:ascii="Times New Roman" w:cs="Times New Roman" w:eastAsia="Times New Roman" w:hAnsi="Times New Roman"/>
          <w:sz w:val="17"/>
          <w:szCs w:val="17"/>
          <w:color w:val="auto"/>
        </w:rPr>
        <w:t>Tempus AI,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issue and sell to the several underwriters named in Schedule I hereto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an aggregate of [●] shares of its Class A common stock, par value $0.0001 per share (the “</w:t>
      </w:r>
      <w:r>
        <w:rPr>
          <w:rFonts w:ascii="Times New Roman" w:cs="Times New Roman" w:eastAsia="Times New Roman" w:hAnsi="Times New Roman"/>
          <w:sz w:val="17"/>
          <w:szCs w:val="17"/>
          <w:b w:val="1"/>
          <w:bCs w:val="1"/>
          <w:color w:val="auto"/>
        </w:rPr>
        <w:t>Firm Shares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8" w:firstLine="426"/>
        <w:spacing w:after="0" w:line="264" w:lineRule="auto"/>
        <w:rPr>
          <w:sz w:val="20"/>
          <w:szCs w:val="20"/>
          <w:color w:val="auto"/>
        </w:rPr>
      </w:pPr>
      <w:r>
        <w:rPr>
          <w:rFonts w:ascii="Times New Roman" w:cs="Times New Roman" w:eastAsia="Times New Roman" w:hAnsi="Times New Roman"/>
          <w:sz w:val="17"/>
          <w:szCs w:val="17"/>
          <w:color w:val="auto"/>
        </w:rPr>
        <w:t>The Company also proposes to issue and sell to the several Underwriters not more than an additional [●] shares of its Class A common stock, par value $0.0001 per share (the “</w:t>
      </w:r>
      <w:r>
        <w:rPr>
          <w:rFonts w:ascii="Times New Roman" w:cs="Times New Roman" w:eastAsia="Times New Roman" w:hAnsi="Times New Roman"/>
          <w:sz w:val="17"/>
          <w:szCs w:val="17"/>
          <w:b w:val="1"/>
          <w:bCs w:val="1"/>
          <w:color w:val="auto"/>
        </w:rPr>
        <w:t>Additional Shares</w:t>
      </w:r>
      <w:r>
        <w:rPr>
          <w:rFonts w:ascii="Times New Roman" w:cs="Times New Roman" w:eastAsia="Times New Roman" w:hAnsi="Times New Roman"/>
          <w:sz w:val="17"/>
          <w:szCs w:val="17"/>
          <w:color w:val="auto"/>
        </w:rPr>
        <w:t>”), if and to the extent that Morgan Stanley &amp; Co. LLC, J.P. Morgan Securities LLC and Allen &amp; Company LLC, as representatives of the several Underwriters (the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shall have determined to exercise, on behalf of the Underwriters, the right to purchase such shares of Class A common stock granted to the Underwriters in Section 2 hereof. The Firm Shares and the Additional Shares are hereinafter collectively referred to as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The shares of Class A common stock and Class B common stock, each par value $0.0001 per share, of the Company to be outstanding after giving effect to the sales contemplated hereby are hereinafter referred to as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432"/>
        <w:spacing w:after="0"/>
        <w:rPr>
          <w:sz w:val="20"/>
          <w:szCs w:val="20"/>
          <w:color w:val="auto"/>
        </w:rPr>
      </w:pPr>
      <w:r>
        <w:rPr>
          <w:rFonts w:ascii="Times New Roman" w:cs="Times New Roman" w:eastAsia="Times New Roman" w:hAnsi="Times New Roman"/>
          <w:sz w:val="17"/>
          <w:szCs w:val="17"/>
          <w:color w:val="auto"/>
        </w:rPr>
        <w:t>The Company has filed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a registration statement on Form S-1 (File</w:t>
      </w:r>
    </w:p>
    <w:p>
      <w:pPr>
        <w:spacing w:after="0" w:line="34" w:lineRule="exact"/>
        <w:rPr>
          <w:sz w:val="20"/>
          <w:szCs w:val="20"/>
          <w:color w:val="auto"/>
        </w:rPr>
      </w:pPr>
    </w:p>
    <w:p>
      <w:pPr>
        <w:ind w:left="8" w:right="440"/>
        <w:spacing w:after="0" w:line="273" w:lineRule="auto"/>
        <w:rPr>
          <w:sz w:val="20"/>
          <w:szCs w:val="20"/>
          <w:color w:val="auto"/>
        </w:rPr>
      </w:pPr>
      <w:r>
        <w:rPr>
          <w:rFonts w:ascii="Times New Roman" w:cs="Times New Roman" w:eastAsia="Times New Roman" w:hAnsi="Times New Roman"/>
          <w:sz w:val="17"/>
          <w:szCs w:val="17"/>
          <w:color w:val="auto"/>
        </w:rPr>
        <w:t>No. 333-279558), including a preliminary prospectus, relating to the Shares. The registration statement as amended at the time it became effective, including the information (if any) deemed to be part of the</w:t>
      </w:r>
    </w:p>
    <w:p>
      <w:pPr>
        <w:spacing w:after="0" w:line="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68"/>
          </w:cols>
          <w:pgMar w:left="612" w:top="264" w:right="619" w:bottom="1440" w:gutter="0" w:footer="0" w:header="0"/>
        </w:sectPr>
      </w:pPr>
    </w:p>
    <w:bookmarkStart w:id="335" w:name="page336"/>
    <w:bookmarkEnd w:id="335"/>
    <w:p>
      <w:pPr>
        <w:ind w:right="2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registration statement at the time of effectiveness pursuant to Rule 430A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is hereinafter referred to as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If the Company has filed an abbreviated registration statement to register additional shares of Common Stock pursuant to Rule 462(b) under the Securities Act (a “</w:t>
      </w:r>
      <w:r>
        <w:rPr>
          <w:rFonts w:ascii="Times New Roman" w:cs="Times New Roman" w:eastAsia="Times New Roman" w:hAnsi="Times New Roman"/>
          <w:sz w:val="17"/>
          <w:szCs w:val="17"/>
          <w:b w:val="1"/>
          <w:bCs w:val="1"/>
          <w:color w:val="auto"/>
        </w:rPr>
        <w:t>Rule 462 Registration Statement</w:t>
      </w:r>
      <w:r>
        <w:rPr>
          <w:rFonts w:ascii="Times New Roman" w:cs="Times New Roman" w:eastAsia="Times New Roman" w:hAnsi="Times New Roman"/>
          <w:sz w:val="17"/>
          <w:szCs w:val="17"/>
          <w:color w:val="auto"/>
        </w:rPr>
        <w:t>”), then any reference herein to the term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shall be deemed to include such Rule 462 Registration Statement.</w:t>
      </w:r>
    </w:p>
    <w:p>
      <w:pPr>
        <w:spacing w:after="0" w:line="173" w:lineRule="exact"/>
        <w:rPr>
          <w:sz w:val="20"/>
          <w:szCs w:val="20"/>
          <w:color w:val="auto"/>
        </w:rPr>
      </w:pPr>
    </w:p>
    <w:p>
      <w:pPr>
        <w:ind w:right="40" w:firstLine="426"/>
        <w:spacing w:after="0" w:line="262" w:lineRule="auto"/>
        <w:rPr>
          <w:sz w:val="20"/>
          <w:szCs w:val="20"/>
          <w:color w:val="auto"/>
        </w:rPr>
      </w:pPr>
      <w:r>
        <w:rPr>
          <w:rFonts w:ascii="Times New Roman" w:cs="Times New Roman" w:eastAsia="Times New Roman" w:hAnsi="Times New Roman"/>
          <w:sz w:val="17"/>
          <w:szCs w:val="17"/>
          <w:color w:val="auto"/>
        </w:rPr>
        <w:t>For purposes of this Underwriting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free writing prospectus</w:t>
      </w:r>
      <w:r>
        <w:rPr>
          <w:rFonts w:ascii="Times New Roman" w:cs="Times New Roman" w:eastAsia="Times New Roman" w:hAnsi="Times New Roman"/>
          <w:sz w:val="17"/>
          <w:szCs w:val="17"/>
          <w:color w:val="auto"/>
        </w:rPr>
        <w:t>” has the meaning set forth in Rule 405 under the Securities Act, “</w:t>
      </w:r>
      <w:r>
        <w:rPr>
          <w:rFonts w:ascii="Times New Roman" w:cs="Times New Roman" w:eastAsia="Times New Roman" w:hAnsi="Times New Roman"/>
          <w:sz w:val="17"/>
          <w:szCs w:val="17"/>
          <w:b w:val="1"/>
          <w:bCs w:val="1"/>
          <w:color w:val="auto"/>
        </w:rPr>
        <w:t>preliminary prospectus</w:t>
      </w:r>
      <w:r>
        <w:rPr>
          <w:rFonts w:ascii="Times New Roman" w:cs="Times New Roman" w:eastAsia="Times New Roman" w:hAnsi="Times New Roman"/>
          <w:sz w:val="17"/>
          <w:szCs w:val="17"/>
          <w:color w:val="auto"/>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Times New Roman" w:cs="Times New Roman" w:eastAsia="Times New Roman" w:hAnsi="Times New Roman"/>
          <w:sz w:val="17"/>
          <w:szCs w:val="17"/>
          <w:b w:val="1"/>
          <w:bCs w:val="1"/>
          <w:color w:val="auto"/>
        </w:rPr>
        <w:t>Time of Sale Prospectus</w:t>
      </w:r>
      <w:r>
        <w:rPr>
          <w:rFonts w:ascii="Times New Roman" w:cs="Times New Roman" w:eastAsia="Times New Roman" w:hAnsi="Times New Roman"/>
          <w:sz w:val="17"/>
          <w:szCs w:val="17"/>
          <w:color w:val="auto"/>
        </w:rPr>
        <w:t>” means the preliminary prospectus contained in the Registration Statement at the time of its effectiveness together with the documents and pricing information set forth in Schedule II hereto, and “</w:t>
      </w:r>
      <w:r>
        <w:rPr>
          <w:rFonts w:ascii="Times New Roman" w:cs="Times New Roman" w:eastAsia="Times New Roman" w:hAnsi="Times New Roman"/>
          <w:sz w:val="17"/>
          <w:szCs w:val="17"/>
          <w:b w:val="1"/>
          <w:bCs w:val="1"/>
          <w:color w:val="auto"/>
        </w:rPr>
        <w:t>broadly available road show</w:t>
      </w:r>
      <w:r>
        <w:rPr>
          <w:rFonts w:ascii="Times New Roman" w:cs="Times New Roman" w:eastAsia="Times New Roman" w:hAnsi="Times New Roman"/>
          <w:sz w:val="17"/>
          <w:szCs w:val="17"/>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i w:val="1"/>
          <w:iCs w:val="1"/>
          <w:color w:val="auto"/>
        </w:rPr>
        <w:t>Representations and Warranties</w:t>
      </w:r>
      <w:r>
        <w:rPr>
          <w:rFonts w:ascii="Times New Roman" w:cs="Times New Roman" w:eastAsia="Times New Roman" w:hAnsi="Times New Roman"/>
          <w:sz w:val="17"/>
          <w:szCs w:val="17"/>
          <w:color w:val="auto"/>
        </w:rPr>
        <w:t>. The Company represents and warrants to and agrees with each of the Underwriters that:</w:t>
      </w:r>
    </w:p>
    <w:p>
      <w:pPr>
        <w:spacing w:after="0" w:line="120" w:lineRule="exact"/>
        <w:rPr>
          <w:sz w:val="20"/>
          <w:szCs w:val="20"/>
          <w:color w:val="auto"/>
        </w:rPr>
      </w:pPr>
    </w:p>
    <w:p>
      <w:pPr>
        <w:ind w:left="420" w:right="100" w:firstLine="409"/>
        <w:spacing w:after="0" w:line="276" w:lineRule="auto"/>
        <w:rPr>
          <w:sz w:val="20"/>
          <w:szCs w:val="20"/>
          <w:color w:val="auto"/>
        </w:rPr>
      </w:pPr>
      <w:r>
        <w:rPr>
          <w:rFonts w:ascii="Times New Roman" w:cs="Times New Roman" w:eastAsia="Times New Roman" w:hAnsi="Times New Roman"/>
          <w:sz w:val="17"/>
          <w:szCs w:val="17"/>
          <w:color w:val="auto"/>
        </w:rPr>
        <w:t>(a)  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57" w:lineRule="exact"/>
        <w:rPr>
          <w:sz w:val="20"/>
          <w:szCs w:val="20"/>
          <w:color w:val="auto"/>
        </w:rPr>
      </w:pPr>
    </w:p>
    <w:p>
      <w:pPr>
        <w:ind w:left="420" w:firstLine="409"/>
        <w:spacing w:after="0" w:line="262" w:lineRule="auto"/>
        <w:rPr>
          <w:sz w:val="20"/>
          <w:szCs w:val="20"/>
          <w:color w:val="auto"/>
        </w:rPr>
      </w:pPr>
      <w:r>
        <w:rPr>
          <w:rFonts w:ascii="Times New Roman" w:cs="Times New Roman" w:eastAsia="Times New Roman" w:hAnsi="Times New Roman"/>
          <w:sz w:val="17"/>
          <w:szCs w:val="17"/>
          <w:color w:val="auto"/>
        </w:rPr>
        <w:t>(b)  (i)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applicable requirements of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as of the date</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60"/>
          </w:cols>
          <w:pgMar w:left="620" w:top="262" w:right="619" w:bottom="1440" w:gutter="0" w:footer="0" w:header="0"/>
        </w:sectPr>
      </w:pPr>
    </w:p>
    <w:bookmarkStart w:id="336" w:name="page337"/>
    <w:bookmarkEnd w:id="336"/>
    <w:p>
      <w:pPr>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of such amendment or supplement,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and as of the Closing Date (as defined in Section 4) and any Option Closing Date (as defined in Section 2)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70" w:lineRule="exact"/>
        <w:rPr>
          <w:sz w:val="20"/>
          <w:szCs w:val="20"/>
          <w:color w:val="auto"/>
        </w:rPr>
      </w:pPr>
    </w:p>
    <w:p>
      <w:pPr>
        <w:ind w:right="60" w:firstLine="409"/>
        <w:spacing w:after="0" w:line="261" w:lineRule="auto"/>
        <w:rPr>
          <w:sz w:val="20"/>
          <w:szCs w:val="20"/>
          <w:color w:val="auto"/>
        </w:rPr>
      </w:pPr>
      <w:r>
        <w:rPr>
          <w:rFonts w:ascii="Times New Roman" w:cs="Times New Roman" w:eastAsia="Times New Roman" w:hAnsi="Times New Roman"/>
          <w:sz w:val="17"/>
          <w:szCs w:val="17"/>
          <w:color w:val="auto"/>
        </w:rPr>
        <w:t>(c)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applicable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date of this Agreement, will comply as of the date of such filing, in all material respects with the applicable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73" w:lineRule="exact"/>
        <w:rPr>
          <w:sz w:val="20"/>
          <w:szCs w:val="20"/>
          <w:color w:val="auto"/>
        </w:rPr>
      </w:pPr>
    </w:p>
    <w:p>
      <w:pPr>
        <w:ind w:right="120" w:firstLine="409"/>
        <w:spacing w:after="0" w:line="263" w:lineRule="auto"/>
        <w:rPr>
          <w:sz w:val="20"/>
          <w:szCs w:val="20"/>
          <w:color w:val="auto"/>
        </w:rPr>
      </w:pPr>
      <w:r>
        <w:rPr>
          <w:rFonts w:ascii="Times New Roman" w:cs="Times New Roman" w:eastAsia="Times New Roman" w:hAnsi="Times New Roman"/>
          <w:sz w:val="17"/>
          <w:szCs w:val="17"/>
          <w:color w:val="auto"/>
        </w:rPr>
        <w:t>(d)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reasonably be expected to have a material adverse effect on the Company and its subsidiaries, taken as a whole.</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240"/>
          </w:cols>
          <w:pgMar w:left="1040" w:top="265" w:right="619" w:bottom="1440" w:gutter="0" w:footer="0" w:header="0"/>
        </w:sectPr>
      </w:pPr>
    </w:p>
    <w:bookmarkStart w:id="337" w:name="page338"/>
    <w:bookmarkEnd w:id="337"/>
    <w:p>
      <w:pPr>
        <w:ind w:firstLine="409"/>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  Each subsidiary (for the avoidance of doubt, all references in this Agreement to a “subsidiary” of the Company refers to a subsidiary of the Company that is required to be consolidated with the Company in the Company’s audited consolidated financial statements in accordance with generally accepted accounting principles in the United States (“</w:t>
      </w:r>
      <w:r>
        <w:rPr>
          <w:rFonts w:ascii="Times New Roman" w:cs="Times New Roman" w:eastAsia="Times New Roman" w:hAnsi="Times New Roman"/>
          <w:sz w:val="17"/>
          <w:szCs w:val="17"/>
          <w:b w:val="1"/>
          <w:bCs w:val="1"/>
          <w:color w:val="auto"/>
        </w:rPr>
        <w:t>U.S. GAAP</w:t>
      </w:r>
      <w:r>
        <w:rPr>
          <w:rFonts w:ascii="Times New Roman" w:cs="Times New Roman" w:eastAsia="Times New Roman" w:hAnsi="Times New Roman"/>
          <w:sz w:val="17"/>
          <w:szCs w:val="17"/>
          <w:color w:val="auto"/>
        </w:rPr>
        <w:t>”)) of the Company has been duly incorporated, organized or formed, is validly existing as a corporation or other business entity in good standing under the laws of the jurisdiction of its incorporation, organization or formation (to the extent that such concepts are applicable in such jurisdiction),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singly or in the aggregate, reasonably be expected to have a material adverse effect on the Company and its subsidiaries, taken as a whole; all of the issued and outstanding shares of capital stock or other equity interests of each subsidiary of the Company have been duly and validly authorized and issued, are fully paid and non-assessable (to the extent such concepts are applicable in such jurisdiction) and, to the extent directly or indirectly owned by the Company, are owned free and clear of all liens, encumbrances, equities or claims.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   This Agreement has been duly authorized, executed and delivered by the Company.</w:t>
      </w:r>
    </w:p>
    <w:p>
      <w:pPr>
        <w:spacing w:after="0" w:line="118" w:lineRule="exact"/>
        <w:rPr>
          <w:sz w:val="20"/>
          <w:szCs w:val="20"/>
          <w:color w:val="auto"/>
        </w:rPr>
      </w:pPr>
    </w:p>
    <w:p>
      <w:pPr>
        <w:ind w:right="200" w:firstLine="409"/>
        <w:spacing w:after="0" w:line="276" w:lineRule="auto"/>
        <w:rPr>
          <w:sz w:val="20"/>
          <w:szCs w:val="20"/>
          <w:color w:val="auto"/>
        </w:rPr>
      </w:pPr>
      <w:r>
        <w:rPr>
          <w:rFonts w:ascii="Times New Roman" w:cs="Times New Roman" w:eastAsia="Times New Roman" w:hAnsi="Times New Roman"/>
          <w:sz w:val="17"/>
          <w:szCs w:val="17"/>
          <w:color w:val="auto"/>
        </w:rPr>
        <w:t>(g)  The authorized capital stock of the Company conforms as to legal matters to the description thereof contained under the headings “Capitalization” and “Description of Capital Stock” in each of the Registration Statement, the Time of Sale Prospectus and the Prospectus as of the dates set forth therein.</w:t>
      </w:r>
    </w:p>
    <w:p>
      <w:pPr>
        <w:spacing w:after="0" w:line="57" w:lineRule="exact"/>
        <w:rPr>
          <w:sz w:val="20"/>
          <w:szCs w:val="20"/>
          <w:color w:val="auto"/>
        </w:rPr>
      </w:pPr>
    </w:p>
    <w:p>
      <w:pPr>
        <w:ind w:right="240" w:firstLine="409"/>
        <w:spacing w:after="0" w:line="295" w:lineRule="auto"/>
        <w:rPr>
          <w:sz w:val="20"/>
          <w:szCs w:val="20"/>
          <w:color w:val="auto"/>
        </w:rPr>
      </w:pPr>
      <w:r>
        <w:rPr>
          <w:rFonts w:ascii="Times New Roman" w:cs="Times New Roman" w:eastAsia="Times New Roman" w:hAnsi="Times New Roman"/>
          <w:sz w:val="17"/>
          <w:szCs w:val="17"/>
          <w:color w:val="auto"/>
        </w:rPr>
        <w:t>(h)  The shares of Common Stock outstanding prior to the issuance of the Shares have been duly authorized and are validly issued, fully paid and non-assessable.</w:t>
      </w:r>
    </w:p>
    <w:p>
      <w:pPr>
        <w:spacing w:after="0" w:line="42" w:lineRule="exact"/>
        <w:rPr>
          <w:sz w:val="20"/>
          <w:szCs w:val="20"/>
          <w:color w:val="auto"/>
        </w:rPr>
      </w:pPr>
    </w:p>
    <w:p>
      <w:pPr>
        <w:ind w:right="20" w:firstLine="409"/>
        <w:spacing w:after="0" w:line="276" w:lineRule="auto"/>
        <w:rPr>
          <w:sz w:val="20"/>
          <w:szCs w:val="20"/>
          <w:color w:val="auto"/>
        </w:rPr>
      </w:pPr>
      <w:r>
        <w:rPr>
          <w:rFonts w:ascii="Times New Roman" w:cs="Times New Roman" w:eastAsia="Times New Roman" w:hAnsi="Times New Roman"/>
          <w:sz w:val="17"/>
          <w:szCs w:val="17"/>
          <w:color w:val="auto"/>
        </w:rPr>
        <w:t>(i)  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w:t>
      </w:r>
    </w:p>
    <w:p>
      <w:pPr>
        <w:spacing w:after="0" w:line="9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200"/>
          </w:cols>
          <w:pgMar w:left="1040" w:top="264" w:right="659" w:bottom="1440" w:gutter="0" w:footer="0" w:header="0"/>
        </w:sectPr>
      </w:pPr>
    </w:p>
    <w:bookmarkStart w:id="338" w:name="page339"/>
    <w:bookmarkEnd w:id="338"/>
    <w:p>
      <w:pPr>
        <w:ind w:firstLine="409"/>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(j)  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as would not, singly or in the aggregate, reasonably be expected to have a material adverse effect on the Company and its subsidiaries, taken as a whole;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or the rules and regulations of the Financial Industry Regulatory Authority (“</w:t>
      </w:r>
      <w:r>
        <w:rPr>
          <w:rFonts w:ascii="Times New Roman" w:cs="Times New Roman" w:eastAsia="Times New Roman" w:hAnsi="Times New Roman"/>
          <w:sz w:val="17"/>
          <w:szCs w:val="17"/>
          <w:b w:val="1"/>
          <w:bCs w:val="1"/>
          <w:color w:val="auto"/>
        </w:rPr>
        <w:t>FINRA</w:t>
      </w:r>
      <w:r>
        <w:rPr>
          <w:rFonts w:ascii="Times New Roman" w:cs="Times New Roman" w:eastAsia="Times New Roman" w:hAnsi="Times New Roman"/>
          <w:sz w:val="17"/>
          <w:szCs w:val="17"/>
          <w:color w:val="auto"/>
        </w:rPr>
        <w:t>”) in connection with the offer and sale of the Shares.</w:t>
      </w:r>
    </w:p>
    <w:p>
      <w:pPr>
        <w:spacing w:after="0" w:line="73" w:lineRule="exact"/>
        <w:rPr>
          <w:sz w:val="20"/>
          <w:szCs w:val="20"/>
          <w:color w:val="auto"/>
        </w:rPr>
      </w:pPr>
    </w:p>
    <w:p>
      <w:pPr>
        <w:ind w:right="280" w:firstLine="409"/>
        <w:spacing w:after="0" w:line="276" w:lineRule="auto"/>
        <w:rPr>
          <w:sz w:val="20"/>
          <w:szCs w:val="20"/>
          <w:color w:val="auto"/>
        </w:rPr>
      </w:pPr>
      <w:r>
        <w:rPr>
          <w:rFonts w:ascii="Times New Roman" w:cs="Times New Roman" w:eastAsia="Times New Roman" w:hAnsi="Times New Roman"/>
          <w:sz w:val="17"/>
          <w:szCs w:val="17"/>
          <w:color w:val="auto"/>
        </w:rPr>
        <w:t>(k)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57" w:lineRule="exact"/>
        <w:rPr>
          <w:sz w:val="20"/>
          <w:szCs w:val="20"/>
          <w:color w:val="auto"/>
        </w:rPr>
      </w:pPr>
    </w:p>
    <w:p>
      <w:pPr>
        <w:ind w:firstLine="409"/>
        <w:spacing w:after="0" w:line="261" w:lineRule="auto"/>
        <w:rPr>
          <w:sz w:val="20"/>
          <w:szCs w:val="20"/>
          <w:color w:val="auto"/>
        </w:rPr>
      </w:pPr>
      <w:r>
        <w:rPr>
          <w:rFonts w:ascii="Times New Roman" w:cs="Times New Roman" w:eastAsia="Times New Roman" w:hAnsi="Times New Roman"/>
          <w:sz w:val="17"/>
          <w:szCs w:val="17"/>
          <w:color w:val="auto"/>
        </w:rPr>
        <w:t>(l)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to which the Company or its subsidiaries are subject or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70" w:lineRule="exact"/>
        <w:rPr>
          <w:sz w:val="20"/>
          <w:szCs w:val="20"/>
          <w:color w:val="auto"/>
        </w:rPr>
      </w:pPr>
    </w:p>
    <w:p>
      <w:pPr>
        <w:ind w:right="20" w:firstLine="409"/>
        <w:spacing w:after="0" w:line="276" w:lineRule="auto"/>
        <w:rPr>
          <w:sz w:val="20"/>
          <w:szCs w:val="20"/>
          <w:color w:val="auto"/>
        </w:rPr>
      </w:pPr>
      <w:r>
        <w:rPr>
          <w:rFonts w:ascii="Times New Roman" w:cs="Times New Roman" w:eastAsia="Times New Roman" w:hAnsi="Times New Roman"/>
          <w:sz w:val="17"/>
          <w:szCs w:val="17"/>
          <w:color w:val="auto"/>
        </w:rPr>
        <w:t>(m)  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220"/>
          </w:cols>
          <w:pgMar w:left="1040" w:top="264" w:right="639" w:bottom="1440" w:gutter="0" w:footer="0" w:header="0"/>
        </w:sectPr>
      </w:pPr>
    </w:p>
    <w:bookmarkStart w:id="339" w:name="page340"/>
    <w:bookmarkEnd w:id="339"/>
    <w:p>
      <w:pPr>
        <w:ind w:right="60" w:firstLine="409"/>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  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57" w:lineRule="exact"/>
        <w:rPr>
          <w:sz w:val="20"/>
          <w:szCs w:val="20"/>
          <w:color w:val="auto"/>
        </w:rPr>
      </w:pPr>
    </w:p>
    <w:p>
      <w:pPr>
        <w:ind w:firstLine="409"/>
        <w:spacing w:after="0" w:line="263" w:lineRule="auto"/>
        <w:rPr>
          <w:sz w:val="20"/>
          <w:szCs w:val="20"/>
          <w:color w:val="auto"/>
        </w:rPr>
      </w:pPr>
      <w:r>
        <w:rPr>
          <w:rFonts w:ascii="Times New Roman" w:cs="Times New Roman" w:eastAsia="Times New Roman" w:hAnsi="Times New Roman"/>
          <w:sz w:val="17"/>
          <w:szCs w:val="17"/>
          <w:color w:val="auto"/>
        </w:rPr>
        <w:t>(o)  The Company and its subsidiaries, taken as a whole, (i) are in compliance with any and all applicable foreign, federal, state and local laws and regulations relating to the protection of human health and safety, the environment or hazardous or toxic substances or wastes, pollutants or contaminants (collectively, “</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69" w:lineRule="exact"/>
        <w:rPr>
          <w:sz w:val="20"/>
          <w:szCs w:val="20"/>
          <w:color w:val="auto"/>
        </w:rPr>
      </w:pPr>
    </w:p>
    <w:p>
      <w:pPr>
        <w:ind w:right="120" w:firstLine="409"/>
        <w:spacing w:after="0" w:line="269" w:lineRule="auto"/>
        <w:rPr>
          <w:sz w:val="20"/>
          <w:szCs w:val="20"/>
          <w:color w:val="auto"/>
        </w:rPr>
      </w:pPr>
      <w:r>
        <w:rPr>
          <w:rFonts w:ascii="Times New Roman" w:cs="Times New Roman" w:eastAsia="Times New Roman" w:hAnsi="Times New Roman"/>
          <w:sz w:val="17"/>
          <w:szCs w:val="17"/>
          <w:color w:val="auto"/>
        </w:rPr>
        <w:t>(p)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65" w:lineRule="exact"/>
        <w:rPr>
          <w:sz w:val="20"/>
          <w:szCs w:val="20"/>
          <w:color w:val="auto"/>
        </w:rPr>
      </w:pPr>
    </w:p>
    <w:p>
      <w:pPr>
        <w:ind w:right="80" w:firstLine="409"/>
        <w:spacing w:after="0" w:line="266" w:lineRule="auto"/>
        <w:rPr>
          <w:sz w:val="20"/>
          <w:szCs w:val="20"/>
          <w:color w:val="auto"/>
        </w:rPr>
      </w:pPr>
      <w:r>
        <w:rPr>
          <w:rFonts w:ascii="Times New Roman" w:cs="Times New Roman" w:eastAsia="Times New Roman" w:hAnsi="Times New Roman"/>
          <w:sz w:val="17"/>
          <w:szCs w:val="17"/>
          <w:color w:val="auto"/>
        </w:rPr>
        <w:t>(q)  Except as have been waived or complied with in connection with the issuance and sale of the Shares contemplated hereby or as described in each of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67" w:lineRule="exact"/>
        <w:rPr>
          <w:sz w:val="20"/>
          <w:szCs w:val="20"/>
          <w:color w:val="auto"/>
        </w:rPr>
      </w:pPr>
    </w:p>
    <w:p>
      <w:pPr>
        <w:ind w:right="40" w:firstLine="409"/>
        <w:spacing w:after="0" w:line="263" w:lineRule="auto"/>
        <w:rPr>
          <w:sz w:val="20"/>
          <w:szCs w:val="20"/>
          <w:color w:val="auto"/>
        </w:rPr>
      </w:pPr>
      <w:r>
        <w:rPr>
          <w:rFonts w:ascii="Times New Roman" w:cs="Times New Roman" w:eastAsia="Times New Roman" w:hAnsi="Times New Roman"/>
          <w:sz w:val="17"/>
          <w:szCs w:val="17"/>
          <w:color w:val="auto"/>
        </w:rPr>
        <w:t>(r)  (i) None of the Company or any of its subsidiaries or Controlled Affiliates, or any director or officer thereof, or, to the Company’s knowledge, any employee, agent or representative while acting on behalf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7"/>
          <w:szCs w:val="17"/>
          <w:b w:val="1"/>
          <w:bCs w:val="1"/>
          <w:color w:val="auto"/>
        </w:rPr>
        <w:t>Government Official</w:t>
      </w:r>
      <w:r>
        <w:rPr>
          <w:rFonts w:ascii="Times New Roman" w:cs="Times New Roman" w:eastAsia="Times New Roman" w:hAnsi="Times New Roman"/>
          <w:sz w:val="17"/>
          <w:szCs w:val="17"/>
          <w:color w:val="auto"/>
        </w:rPr>
        <w:t>”) in order to influence official action, or to any person in violation of any applicable anti-corruption</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220"/>
          </w:cols>
          <w:pgMar w:left="1040" w:top="264" w:right="639" w:bottom="1440" w:gutter="0" w:footer="0" w:header="0"/>
        </w:sectPr>
      </w:pPr>
    </w:p>
    <w:bookmarkStart w:id="340" w:name="page341"/>
    <w:bookmarkEnd w:id="340"/>
    <w:p>
      <w:pPr>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laws; (ii) the Company and each of its subsidiaries and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A “</w:t>
      </w:r>
      <w:r>
        <w:rPr>
          <w:rFonts w:ascii="Times New Roman" w:cs="Times New Roman" w:eastAsia="Times New Roman" w:hAnsi="Times New Roman"/>
          <w:sz w:val="17"/>
          <w:szCs w:val="17"/>
          <w:b w:val="1"/>
          <w:bCs w:val="1"/>
          <w:color w:val="auto"/>
        </w:rPr>
        <w:t>Controlled Affiliate</w:t>
      </w:r>
      <w:r>
        <w:rPr>
          <w:rFonts w:ascii="Times New Roman" w:cs="Times New Roman" w:eastAsia="Times New Roman" w:hAnsi="Times New Roman"/>
          <w:sz w:val="17"/>
          <w:szCs w:val="17"/>
          <w:color w:val="auto"/>
        </w:rPr>
        <w:t>” means any entity controlled by the Company.</w:t>
      </w:r>
    </w:p>
    <w:p>
      <w:pPr>
        <w:spacing w:after="0" w:line="69" w:lineRule="exact"/>
        <w:rPr>
          <w:sz w:val="20"/>
          <w:szCs w:val="20"/>
          <w:color w:val="auto"/>
        </w:rPr>
      </w:pPr>
    </w:p>
    <w:p>
      <w:pPr>
        <w:ind w:firstLine="409"/>
        <w:spacing w:after="0" w:line="262" w:lineRule="auto"/>
        <w:rPr>
          <w:sz w:val="20"/>
          <w:szCs w:val="20"/>
          <w:color w:val="auto"/>
        </w:rPr>
      </w:pPr>
      <w:r>
        <w:rPr>
          <w:rFonts w:ascii="Times New Roman" w:cs="Times New Roman" w:eastAsia="Times New Roman" w:hAnsi="Times New Roman"/>
          <w:sz w:val="17"/>
          <w:szCs w:val="17"/>
          <w:color w:val="auto"/>
        </w:rPr>
        <w:t>(s)  The operations of the Company and each of its subsidiaries are and have been conducted at all times in material compliance with all applicable financial recordkeeping and reporting requirements, including to the extent applicable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having jurisdiction over the Company or any of its subsidiaries (collectively, the “</w:t>
      </w:r>
      <w:r>
        <w:rPr>
          <w:rFonts w:ascii="Times New Roman" w:cs="Times New Roman" w:eastAsia="Times New Roman" w:hAnsi="Times New Roman"/>
          <w:sz w:val="17"/>
          <w:szCs w:val="17"/>
          <w:b w:val="1"/>
          <w:bCs w:val="1"/>
          <w:color w:val="auto"/>
        </w:rPr>
        <w:t>Anti-Money Laundering Laws</w:t>
      </w:r>
      <w:r>
        <w:rPr>
          <w:rFonts w:ascii="Times New Roman" w:cs="Times New Roman" w:eastAsia="Times New Roman" w:hAnsi="Times New Roman"/>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70" w:lineRule="exact"/>
        <w:rPr>
          <w:sz w:val="20"/>
          <w:szCs w:val="20"/>
          <w:color w:val="auto"/>
        </w:rPr>
      </w:pPr>
    </w:p>
    <w:p>
      <w:pPr>
        <w:ind w:right="160" w:firstLine="409"/>
        <w:spacing w:after="0" w:line="276" w:lineRule="auto"/>
        <w:rPr>
          <w:sz w:val="20"/>
          <w:szCs w:val="20"/>
          <w:color w:val="auto"/>
        </w:rPr>
      </w:pPr>
      <w:r>
        <w:rPr>
          <w:rFonts w:ascii="Times New Roman" w:cs="Times New Roman" w:eastAsia="Times New Roman" w:hAnsi="Times New Roman"/>
          <w:sz w:val="17"/>
          <w:szCs w:val="17"/>
          <w:color w:val="auto"/>
        </w:rPr>
        <w:t>(t)  (i) None of the Company, any of its subsidiaries, or any director or officer thereof, or, to the Company’s knowledge, any employee, agent, affiliate or representative of the Company or any of its subsidiaries, is an individual or entity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that is, or is owned or controlled by one or more Persons that are:</w:t>
      </w:r>
    </w:p>
    <w:p>
      <w:pPr>
        <w:spacing w:after="0" w:line="57" w:lineRule="exact"/>
        <w:rPr>
          <w:sz w:val="20"/>
          <w:szCs w:val="20"/>
          <w:color w:val="auto"/>
        </w:rPr>
      </w:pPr>
    </w:p>
    <w:p>
      <w:pPr>
        <w:ind w:left="960" w:right="80" w:firstLine="371"/>
        <w:spacing w:after="0" w:line="276" w:lineRule="auto"/>
        <w:rPr>
          <w:sz w:val="20"/>
          <w:szCs w:val="20"/>
          <w:color w:val="auto"/>
        </w:rPr>
      </w:pPr>
      <w:r>
        <w:rPr>
          <w:rFonts w:ascii="Times New Roman" w:cs="Times New Roman" w:eastAsia="Times New Roman" w:hAnsi="Times New Roman"/>
          <w:sz w:val="17"/>
          <w:szCs w:val="17"/>
          <w:color w:val="auto"/>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or</w:t>
      </w:r>
    </w:p>
    <w:p>
      <w:pPr>
        <w:spacing w:after="0" w:line="57" w:lineRule="exact"/>
        <w:rPr>
          <w:sz w:val="20"/>
          <w:szCs w:val="20"/>
          <w:color w:val="auto"/>
        </w:rPr>
      </w:pPr>
    </w:p>
    <w:p>
      <w:pPr>
        <w:ind w:left="960" w:right="160" w:firstLine="371"/>
        <w:spacing w:after="0" w:line="269" w:lineRule="auto"/>
        <w:rPr>
          <w:sz w:val="20"/>
          <w:szCs w:val="20"/>
          <w:color w:val="auto"/>
        </w:rPr>
      </w:pPr>
      <w:r>
        <w:rPr>
          <w:rFonts w:ascii="Times New Roman" w:cs="Times New Roman" w:eastAsia="Times New Roman" w:hAnsi="Times New Roman"/>
          <w:sz w:val="17"/>
          <w:szCs w:val="17"/>
          <w:color w:val="auto"/>
        </w:rPr>
        <w:t>(B)  located, organized or resident in a country or territory that is the subject of Sanctions (including, without limitation, the so-called Donetsk People’s Republic, the so-called Luhansk People’s Republic or any other Covered Region of Ukraine identified pursuant to Executive Order 14065, the Crimea region of Ukraine, non-government controlled areas of the Kherson and Zaporizhzhia regions of Ukraine, Cuba, Iran, North Korea and Syria).</w:t>
      </w:r>
    </w:p>
    <w:p>
      <w:pPr>
        <w:spacing w:after="0" w:line="10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200"/>
          </w:cols>
          <w:pgMar w:left="1040" w:top="265" w:right="659" w:bottom="1440" w:gutter="0" w:footer="0" w:header="0"/>
        </w:sectPr>
      </w:pPr>
    </w:p>
    <w:bookmarkStart w:id="341" w:name="page342"/>
    <w:bookmarkEnd w:id="341"/>
    <w:p>
      <w:pPr>
        <w:ind w:left="540" w:right="180" w:firstLine="388"/>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(ii)  The Company will not, directly or indirectly, use the proceeds of the offering, or lend, contribute or otherwise make available such proceeds to any subsidiary, joint venture partner or other Person:</w:t>
      </w:r>
    </w:p>
    <w:p>
      <w:pPr>
        <w:spacing w:after="0" w:line="42" w:lineRule="exact"/>
        <w:rPr>
          <w:sz w:val="20"/>
          <w:szCs w:val="20"/>
          <w:color w:val="auto"/>
        </w:rPr>
      </w:pPr>
    </w:p>
    <w:p>
      <w:pPr>
        <w:ind w:left="960" w:right="80" w:firstLine="371"/>
        <w:spacing w:after="0" w:line="295" w:lineRule="auto"/>
        <w:rPr>
          <w:sz w:val="20"/>
          <w:szCs w:val="20"/>
          <w:color w:val="auto"/>
        </w:rPr>
      </w:pPr>
      <w:r>
        <w:rPr>
          <w:rFonts w:ascii="Times New Roman" w:cs="Times New Roman" w:eastAsia="Times New Roman" w:hAnsi="Times New Roman"/>
          <w:sz w:val="17"/>
          <w:szCs w:val="17"/>
          <w:color w:val="auto"/>
        </w:rPr>
        <w:t>(A)  to fund or facilitate any activities or business of or with any Person or in any country or territory that, at the time of such funding or facilitation, is the subject of Sanctions; or</w:t>
      </w:r>
    </w:p>
    <w:p>
      <w:pPr>
        <w:spacing w:after="0" w:line="42" w:lineRule="exact"/>
        <w:rPr>
          <w:sz w:val="20"/>
          <w:szCs w:val="20"/>
          <w:color w:val="auto"/>
        </w:rPr>
      </w:pPr>
    </w:p>
    <w:p>
      <w:pPr>
        <w:ind w:left="960" w:right="200" w:firstLine="371"/>
        <w:spacing w:after="0" w:line="295" w:lineRule="auto"/>
        <w:rPr>
          <w:sz w:val="20"/>
          <w:szCs w:val="20"/>
          <w:color w:val="auto"/>
        </w:rPr>
      </w:pPr>
      <w:r>
        <w:rPr>
          <w:rFonts w:ascii="Times New Roman" w:cs="Times New Roman" w:eastAsia="Times New Roman" w:hAnsi="Times New Roman"/>
          <w:sz w:val="17"/>
          <w:szCs w:val="17"/>
          <w:color w:val="auto"/>
        </w:rPr>
        <w:t>(B)  in any other manner that will result in a violation of Sanctions by any Person (including any Person participating in the offering, whether as underwriter, advisor, investor or otherwise).</w:t>
      </w:r>
    </w:p>
    <w:p>
      <w:pPr>
        <w:spacing w:after="0" w:line="42" w:lineRule="exact"/>
        <w:rPr>
          <w:sz w:val="20"/>
          <w:szCs w:val="20"/>
          <w:color w:val="auto"/>
        </w:rPr>
      </w:pPr>
    </w:p>
    <w:p>
      <w:pPr>
        <w:jc w:val="both"/>
        <w:ind w:left="540" w:right="440" w:firstLine="388"/>
        <w:spacing w:after="0" w:line="276" w:lineRule="auto"/>
        <w:rPr>
          <w:sz w:val="20"/>
          <w:szCs w:val="20"/>
          <w:color w:val="auto"/>
        </w:rPr>
      </w:pPr>
      <w:r>
        <w:rPr>
          <w:rFonts w:ascii="Times New Roman" w:cs="Times New Roman" w:eastAsia="Times New Roman" w:hAnsi="Times New Roman"/>
          <w:sz w:val="17"/>
          <w:szCs w:val="17"/>
          <w:color w:val="auto"/>
        </w:rPr>
        <w:t>(iii)  For the past five years,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57" w:lineRule="exact"/>
        <w:rPr>
          <w:sz w:val="20"/>
          <w:szCs w:val="20"/>
          <w:color w:val="auto"/>
        </w:rPr>
      </w:pPr>
    </w:p>
    <w:p>
      <w:pPr>
        <w:ind w:firstLine="409"/>
        <w:spacing w:after="0" w:line="261" w:lineRule="auto"/>
        <w:rPr>
          <w:sz w:val="20"/>
          <w:szCs w:val="20"/>
          <w:color w:val="auto"/>
        </w:rPr>
      </w:pPr>
      <w:r>
        <w:rPr>
          <w:rFonts w:ascii="Times New Roman" w:cs="Times New Roman" w:eastAsia="Times New Roman" w:hAnsi="Times New Roman"/>
          <w:sz w:val="17"/>
          <w:szCs w:val="17"/>
          <w:color w:val="auto"/>
        </w:rPr>
        <w:t>(u)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(other than through the exercise or settlement of equity awards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each of the Registration Statement, the Time of Sale Prospectus and the Prospectus), nor declared, paid or otherwise made any dividend or distribution of any kind on its capital stock (other than ordinary and customary dividends and such other dividends or distributions disclosed in each of the Registration Statement, the Time of Sale Prospectus and the Prospectus); and (iii) there has not been any material change in the capital stock, short-term debt or long-term debt of the Company and its subsidiaries, taken as a whole, except in each case as described in each of the Registration Statement, the Time of Sale Prospectus and the Prospectus.</w:t>
      </w:r>
    </w:p>
    <w:p>
      <w:pPr>
        <w:spacing w:after="0" w:line="70" w:lineRule="exact"/>
        <w:rPr>
          <w:sz w:val="20"/>
          <w:szCs w:val="20"/>
          <w:color w:val="auto"/>
        </w:rPr>
      </w:pPr>
    </w:p>
    <w:p>
      <w:pPr>
        <w:ind w:right="160" w:firstLine="409"/>
        <w:spacing w:after="0" w:line="266" w:lineRule="auto"/>
        <w:rPr>
          <w:sz w:val="20"/>
          <w:szCs w:val="20"/>
          <w:color w:val="auto"/>
        </w:rPr>
      </w:pPr>
      <w:r>
        <w:rPr>
          <w:rFonts w:ascii="Times New Roman" w:cs="Times New Roman" w:eastAsia="Times New Roman" w:hAnsi="Times New Roman"/>
          <w:sz w:val="17"/>
          <w:szCs w:val="17"/>
          <w:color w:val="auto"/>
        </w:rPr>
        <w:t>(v)  The Company and its subsidiaries do not own any real property. The Company and each of its subsidiaries have good and marketable title to all personal property owned by them which is material to the business of the Company and its subsidiaries, taken as a whole,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220"/>
          </w:cols>
          <w:pgMar w:left="1040" w:top="265" w:right="639" w:bottom="1440" w:gutter="0" w:footer="0" w:header="0"/>
        </w:sectPr>
      </w:pPr>
    </w:p>
    <w:bookmarkStart w:id="342" w:name="page343"/>
    <w:bookmarkEnd w:id="342"/>
    <w:p>
      <w:pPr>
        <w:ind w:right="2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as are not material and do not materially interfere with the use made and proposed to be made of such property and buildings by the Company and its subsidiaries, in each case except as described in each of the Registration Statement, the Time of Sale Prospectus and the Prospectus.</w:t>
      </w:r>
    </w:p>
    <w:p>
      <w:pPr>
        <w:spacing w:after="0" w:line="42" w:lineRule="exact"/>
        <w:rPr>
          <w:sz w:val="20"/>
          <w:szCs w:val="20"/>
          <w:color w:val="auto"/>
        </w:rPr>
      </w:pPr>
    </w:p>
    <w:p>
      <w:pPr>
        <w:ind w:firstLine="409"/>
        <w:spacing w:after="0" w:line="258" w:lineRule="auto"/>
        <w:rPr>
          <w:sz w:val="20"/>
          <w:szCs w:val="20"/>
          <w:color w:val="auto"/>
        </w:rPr>
      </w:pPr>
      <w:r>
        <w:rPr>
          <w:rFonts w:ascii="Times New Roman" w:cs="Times New Roman" w:eastAsia="Times New Roman" w:hAnsi="Times New Roman"/>
          <w:sz w:val="17"/>
          <w:szCs w:val="17"/>
          <w:color w:val="auto"/>
        </w:rPr>
        <w:t>(w)  Except as would not, singly or in the aggregate, reasonably be expected to have a material adverse effect on the Company and its subsidiaries, taken as a whole, (i) the Company and its subsidiaries own or have a valid license to all patents, inventions, copyrights, know how (including trade secrets and other unpatented and/or unpatentable proprietary or confidential information, systems or procedures), trademarks, service marks, trade names and other intellectual property rights (including all registrations and applications for registration of, and all goodwill associated with, any of the foregoing) (collectively, “</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used in or reasonably necessary for or material to the conduct of their businesses as now conducted by them, and as proposed to be conducted in the Registration Statement, the Time of Sale Prospectus or the Prospectus; (ii) the Company or its subsidiaries, as applicable, exclusively owns all right, title and interest in and to all Intellectual Property Rights owned by or registered in the name of the Company or its subsidiaries; (iii) Intellectual Property Rights owned by or registered in the name of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 challenging the validity, scope or enforceability of, or any rights of the Company or any of its subsidiaries in, any such Intellectual Property Rights; (iv) except as set forth in the Registration Statement, the Time of Sale Prospectus and the Prospectus,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and there is no pending or, to the knowledge of the Company and its subsidiaries, threatened action, suit, proceeding or claim by others that the Company or its subsidiaries infringe, misappropriate or otherwise violate any Intellectual Property Rights; (v) to the Company’s knowledge, no third party is infringing, misappropriating or otherwise violating, or has infringed, misappropriated or otherwise violated, any Intellectual Property Rights owned or controlled by the Company or any of its subsidiaries; (vi) to the Company’s knowledge, neither the Company nor any of its subsidiaries infringes, misappropriates or otherwise violates, or has infringed, misappropriated or otherwise violated, any Intellectual Property Rights; (vii)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(viii) the Company and its subsidiaries use, and have used, commercially reasonable efforts in accordance with</w:t>
      </w:r>
    </w:p>
    <w:p>
      <w:pPr>
        <w:spacing w:after="0" w:line="3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220"/>
          </w:cols>
          <w:pgMar w:left="1040" w:top="265" w:right="639" w:bottom="1440" w:gutter="0" w:footer="0" w:header="0"/>
        </w:sectPr>
      </w:pPr>
    </w:p>
    <w:bookmarkStart w:id="343" w:name="page344"/>
    <w:bookmarkEnd w:id="343"/>
    <w:p>
      <w:pPr>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customary industry practice to appropriately maintain the confidentiality of all information intended to be maintained as a trade secret, including by executing appropriate non-disclosure, confidentiality and assignment invention agreements with each of its employees and relevant consultants, and, to the knowledge of the Company and its subsidiaries, no such agreement has been breached or violated; and (ix) each of the Company and its subsidiaries and, to the knowledge of the Company and its subsidiaries, all counterparties to any contracts pursuant to which any Intellectual Property Rights are licensed to the Company or any of its subsidiaries are in material compliance with all such contracts and all such contracts are in full force and effect.</w:t>
      </w:r>
    </w:p>
    <w:p>
      <w:pPr>
        <w:spacing w:after="0" w:line="69" w:lineRule="exact"/>
        <w:rPr>
          <w:sz w:val="20"/>
          <w:szCs w:val="20"/>
          <w:color w:val="auto"/>
        </w:rPr>
      </w:pPr>
    </w:p>
    <w:p>
      <w:pPr>
        <w:ind w:right="40" w:firstLine="409"/>
        <w:spacing w:after="0" w:line="261" w:lineRule="auto"/>
        <w:rPr>
          <w:sz w:val="20"/>
          <w:szCs w:val="20"/>
          <w:color w:val="auto"/>
        </w:rPr>
      </w:pPr>
      <w:r>
        <w:rPr>
          <w:rFonts w:ascii="Times New Roman" w:cs="Times New Roman" w:eastAsia="Times New Roman" w:hAnsi="Times New Roman"/>
          <w:sz w:val="17"/>
          <w:szCs w:val="17"/>
          <w:color w:val="auto"/>
        </w:rPr>
        <w:t>(x)  (i)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7"/>
          <w:szCs w:val="17"/>
          <w:b w:val="1"/>
          <w:bCs w:val="1"/>
          <w:color w:val="auto"/>
        </w:rPr>
        <w:t>Open Source Software</w:t>
      </w:r>
      <w:r>
        <w:rPr>
          <w:rFonts w:ascii="Times New Roman" w:cs="Times New Roman" w:eastAsia="Times New Roman" w:hAnsi="Times New Roman"/>
          <w:sz w:val="17"/>
          <w:szCs w:val="17"/>
          <w:color w:val="auto"/>
        </w:rPr>
        <w:t>”) in compliance with all license terms applicable to such Open Source Software, except where the failure to comply would not, singly or in the aggregate, reasonably be expected to have a material adverse effect on the Company and its subsidiaries, taken as a whole;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 except as would not, singly or in the aggregate, have a material adverse effect on the Company and its subsidiaries, taken as a whole.</w:t>
      </w:r>
    </w:p>
    <w:p>
      <w:pPr>
        <w:spacing w:after="0" w:line="70" w:lineRule="exact"/>
        <w:rPr>
          <w:sz w:val="20"/>
          <w:szCs w:val="20"/>
          <w:color w:val="auto"/>
        </w:rPr>
      </w:pPr>
    </w:p>
    <w:p>
      <w:pPr>
        <w:ind w:right="40" w:firstLine="409"/>
        <w:spacing w:after="0" w:line="260" w:lineRule="auto"/>
        <w:rPr>
          <w:sz w:val="20"/>
          <w:szCs w:val="20"/>
          <w:color w:val="auto"/>
        </w:rPr>
      </w:pPr>
      <w:r>
        <w:rPr>
          <w:rFonts w:ascii="Times New Roman" w:cs="Times New Roman" w:eastAsia="Times New Roman" w:hAnsi="Times New Roman"/>
          <w:sz w:val="17"/>
          <w:szCs w:val="17"/>
          <w:color w:val="auto"/>
        </w:rPr>
        <w:t>(y)  (i) The Company and each of its subsidiaries have complied and are presently in compliance in all material respects with all internal and external privacy policies, contractual obligations, contractually mandated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7"/>
          <w:szCs w:val="17"/>
          <w:b w:val="1"/>
          <w:bCs w:val="1"/>
          <w:color w:val="auto"/>
        </w:rPr>
        <w:t>Data Security Obligations</w:t>
      </w:r>
      <w:r>
        <w:rPr>
          <w:rFonts w:ascii="Times New Roman" w:cs="Times New Roman" w:eastAsia="Times New Roman" w:hAnsi="Times New Roman"/>
          <w:sz w:val="17"/>
          <w:szCs w:val="17"/>
          <w:color w:val="auto"/>
        </w:rPr>
        <w:t>”, and such data, “</w:t>
      </w:r>
      <w:r>
        <w:rPr>
          <w:rFonts w:ascii="Times New Roman" w:cs="Times New Roman" w:eastAsia="Times New Roman" w:hAnsi="Times New Roman"/>
          <w:sz w:val="17"/>
          <w:szCs w:val="17"/>
          <w:b w:val="1"/>
          <w:bCs w:val="1"/>
          <w:color w:val="auto"/>
        </w:rPr>
        <w:t>Data</w:t>
      </w:r>
      <w:r>
        <w:rPr>
          <w:rFonts w:ascii="Times New Roman" w:cs="Times New Roman" w:eastAsia="Times New Roman" w:hAnsi="Times New Roman"/>
          <w:sz w:val="17"/>
          <w:szCs w:val="17"/>
          <w:color w:val="auto"/>
        </w:rPr>
        <w:t>”); (ii) the Company and its subsidiaries have not received any notification of or complaint regarding and is unaware of any other facts that, singly or in the aggregate, would reasonably indicate non-compliance with any Data Security Obligation, except as would not, singly or in the aggregate, reasonably be expected to have a material adverse effect on the Company and its subsidiaries taken as a whole; (iii) there is no action, suit, proceeding, investigation or enforcement action by or before any court or governmental agency, authority or body pending or threatened alleging non-compliance with any Data Security Obligation; (iv) each of the Company and its subsidiaries, as applicable, has provided notice of its privacy policy on its</w:t>
      </w:r>
    </w:p>
    <w:p>
      <w:pPr>
        <w:spacing w:after="0" w:line="3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240"/>
          </w:cols>
          <w:pgMar w:left="1040" w:top="265" w:right="619" w:bottom="1440" w:gutter="0" w:footer="0" w:header="0"/>
        </w:sectPr>
      </w:pPr>
    </w:p>
    <w:bookmarkStart w:id="344" w:name="page345"/>
    <w:bookmarkEnd w:id="344"/>
    <w:p>
      <w:pPr>
        <w:ind w:left="2" w:right="2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website, which policy contains accurate notice of its then-current privacy practices relating to its subject matter in all material respect and such privacy policies do not contain any material omissions of the Company’s or its subsidiaries’, as applicable, current privacy practices; and</w:t>
      </w:r>
    </w:p>
    <w:p>
      <w:pPr>
        <w:spacing w:after="0" w:line="1" w:lineRule="exact"/>
        <w:rPr>
          <w:sz w:val="20"/>
          <w:szCs w:val="20"/>
          <w:color w:val="auto"/>
        </w:rPr>
      </w:pPr>
    </w:p>
    <w:p>
      <w:pPr>
        <w:jc w:val="both"/>
        <w:ind w:left="2" w:right="120" w:hanging="2"/>
        <w:spacing w:after="0" w:line="265" w:lineRule="auto"/>
        <w:tabs>
          <w:tab w:leader="none" w:pos="248"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singly or in the aggregate, reasonably be expected to have a material adverse effect on the Company and its subsidiaries taken as a whole, the execution, delivery and performance of this Agreement or any other agreement referred to in this Agreement will not result in a breach or violation of any Data Security Obligation.</w:t>
      </w:r>
    </w:p>
    <w:p>
      <w:pPr>
        <w:spacing w:after="0" w:line="66" w:lineRule="exact"/>
        <w:rPr>
          <w:sz w:val="20"/>
          <w:szCs w:val="20"/>
          <w:color w:val="auto"/>
        </w:rPr>
      </w:pPr>
    </w:p>
    <w:p>
      <w:pPr>
        <w:ind w:left="2" w:firstLine="409"/>
        <w:spacing w:after="0" w:line="259" w:lineRule="auto"/>
        <w:rPr>
          <w:sz w:val="20"/>
          <w:szCs w:val="20"/>
          <w:color w:val="auto"/>
        </w:rPr>
      </w:pPr>
      <w:r>
        <w:rPr>
          <w:rFonts w:ascii="Times New Roman" w:cs="Times New Roman" w:eastAsia="Times New Roman" w:hAnsi="Times New Roman"/>
          <w:sz w:val="17"/>
          <w:szCs w:val="17"/>
          <w:color w:val="auto"/>
        </w:rPr>
        <w:t>(z)  The Company and its subsidiaries’ information technology assets and equipment, computers, technology systems and other systems, networks, hardware, software, websites, applications, and databases (collectively, “</w:t>
      </w:r>
      <w:r>
        <w:rPr>
          <w:rFonts w:ascii="Times New Roman" w:cs="Times New Roman" w:eastAsia="Times New Roman" w:hAnsi="Times New Roman"/>
          <w:sz w:val="17"/>
          <w:szCs w:val="17"/>
          <w:b w:val="1"/>
          <w:bCs w:val="1"/>
          <w:color w:val="auto"/>
        </w:rPr>
        <w:t>IT Systems</w:t>
      </w:r>
      <w:r>
        <w:rPr>
          <w:rFonts w:ascii="Times New Roman" w:cs="Times New Roman" w:eastAsia="Times New Roman" w:hAnsi="Times New Roman"/>
          <w:sz w:val="17"/>
          <w:szCs w:val="17"/>
          <w:color w:val="auto"/>
        </w:rPr>
        <w:t>”)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each of its subsidiaries have taken, in all material respects, technical and organizational measures necessary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7"/>
          <w:szCs w:val="17"/>
          <w:b w:val="1"/>
          <w:bCs w:val="1"/>
          <w:color w:val="auto"/>
        </w:rPr>
        <w:t>Breach</w:t>
      </w:r>
      <w:r>
        <w:rPr>
          <w:rFonts w:ascii="Times New Roman" w:cs="Times New Roman" w:eastAsia="Times New Roman" w:hAnsi="Times New Roman"/>
          <w:sz w:val="17"/>
          <w:szCs w:val="17"/>
          <w:color w:val="auto"/>
        </w:rPr>
        <w:t>”) and to maintain the integrity, continuous operation, redundancy and security of all IT Systems and Data used in connection with the operation of the Company or its subsidiaries. Except as would not, singly or in the aggregate, reasonably be expected to have a material adverse effect on the Company and its subsidiaries taken as a whole, there has been no such Breach, and the Company and its subsidiaries have not been notified of and have no knowledge of any event or condition that would reasonably be expected to result in, any such Breach.</w:t>
      </w:r>
    </w:p>
    <w:p>
      <w:pPr>
        <w:spacing w:after="0" w:line="77" w:lineRule="exact"/>
        <w:rPr>
          <w:sz w:val="20"/>
          <w:szCs w:val="20"/>
          <w:color w:val="auto"/>
        </w:rPr>
      </w:pPr>
    </w:p>
    <w:p>
      <w:pPr>
        <w:ind w:left="2" w:firstLine="409"/>
        <w:spacing w:after="0" w:line="269" w:lineRule="auto"/>
        <w:rPr>
          <w:sz w:val="20"/>
          <w:szCs w:val="20"/>
          <w:color w:val="auto"/>
        </w:rPr>
      </w:pPr>
      <w:r>
        <w:rPr>
          <w:rFonts w:ascii="Times New Roman" w:cs="Times New Roman" w:eastAsia="Times New Roman" w:hAnsi="Times New Roman"/>
          <w:sz w:val="17"/>
          <w:szCs w:val="17"/>
          <w:color w:val="auto"/>
        </w:rPr>
        <w:t>(aa)  Except as set forth in the Registration Statement, the Time of Sale Prospectus and the Prospectus,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singly or in the aggregate, reasonably be expected to have a material adverse effect on the Company and its subsidiaries, taken as a whole.</w:t>
      </w:r>
    </w:p>
    <w:p>
      <w:pPr>
        <w:spacing w:after="0" w:line="104" w:lineRule="exact"/>
        <w:rPr>
          <w:sz w:val="20"/>
          <w:szCs w:val="20"/>
          <w:color w:val="auto"/>
        </w:rPr>
      </w:pPr>
    </w:p>
    <w:p>
      <w:pPr>
        <w:jc w:val="center"/>
        <w:ind w:right="398"/>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202"/>
          </w:cols>
          <w:pgMar w:left="1038" w:top="264" w:right="659" w:bottom="1440" w:gutter="0" w:footer="0" w:header="0"/>
        </w:sectPr>
      </w:pPr>
    </w:p>
    <w:bookmarkStart w:id="345" w:name="page346"/>
    <w:bookmarkEnd w:id="345"/>
    <w:p>
      <w:pPr>
        <w:ind w:firstLine="409"/>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4">
                      <a:extLst>
                        <a:ext uri="{28A0092B-C50C-407E-A947-70E740481C1C}"/>
                      </a:extLst>
                    </a:blip>
                    <a:srcRect/>
                    <a:stretch>
                      <a:fillRect/>
                    </a:stretch>
                  </pic:blipFill>
                  <pic:spPr bwMode="auto">
                    <a:xfrm>
                      <a:off x="0" y="0"/>
                      <a:ext cx="7178675" cy="36830"/>
                    </a:xfrm>
                    <a:prstGeom prst="rect">
                      <a:avLst/>
                    </a:prstGeom>
                    <a:noFill/>
                  </pic:spPr>
                </pic:pic>
              </a:graphicData>
            </a:graphic>
          </wp:anchor>
        </w:drawing>
        <w:t>(bb)  The Company and each of its subsidiaries are insured by insurers of recognized financial responsibility against such losses and risks and in such amounts as are, in the reasonable judgment of the Company, prudent and customary in the businesses in which they are engaged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spacing w:after="0" w:line="69" w:lineRule="exact"/>
        <w:rPr>
          <w:sz w:val="20"/>
          <w:szCs w:val="20"/>
          <w:color w:val="auto"/>
        </w:rPr>
      </w:pPr>
    </w:p>
    <w:p>
      <w:pPr>
        <w:ind w:firstLine="409"/>
        <w:spacing w:after="0" w:line="258" w:lineRule="auto"/>
        <w:rPr>
          <w:sz w:val="20"/>
          <w:szCs w:val="20"/>
          <w:color w:val="auto"/>
        </w:rPr>
      </w:pPr>
      <w:r>
        <w:rPr>
          <w:rFonts w:ascii="Times New Roman" w:cs="Times New Roman" w:eastAsia="Times New Roman" w:hAnsi="Times New Roman"/>
          <w:sz w:val="17"/>
          <w:szCs w:val="17"/>
          <w:color w:val="auto"/>
        </w:rPr>
        <w:t>(cc)  The Company and each of its subsidiaries possess all licenses, certificates, clearances, exemptions, authorizations and permits issued by the appropriate federal, state or foreign regulatory authorities necessary to conduct their respective businesses as described in the Registration Statement, the Time of Sale Prospectus and the Prospectus (“</w:t>
      </w:r>
      <w:r>
        <w:rPr>
          <w:rFonts w:ascii="Times New Roman" w:cs="Times New Roman" w:eastAsia="Times New Roman" w:hAnsi="Times New Roman"/>
          <w:sz w:val="17"/>
          <w:szCs w:val="17"/>
          <w:b w:val="1"/>
          <w:bCs w:val="1"/>
          <w:color w:val="auto"/>
        </w:rPr>
        <w:t>Regulatory Authorizations</w:t>
      </w:r>
      <w:r>
        <w:rPr>
          <w:rFonts w:ascii="Times New Roman" w:cs="Times New Roman" w:eastAsia="Times New Roman" w:hAnsi="Times New Roman"/>
          <w:sz w:val="17"/>
          <w:szCs w:val="17"/>
          <w:color w:val="auto"/>
        </w:rPr>
        <w:t>”), including, without limitation, from the U.S. Food and Drug Administration (“</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the Department of Health and Human Services, the Centers for Medicare &amp; Medicaid Services, and equivalent foreign regulatory authorities (collectively, the “</w:t>
      </w:r>
      <w:r>
        <w:rPr>
          <w:rFonts w:ascii="Times New Roman" w:cs="Times New Roman" w:eastAsia="Times New Roman" w:hAnsi="Times New Roman"/>
          <w:sz w:val="17"/>
          <w:szCs w:val="17"/>
          <w:b w:val="1"/>
          <w:bCs w:val="1"/>
          <w:color w:val="auto"/>
        </w:rPr>
        <w:t>Applicable Regulatory Authorities</w:t>
      </w:r>
      <w:r>
        <w:rPr>
          <w:rFonts w:ascii="Times New Roman" w:cs="Times New Roman" w:eastAsia="Times New Roman" w:hAnsi="Times New Roman"/>
          <w:sz w:val="17"/>
          <w:szCs w:val="17"/>
          <w:color w:val="auto"/>
        </w:rPr>
        <w:t>”), except where the failure to obtain such certificates, authorizations and permits would not, singly or in the aggregate, reasonably be expected to have a material adverse effect on the Company and its subsidiaries, taken as a whole, and, except as set forth in the Registration Statement, the Time of Sale Prospectus and the Prospectus, neither the Company nor any of its subsidiaries has received (i) any FDA Form 483, written notice of adverse finding, warning letter, untitled letter or other written notice from any Regulatory Authority, court or arbitrator alleging or asserting non-compliance with any Health Care Laws or (ii) any notice of proceedings relating to the revocation or modification of any Regulatory Authorizations which, singly or in the aggregate, if the subject of an unfavorable decision, ruling or finding, would reasonably be expected to have a material adverse effect on the Company and its subsidiaries, taken as a whole. The term “</w:t>
      </w:r>
      <w:r>
        <w:rPr>
          <w:rFonts w:ascii="Times New Roman" w:cs="Times New Roman" w:eastAsia="Times New Roman" w:hAnsi="Times New Roman"/>
          <w:sz w:val="17"/>
          <w:szCs w:val="17"/>
          <w:b w:val="1"/>
          <w:bCs w:val="1"/>
          <w:color w:val="auto"/>
        </w:rPr>
        <w:t>Health Care Laws</w:t>
      </w:r>
      <w:r>
        <w:rPr>
          <w:rFonts w:ascii="Times New Roman" w:cs="Times New Roman" w:eastAsia="Times New Roman" w:hAnsi="Times New Roman"/>
          <w:sz w:val="17"/>
          <w:szCs w:val="17"/>
          <w:color w:val="auto"/>
        </w:rPr>
        <w:t>” means Title XVIII of the Social Security Act, 42 U.S.C. §§ 1395-1395hhh (the Medicare statute); Title XIX of the Social Security Act, 42 U.S.C. §§ 1396-1396v (the Medicaid statute); Section 1877 of the Social Security Act (the Stark Law), 42 U.S.C. 1395(nn);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w:t>
      </w:r>
      <w:r>
        <w:rPr>
          <w:rFonts w:ascii="Times New Roman" w:cs="Times New Roman" w:eastAsia="Times New Roman" w:hAnsi="Times New Roman"/>
          <w:sz w:val="17"/>
          <w:szCs w:val="17"/>
          <w:b w:val="1"/>
          <w:bCs w:val="1"/>
          <w:color w:val="auto"/>
        </w:rPr>
        <w:t>HIPAA</w:t>
      </w:r>
      <w:r>
        <w:rPr>
          <w:rFonts w:ascii="Times New Roman" w:cs="Times New Roman" w:eastAsia="Times New Roman" w:hAnsi="Times New Roman"/>
          <w:sz w:val="17"/>
          <w:szCs w:val="17"/>
          <w:color w:val="auto"/>
        </w:rPr>
        <w:t>”); the Civil Monetary Penalties Law, 42 U.S.C. §§ 1320a-7a and 1320a-7b; the Eliminating Kickbacks in Recovery Act of 2018, 18 U.S.C. § 200; the Physician Payments Sunshine Act, 42 U.S.C. § 1320a-7h; the Exclusion Statute, 42 U.S.C. § 1320a-7; HIPAA, as amended by the Health Information Technology for Economic and Clinical Health Act, 42 U.S.C. §§ 17921 et seq.; the Federal Food, Drug, and</w:t>
      </w:r>
    </w:p>
    <w:p>
      <w:pPr>
        <w:spacing w:after="0" w:line="33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220"/>
          </w:cols>
          <w:pgMar w:left="1040" w:top="264" w:right="639" w:bottom="1440" w:gutter="0" w:footer="0" w:header="0"/>
        </w:sectPr>
      </w:pPr>
    </w:p>
    <w:bookmarkStart w:id="346" w:name="page347"/>
    <w:bookmarkEnd w:id="346"/>
    <w:p>
      <w:pPr>
        <w:ind w:right="32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Cosmetic Act, 21 U.S.C. §§ 301 et seq.; the Public Health Service Act, 42 U.S.C. §§ 201 et seq.; the regulations promulgated pursuant to such laws; and any similar federal, state and local laws and regulations.</w:t>
      </w:r>
    </w:p>
    <w:p>
      <w:pPr>
        <w:spacing w:after="0" w:line="42" w:lineRule="exact"/>
        <w:rPr>
          <w:sz w:val="20"/>
          <w:szCs w:val="20"/>
          <w:color w:val="auto"/>
        </w:rPr>
      </w:pPr>
    </w:p>
    <w:p>
      <w:pPr>
        <w:ind w:firstLine="409"/>
        <w:spacing w:after="0" w:line="260" w:lineRule="auto"/>
        <w:rPr>
          <w:sz w:val="20"/>
          <w:szCs w:val="20"/>
          <w:color w:val="auto"/>
        </w:rPr>
      </w:pPr>
      <w:r>
        <w:rPr>
          <w:rFonts w:ascii="Times New Roman" w:cs="Times New Roman" w:eastAsia="Times New Roman" w:hAnsi="Times New Roman"/>
          <w:sz w:val="17"/>
          <w:szCs w:val="17"/>
          <w:color w:val="auto"/>
        </w:rPr>
        <w:t>(dd)  The consolidated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consolidated subsidiaries as of the dates shown and its results of operations and cash flows for the periods shown, and such financial statements have been prepared in conformity with U.S. GAAP applied on a consistent basis throughout the periods covered thereby except for any normal year-end adjustments in the Company’s quarterly financial statements. The summary consolidated financial data included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287" w:lineRule="exact"/>
        <w:rPr>
          <w:sz w:val="20"/>
          <w:szCs w:val="20"/>
          <w:color w:val="auto"/>
        </w:rPr>
      </w:pPr>
    </w:p>
    <w:p>
      <w:pPr>
        <w:ind w:right="20" w:firstLine="409"/>
        <w:spacing w:after="0" w:line="266" w:lineRule="auto"/>
        <w:rPr>
          <w:sz w:val="20"/>
          <w:szCs w:val="20"/>
          <w:color w:val="auto"/>
        </w:rPr>
      </w:pPr>
      <w:r>
        <w:rPr>
          <w:rFonts w:ascii="Times New Roman" w:cs="Times New Roman" w:eastAsia="Times New Roman" w:hAnsi="Times New Roman"/>
          <w:sz w:val="17"/>
          <w:szCs w:val="17"/>
          <w:color w:val="auto"/>
        </w:rPr>
        <w:t>(ee)  PricewaterhouseCoopers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67" w:lineRule="exact"/>
        <w:rPr>
          <w:sz w:val="20"/>
          <w:szCs w:val="20"/>
          <w:color w:val="auto"/>
        </w:rPr>
      </w:pPr>
    </w:p>
    <w:p>
      <w:pPr>
        <w:ind w:right="40" w:firstLine="409"/>
        <w:spacing w:after="0" w:line="262" w:lineRule="auto"/>
        <w:rPr>
          <w:sz w:val="20"/>
          <w:szCs w:val="20"/>
          <w:color w:val="auto"/>
        </w:rPr>
      </w:pPr>
      <w:r>
        <w:rPr>
          <w:rFonts w:ascii="Times New Roman" w:cs="Times New Roman" w:eastAsia="Times New Roman" w:hAnsi="Times New Roman"/>
          <w:sz w:val="17"/>
          <w:szCs w:val="17"/>
          <w:color w:val="auto"/>
        </w:rPr>
        <w:t>(ff)  The Company and its subsidiaries, taken as a whole, maintain a system of internal accounting controls sufficient to comply with the requirements of the Exchange Act and have been designed by, or under the supervision of, their respective principal executive and principal financial officers, or persons performing similar functions,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240"/>
          </w:cols>
          <w:pgMar w:left="1040" w:top="265" w:right="619" w:bottom="1440" w:gutter="0" w:footer="0" w:header="0"/>
        </w:sectPr>
      </w:pPr>
    </w:p>
    <w:bookmarkStart w:id="347" w:name="page348"/>
    <w:bookmarkEnd w:id="347"/>
    <w:p>
      <w:pPr>
        <w:ind w:right="8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internal control over financial reporting as defined in Rule 13(a) - 15(f) under the Exchange Act (whether or not remediated) and (ii) no change in the Company’s internal control over financial reporting that has materially affected, or is reasonably likely to materially affect, the Company’s internal control over financial reporting, in each case except as described in each of the Registration Statement, the Time of Sale Prospectus and the Prospectus.</w:t>
      </w:r>
    </w:p>
    <w:p>
      <w:pPr>
        <w:spacing w:after="0" w:line="65" w:lineRule="exact"/>
        <w:rPr>
          <w:sz w:val="20"/>
          <w:szCs w:val="20"/>
          <w:color w:val="auto"/>
        </w:rPr>
      </w:pPr>
    </w:p>
    <w:p>
      <w:pPr>
        <w:ind w:right="120" w:firstLine="409"/>
        <w:spacing w:after="0" w:line="269" w:lineRule="auto"/>
        <w:rPr>
          <w:sz w:val="20"/>
          <w:szCs w:val="20"/>
          <w:color w:val="auto"/>
        </w:rPr>
      </w:pPr>
      <w:r>
        <w:rPr>
          <w:rFonts w:ascii="Times New Roman" w:cs="Times New Roman" w:eastAsia="Times New Roman" w:hAnsi="Times New Roman"/>
          <w:sz w:val="17"/>
          <w:szCs w:val="17"/>
          <w:color w:val="auto"/>
        </w:rPr>
        <w:t>(gg)  Except as described in the Registration Statement, the Time of Sale Prospectus and the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65" w:lineRule="exact"/>
        <w:rPr>
          <w:sz w:val="20"/>
          <w:szCs w:val="20"/>
          <w:color w:val="auto"/>
        </w:rPr>
      </w:pPr>
    </w:p>
    <w:p>
      <w:pPr>
        <w:ind w:right="20" w:firstLine="409"/>
        <w:spacing w:after="0" w:line="261" w:lineRule="auto"/>
        <w:rPr>
          <w:sz w:val="20"/>
          <w:szCs w:val="20"/>
          <w:color w:val="auto"/>
        </w:rPr>
      </w:pPr>
      <w:r>
        <w:rPr>
          <w:rFonts w:ascii="Times New Roman" w:cs="Times New Roman" w:eastAsia="Times New Roman" w:hAnsi="Times New Roman"/>
          <w:sz w:val="17"/>
          <w:szCs w:val="17"/>
          <w:color w:val="auto"/>
        </w:rPr>
        <w:t>(hh)  The Company and each of its subsidiaries have filed all federal, state, local and foreign tax returns required to be filed by them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thereon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has not been fully paid or otherwise resolved or which, singly or in the aggregate,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282" w:lineRule="exact"/>
        <w:rPr>
          <w:sz w:val="20"/>
          <w:szCs w:val="20"/>
          <w:color w:val="auto"/>
        </w:rPr>
      </w:pPr>
    </w:p>
    <w:p>
      <w:pPr>
        <w:ind w:right="160" w:firstLine="409"/>
        <w:spacing w:after="0" w:line="295" w:lineRule="auto"/>
        <w:rPr>
          <w:sz w:val="20"/>
          <w:szCs w:val="20"/>
          <w:color w:val="auto"/>
        </w:rPr>
      </w:pPr>
      <w:r>
        <w:rPr>
          <w:rFonts w:ascii="Times New Roman" w:cs="Times New Roman" w:eastAsia="Times New Roman" w:hAnsi="Times New Roman"/>
          <w:sz w:val="17"/>
          <w:szCs w:val="17"/>
          <w:color w:val="auto"/>
        </w:rPr>
        <w:t>(ii)  From the time of initial confidential submission of the Registration Statement to the Commission through the date hereof, the Company has been and is an “emerging growth company,” as defined in Section 2(a) of the Securities Act (an “</w:t>
      </w:r>
      <w:r>
        <w:rPr>
          <w:rFonts w:ascii="Times New Roman" w:cs="Times New Roman" w:eastAsia="Times New Roman" w:hAnsi="Times New Roman"/>
          <w:sz w:val="17"/>
          <w:szCs w:val="17"/>
          <w:b w:val="1"/>
          <w:bCs w:val="1"/>
          <w:color w:val="auto"/>
        </w:rPr>
        <w:t>Emerging Growth Company</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firstLine="409"/>
        <w:spacing w:after="0" w:line="266" w:lineRule="auto"/>
        <w:rPr>
          <w:sz w:val="20"/>
          <w:szCs w:val="20"/>
          <w:color w:val="auto"/>
        </w:rPr>
      </w:pPr>
      <w:r>
        <w:rPr>
          <w:rFonts w:ascii="Times New Roman" w:cs="Times New Roman" w:eastAsia="Times New Roman" w:hAnsi="Times New Roman"/>
          <w:sz w:val="17"/>
          <w:szCs w:val="17"/>
          <w:color w:val="auto"/>
        </w:rPr>
        <w:t>(jj)  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w:t>
      </w:r>
    </w:p>
    <w:p>
      <w:pPr>
        <w:spacing w:after="0" w:line="1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240"/>
          </w:cols>
          <w:pgMar w:left="1040" w:top="265" w:right="619" w:bottom="1440" w:gutter="0" w:footer="0" w:header="0"/>
        </w:sectPr>
      </w:pPr>
    </w:p>
    <w:bookmarkStart w:id="348" w:name="page349"/>
    <w:bookmarkEnd w:id="348"/>
    <w:p>
      <w:pPr>
        <w:ind w:left="2"/>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Communications. The Company has not distributed any Testing-the-Waters Communication that is a written communication within the meaning</w:t>
      </w:r>
    </w:p>
    <w:p>
      <w:pPr>
        <w:spacing w:after="0" w:line="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of Rule 405 under the Securities Act (“</w:t>
      </w:r>
      <w:r>
        <w:rPr>
          <w:rFonts w:ascii="Times New Roman" w:cs="Times New Roman" w:eastAsia="Times New Roman" w:hAnsi="Times New Roman"/>
          <w:sz w:val="17"/>
          <w:szCs w:val="17"/>
          <w:b w:val="1"/>
          <w:bCs w:val="1"/>
          <w:color w:val="auto"/>
        </w:rPr>
        <w:t>Written Testing-the-Waters Communication</w:t>
      </w:r>
      <w:r>
        <w:rPr>
          <w:rFonts w:ascii="Times New Roman" w:cs="Times New Roman" w:eastAsia="Times New Roman" w:hAnsi="Times New Roman"/>
          <w:sz w:val="17"/>
          <w:szCs w:val="17"/>
          <w:color w:val="auto"/>
        </w:rPr>
        <w:t>”) other than those listed on Schedule III hereto.</w:t>
      </w:r>
    </w:p>
    <w:p>
      <w:pPr>
        <w:spacing w:after="0" w:line="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Testing-the-Waters Communication</w:t>
      </w:r>
      <w:r>
        <w:rPr>
          <w:rFonts w:ascii="Times New Roman" w:cs="Times New Roman" w:eastAsia="Times New Roman" w:hAnsi="Times New Roman"/>
          <w:sz w:val="17"/>
          <w:szCs w:val="17"/>
          <w:color w:val="auto"/>
        </w:rPr>
        <w:t>” means any communication with potential investors undertaken in reliance on Section 5(d) or Rule 163B</w:t>
      </w:r>
    </w:p>
    <w:p>
      <w:pPr>
        <w:spacing w:after="0" w:line="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of the Securities Act.</w:t>
      </w:r>
    </w:p>
    <w:p>
      <w:pPr>
        <w:spacing w:after="0" w:line="100" w:lineRule="exact"/>
        <w:rPr>
          <w:sz w:val="20"/>
          <w:szCs w:val="20"/>
          <w:color w:val="auto"/>
        </w:rPr>
      </w:pPr>
    </w:p>
    <w:p>
      <w:pPr>
        <w:ind w:left="2" w:right="40" w:firstLine="409"/>
        <w:spacing w:after="0" w:line="266" w:lineRule="auto"/>
        <w:rPr>
          <w:sz w:val="20"/>
          <w:szCs w:val="20"/>
          <w:color w:val="auto"/>
        </w:rPr>
      </w:pPr>
      <w:r>
        <w:rPr>
          <w:rFonts w:ascii="Times New Roman" w:cs="Times New Roman" w:eastAsia="Times New Roman" w:hAnsi="Times New Roman"/>
          <w:sz w:val="17"/>
          <w:szCs w:val="17"/>
          <w:color w:val="auto"/>
        </w:rPr>
        <w:t>(kk)  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67" w:lineRule="exact"/>
        <w:rPr>
          <w:sz w:val="20"/>
          <w:szCs w:val="20"/>
          <w:color w:val="auto"/>
        </w:rPr>
      </w:pPr>
    </w:p>
    <w:p>
      <w:pPr>
        <w:ind w:left="2" w:firstLine="409"/>
        <w:spacing w:after="0" w:line="260" w:lineRule="auto"/>
        <w:rPr>
          <w:sz w:val="20"/>
          <w:szCs w:val="20"/>
          <w:color w:val="auto"/>
        </w:rPr>
      </w:pPr>
      <w:r>
        <w:rPr>
          <w:rFonts w:ascii="Times New Roman" w:cs="Times New Roman" w:eastAsia="Times New Roman" w:hAnsi="Times New Roman"/>
          <w:sz w:val="17"/>
          <w:szCs w:val="17"/>
          <w:color w:val="auto"/>
        </w:rPr>
        <w:t>(ll)  Neither the Company nor any of its subsidiaries is (i) in violation of its respective certificate of incorporation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having jurisdiction over the Company or any of its subsidiaries, except, in the case of clauses</w:t>
      </w:r>
    </w:p>
    <w:p>
      <w:pPr>
        <w:spacing w:after="0" w:line="2" w:lineRule="exact"/>
        <w:rPr>
          <w:sz w:val="20"/>
          <w:szCs w:val="20"/>
          <w:color w:val="auto"/>
        </w:rPr>
      </w:pPr>
    </w:p>
    <w:p>
      <w:pPr>
        <w:ind w:left="2" w:right="140" w:hanging="2"/>
        <w:spacing w:after="0" w:line="273" w:lineRule="auto"/>
        <w:tabs>
          <w:tab w:leader="none" w:pos="258"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(iii) above, for any such default or violation that would not, singly or in the aggregate, reasonably be expected to have a material adverse effect on the Company and its subsidiaries, taken as a whole.</w:t>
      </w:r>
    </w:p>
    <w:p>
      <w:pPr>
        <w:spacing w:after="0" w:line="60" w:lineRule="exact"/>
        <w:rPr>
          <w:sz w:val="20"/>
          <w:szCs w:val="20"/>
          <w:color w:val="auto"/>
        </w:rPr>
      </w:pPr>
    </w:p>
    <w:p>
      <w:pPr>
        <w:ind w:left="2" w:firstLine="409"/>
        <w:spacing w:after="0" w:line="261" w:lineRule="auto"/>
        <w:rPr>
          <w:sz w:val="20"/>
          <w:szCs w:val="20"/>
          <w:color w:val="auto"/>
        </w:rPr>
      </w:pPr>
      <w:r>
        <w:rPr>
          <w:rFonts w:ascii="Times New Roman" w:cs="Times New Roman" w:eastAsia="Times New Roman" w:hAnsi="Times New Roman"/>
          <w:sz w:val="17"/>
          <w:szCs w:val="17"/>
          <w:color w:val="auto"/>
        </w:rPr>
        <w:t>(mm)  Except as would not, singly or in the aggregate, reasonably be expected to have a material adverse effect on the Company and its subsidiaries, taken as a whole, (A) each Plan (as defined below) has been maintained in compliance with its terms and the requirements of any applicable statutes, orders, rules and regulations, including but not limited to the Employee Retirement Income Security Act of 1974, as amended (“</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and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(B) no non-exempt prohibited transaction, within the meaning of Section 406 of ERISA or Section 4975 of the Code, has occurred with respect to any Plan; (C) for each Plan, no failure to satisfy the minimum funding standards (within the meaning of Section 412 of the Code or Section 302 of ERISA), whether or not waived, has occurred or is reasonably expected to occur; (D) no “reportable event” (within the meaning of Section 4043(c) of ERISA, other than those events as to which notice is waived) has occurred or is reasonably expected to occur; and (E) neither the Company nor any member of the Company’s “Controlled Group” (defined as any organization</w:t>
      </w:r>
    </w:p>
    <w:p>
      <w:pPr>
        <w:spacing w:after="0" w:line="112" w:lineRule="exact"/>
        <w:rPr>
          <w:sz w:val="20"/>
          <w:szCs w:val="20"/>
          <w:color w:val="auto"/>
        </w:rPr>
      </w:pPr>
    </w:p>
    <w:p>
      <w:pPr>
        <w:jc w:val="center"/>
        <w:ind w:right="418"/>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222"/>
          </w:cols>
          <w:pgMar w:left="1038" w:top="264" w:right="639" w:bottom="1440" w:gutter="0" w:footer="0" w:header="0"/>
        </w:sectPr>
      </w:pPr>
    </w:p>
    <w:bookmarkStart w:id="349" w:name="page350"/>
    <w:bookmarkEnd w:id="349"/>
    <w:p>
      <w:pPr>
        <w:ind w:left="420" w:right="10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which is a member of a controlled group of corporations within the meaning of Section 414 of the Code) has incurred, nor is reasonably expected to incur, any liability under Title IV of ERISA (other than contributions to any Plan or any Multiemployer Plan or premiums to the PBGC, in the ordinary course and without default) in respect of a Plan or a Multiemployer Plan. For purposes of this paragraph, (x) the term “Plan” means an employee benefit plan, within the meaning of Section 3(3) of ERISA, subject to Title IV of ERISA, but excluding any Multiemployer Plan, for which the Company, or any member of its “Controlled Group” has any liability and (y) the term “Multiemployer Plan” means a multiemployer plan within the meaning of Section 4001(a)(3) of ERISA.</w:t>
      </w:r>
    </w:p>
    <w:p>
      <w:pPr>
        <w:spacing w:after="0" w:line="69" w:lineRule="exact"/>
        <w:rPr>
          <w:sz w:val="20"/>
          <w:szCs w:val="20"/>
          <w:color w:val="auto"/>
        </w:rPr>
      </w:pPr>
    </w:p>
    <w:p>
      <w:pPr>
        <w:ind w:left="420" w:right="60" w:firstLine="409"/>
        <w:spacing w:after="0" w:line="269" w:lineRule="auto"/>
        <w:rPr>
          <w:sz w:val="20"/>
          <w:szCs w:val="20"/>
          <w:color w:val="auto"/>
        </w:rPr>
      </w:pPr>
      <w:r>
        <w:rPr>
          <w:rFonts w:ascii="Times New Roman" w:cs="Times New Roman" w:eastAsia="Times New Roman" w:hAnsi="Times New Roman"/>
          <w:sz w:val="17"/>
          <w:szCs w:val="17"/>
          <w:color w:val="auto"/>
        </w:rPr>
        <w:t>(nn)  The Company and its subsidiaries, as a whole, have designed a system of “disclosure controls and procedures” (as defined in Rule 13a-15(e) under the Exchange Act ) that is designed to comply with the requirements of the Exchange Act within the time period required and has been designed to ensure that material information relating to the Company is made known to the Company’s principal executive officer and principal financial officer by others within the Company or its subsidiaries; and such disclosure controls and procedures are effective.</w:t>
      </w:r>
    </w:p>
    <w:p>
      <w:pPr>
        <w:spacing w:after="0" w:line="65" w:lineRule="exact"/>
        <w:rPr>
          <w:sz w:val="20"/>
          <w:szCs w:val="20"/>
          <w:color w:val="auto"/>
        </w:rPr>
      </w:pPr>
    </w:p>
    <w:p>
      <w:pPr>
        <w:ind w:left="420" w:right="60" w:firstLine="409"/>
        <w:spacing w:after="0" w:line="295" w:lineRule="auto"/>
        <w:rPr>
          <w:sz w:val="20"/>
          <w:szCs w:val="20"/>
          <w:color w:val="auto"/>
        </w:rPr>
      </w:pPr>
      <w:r>
        <w:rPr>
          <w:rFonts w:ascii="Times New Roman" w:cs="Times New Roman" w:eastAsia="Times New Roman" w:hAnsi="Times New Roman"/>
          <w:sz w:val="17"/>
          <w:szCs w:val="17"/>
          <w:color w:val="auto"/>
        </w:rPr>
        <w:t>(oo)  Neither the Company nor any of its subsidiaries has any securities rated by any “nationally recognized statistical rating organization,” as such term is defined in Section 3(a)(62) of the Exchange Act.</w:t>
      </w:r>
    </w:p>
    <w:p>
      <w:pPr>
        <w:spacing w:after="0" w:line="42" w:lineRule="exact"/>
        <w:rPr>
          <w:sz w:val="20"/>
          <w:szCs w:val="20"/>
          <w:color w:val="auto"/>
        </w:rPr>
      </w:pPr>
    </w:p>
    <w:p>
      <w:pPr>
        <w:ind w:left="420" w:firstLine="409"/>
        <w:spacing w:after="0" w:line="269" w:lineRule="auto"/>
        <w:rPr>
          <w:sz w:val="20"/>
          <w:szCs w:val="20"/>
          <w:color w:val="auto"/>
        </w:rPr>
      </w:pPr>
      <w:r>
        <w:rPr>
          <w:rFonts w:ascii="Times New Roman" w:cs="Times New Roman" w:eastAsia="Times New Roman" w:hAnsi="Times New Roman"/>
          <w:sz w:val="17"/>
          <w:szCs w:val="17"/>
          <w:color w:val="auto"/>
        </w:rPr>
        <w:t>(pp)  The Company has taken all necessary actions to ensure that, upon the effectiveness of the Registration Statement, it will be in compliance in all material respects with all provisions of the Sarbanes-Oxley Act of 2002, as amended, and all rules and regulations promulgated thereunder or implementing the provisions thereof that are then in effect and with which the Company is required to comply as of the effectiveness of the Registration Statement.</w:t>
      </w:r>
    </w:p>
    <w:p>
      <w:pPr>
        <w:spacing w:after="0" w:line="65" w:lineRule="exact"/>
        <w:rPr>
          <w:sz w:val="20"/>
          <w:szCs w:val="20"/>
          <w:color w:val="auto"/>
        </w:rPr>
      </w:pPr>
    </w:p>
    <w:p>
      <w:pPr>
        <w:ind w:left="420" w:right="720" w:firstLine="409"/>
        <w:spacing w:after="0" w:line="295" w:lineRule="auto"/>
        <w:rPr>
          <w:sz w:val="20"/>
          <w:szCs w:val="20"/>
          <w:color w:val="auto"/>
        </w:rPr>
      </w:pPr>
      <w:r>
        <w:rPr>
          <w:rFonts w:ascii="Times New Roman" w:cs="Times New Roman" w:eastAsia="Times New Roman" w:hAnsi="Times New Roman"/>
          <w:sz w:val="17"/>
          <w:szCs w:val="17"/>
          <w:color w:val="auto"/>
        </w:rPr>
        <w:t>(qq)  The Company has not taken, directly or indirectly, any action designed to or that would be expected to cause or result in any stabilization or manipulation of the price of the Shares.</w:t>
      </w:r>
    </w:p>
    <w:p>
      <w:pPr>
        <w:spacing w:after="0" w:line="145" w:lineRule="exact"/>
        <w:rPr>
          <w:sz w:val="20"/>
          <w:szCs w:val="20"/>
          <w:color w:val="auto"/>
        </w:rPr>
      </w:pPr>
    </w:p>
    <w:p>
      <w:pPr>
        <w:ind w:right="140" w:firstLine="426"/>
        <w:spacing w:after="0" w:line="270" w:lineRule="auto"/>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i w:val="1"/>
          <w:iCs w:val="1"/>
          <w:color w:val="auto"/>
        </w:rPr>
        <w:t>Agreements to Sell and Purchase.</w:t>
      </w:r>
      <w:r>
        <w:rPr>
          <w:rFonts w:ascii="Times New Roman" w:cs="Times New Roman" w:eastAsia="Times New Roman" w:hAnsi="Times New Roman"/>
          <w:sz w:val="17"/>
          <w:szCs w:val="17"/>
          <w:color w:val="auto"/>
        </w:rPr>
        <w:t xml:space="preserve"> The Company hereby agrees to issue and sell to the several Underwriters, and each Underwriter, upon the basis of the representations and warranties herein contained, but subject to the terms and conditions hereinafter stated, agrees, severally and not jointly, to purchase from the Company the respective numbers of Firm Shares set forth in Schedule I hereto opposite its name at $[●] a share (the “</w:t>
      </w:r>
      <w:r>
        <w:rPr>
          <w:rFonts w:ascii="Times New Roman" w:cs="Times New Roman" w:eastAsia="Times New Roman" w:hAnsi="Times New Roman"/>
          <w:sz w:val="17"/>
          <w:szCs w:val="17"/>
          <w:b w:val="1"/>
          <w:bCs w:val="1"/>
          <w:color w:val="auto"/>
        </w:rPr>
        <w:t>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Price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140" w:firstLine="426"/>
        <w:spacing w:after="0" w:line="276" w:lineRule="auto"/>
        <w:rPr>
          <w:sz w:val="20"/>
          <w:szCs w:val="20"/>
          <w:color w:val="auto"/>
        </w:rPr>
      </w:pPr>
      <w:r>
        <w:rPr>
          <w:rFonts w:ascii="Times New Roman" w:cs="Times New Roman" w:eastAsia="Times New Roman" w:hAnsi="Times New Roman"/>
          <w:sz w:val="17"/>
          <w:szCs w:val="17"/>
          <w:color w:val="auto"/>
        </w:rPr>
        <w:t>On the basis of the representations and warranties contained in this Agreement, and subject to its terms and conditions, the Company agrees to issue and sell to the Underwriters up to [●] Additional Shares, and the Underwriters shall have the right to purchase, severally and not jointly, up to [●] Additional Shares at the Purchase Price, provided, however, that the amount paid by the Underwriters for any Additional Shares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660"/>
          </w:cols>
          <w:pgMar w:left="620" w:top="264" w:right="619" w:bottom="1440" w:gutter="0" w:footer="0" w:header="0"/>
        </w:sectPr>
      </w:pPr>
    </w:p>
    <w:bookmarkStart w:id="350" w:name="page351"/>
    <w:bookmarkEnd w:id="350"/>
    <w:p>
      <w:pPr>
        <w:ind w:right="12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Times New Roman" w:cs="Times New Roman" w:eastAsia="Times New Roman" w:hAnsi="Times New Roman"/>
          <w:sz w:val="17"/>
          <w:szCs w:val="17"/>
          <w:b w:val="1"/>
          <w:bCs w:val="1"/>
          <w:color w:val="auto"/>
        </w:rPr>
        <w:t>Option Closing Date</w:t>
      </w:r>
      <w:r>
        <w:rPr>
          <w:rFonts w:ascii="Times New Roman" w:cs="Times New Roman" w:eastAsia="Times New Roman" w:hAnsi="Times New Roman"/>
          <w:sz w:val="17"/>
          <w:szCs w:val="17"/>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72"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i w:val="1"/>
          <w:iCs w:val="1"/>
          <w:color w:val="auto"/>
        </w:rPr>
        <w:t>Terms of Public Offering</w:t>
      </w:r>
      <w:r>
        <w:rPr>
          <w:rFonts w:ascii="Times New Roman" w:cs="Times New Roman" w:eastAsia="Times New Roman" w:hAnsi="Times New Roman"/>
          <w:sz w:val="17"/>
          <w:szCs w:val="17"/>
          <w:color w:val="auto"/>
        </w:rPr>
        <w:t>. The Company is advised by the Representatives that the Underwriters propose to make a public offering of their 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Times New Roman" w:cs="Times New Roman" w:eastAsia="Times New Roman" w:hAnsi="Times New Roman"/>
          <w:sz w:val="17"/>
          <w:szCs w:val="17"/>
          <w:b w:val="1"/>
          <w:bCs w:val="1"/>
          <w:color w:val="auto"/>
        </w:rPr>
        <w:t>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Offering Price</w:t>
      </w:r>
      <w:r>
        <w:rPr>
          <w:rFonts w:ascii="Times New Roman" w:cs="Times New Roman" w:eastAsia="Times New Roman" w:hAnsi="Times New Roman"/>
          <w:sz w:val="17"/>
          <w:szCs w:val="17"/>
          <w:color w:val="auto"/>
        </w:rPr>
        <w:t>”) and to certain dealers selected by the Representatives at a price that represents a concession not in excess of $[●] a share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Public Offering Price, and that any Underwriter may allow, and such dealers may reallow, a concession, not in excess of $[●] a share, to any Underwriter or to certain other dealers.</w:t>
      </w:r>
    </w:p>
    <w:p>
      <w:pPr>
        <w:spacing w:after="0" w:line="173" w:lineRule="exact"/>
        <w:rPr>
          <w:sz w:val="20"/>
          <w:szCs w:val="20"/>
          <w:color w:val="auto"/>
        </w:rPr>
      </w:pPr>
    </w:p>
    <w:p>
      <w:pPr>
        <w:ind w:right="80" w:firstLine="426"/>
        <w:spacing w:after="0" w:line="270" w:lineRule="auto"/>
        <w:rPr>
          <w:sz w:val="20"/>
          <w:szCs w:val="20"/>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7"/>
          <w:szCs w:val="17"/>
          <w:i w:val="1"/>
          <w:iCs w:val="1"/>
          <w:color w:val="auto"/>
        </w:rPr>
        <w:t>Payment and Delivery.</w:t>
      </w:r>
      <w:r>
        <w:rPr>
          <w:rFonts w:ascii="Times New Roman" w:cs="Times New Roman" w:eastAsia="Times New Roman" w:hAnsi="Times New Roman"/>
          <w:sz w:val="17"/>
          <w:szCs w:val="17"/>
          <w:color w:val="auto"/>
        </w:rPr>
        <w:t xml:space="preserve"> Payment for the Firm Shares shall be made to the Company in Federal or other funds immediately available in New York City against delivery of such Firm Shares for the respective accounts of the several Underwriters at 10:00 a.m., New York City time, on [●], 2024, or at such other time on the same or such other date, not later than [●], 2024, as shall be designated in writing by the Representatives. The time and date of such payment are hereinafter referred to as the “</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100" w:firstLine="426"/>
        <w:spacing w:after="0" w:line="269" w:lineRule="auto"/>
        <w:rPr>
          <w:sz w:val="20"/>
          <w:szCs w:val="20"/>
          <w:color w:val="auto"/>
        </w:rPr>
      </w:pPr>
      <w:r>
        <w:rPr>
          <w:rFonts w:ascii="Times New Roman" w:cs="Times New Roman" w:eastAsia="Times New Roman" w:hAnsi="Times New Roman"/>
          <w:sz w:val="17"/>
          <w:szCs w:val="17"/>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2024, as shall be designated in writing by the Representatives.</w:t>
      </w:r>
    </w:p>
    <w:p>
      <w:pPr>
        <w:spacing w:after="0" w:line="167" w:lineRule="exact"/>
        <w:rPr>
          <w:sz w:val="20"/>
          <w:szCs w:val="20"/>
          <w:color w:val="auto"/>
        </w:rPr>
      </w:pPr>
    </w:p>
    <w:p>
      <w:pPr>
        <w:ind w:right="280" w:firstLine="426"/>
        <w:spacing w:after="0" w:line="298" w:lineRule="auto"/>
        <w:rPr>
          <w:sz w:val="20"/>
          <w:szCs w:val="20"/>
          <w:color w:val="auto"/>
        </w:rPr>
      </w:pPr>
      <w:r>
        <w:rPr>
          <w:rFonts w:ascii="Times New Roman" w:cs="Times New Roman" w:eastAsia="Times New Roman" w:hAnsi="Times New Roman"/>
          <w:sz w:val="17"/>
          <w:szCs w:val="17"/>
          <w:color w:val="auto"/>
        </w:rPr>
        <w:t>The Firm Shares and Additional Shares shall be registered in such names and in such denominations as Morgan Stanley &amp; Co. LLC (“</w:t>
      </w:r>
      <w:r>
        <w:rPr>
          <w:rFonts w:ascii="Times New Roman" w:cs="Times New Roman" w:eastAsia="Times New Roman" w:hAnsi="Times New Roman"/>
          <w:sz w:val="17"/>
          <w:szCs w:val="17"/>
          <w:b w:val="1"/>
          <w:bCs w:val="1"/>
          <w:color w:val="auto"/>
        </w:rPr>
        <w:t>Morgan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Stanley</w:t>
      </w:r>
      <w:r>
        <w:rPr>
          <w:rFonts w:ascii="Times New Roman" w:cs="Times New Roman" w:eastAsia="Times New Roman" w:hAnsi="Times New Roman"/>
          <w:sz w:val="17"/>
          <w:szCs w:val="17"/>
          <w:color w:val="auto"/>
        </w:rPr>
        <w:t>”) shall request not later than one full business day prior to the Closing Date or the applicable Option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60"/>
          </w:cols>
          <w:pgMar w:left="620" w:top="264" w:right="619" w:bottom="1440" w:gutter="0" w:footer="0" w:header="0"/>
        </w:sectPr>
      </w:pPr>
    </w:p>
    <w:bookmarkStart w:id="351" w:name="page352"/>
    <w:bookmarkEnd w:id="351"/>
    <w:p>
      <w:pPr>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Closing Date, as the case may be. The Firm Shares and Additional Shares shall be delivered to Morgan Stanley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60" w:lineRule="exact"/>
        <w:rPr>
          <w:sz w:val="20"/>
          <w:szCs w:val="20"/>
          <w:color w:val="auto"/>
        </w:rPr>
      </w:pPr>
    </w:p>
    <w:p>
      <w:pPr>
        <w:jc w:val="both"/>
        <w:ind w:right="20" w:firstLine="426"/>
        <w:spacing w:after="0" w:line="277" w:lineRule="auto"/>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i w:val="1"/>
          <w:iCs w:val="1"/>
          <w:color w:val="auto"/>
        </w:rPr>
        <w:t>Conditions to the Underwriters’ Obligations</w:t>
      </w:r>
      <w:r>
        <w:rPr>
          <w:rFonts w:ascii="Times New Roman" w:cs="Times New Roman" w:eastAsia="Times New Roman" w:hAnsi="Times New Roman"/>
          <w:sz w:val="17"/>
          <w:szCs w:val="17"/>
          <w:color w:val="auto"/>
        </w:rPr>
        <w:t>. The obligations of the Company to issue and sell the Shares to the Underwriters and the several obligations of the Underwriters to purchase and pay for the Shares on the Closing Date are subject to the condition that the Registration Statement shall have become effective not later than [●] p.m. (New York City time) on the date hereof.</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several obligations of the Underwriters are subject to the following further conditions: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   Subsequent to the execution and delivery of this Agreement and prior to the Closing Date:</w:t>
      </w:r>
    </w:p>
    <w:p>
      <w:pPr>
        <w:spacing w:after="0" w:line="118" w:lineRule="exact"/>
        <w:rPr>
          <w:sz w:val="20"/>
          <w:szCs w:val="20"/>
          <w:color w:val="auto"/>
        </w:rPr>
      </w:pPr>
    </w:p>
    <w:p>
      <w:pPr>
        <w:ind w:left="960" w:right="260" w:firstLine="388"/>
        <w:spacing w:after="0" w:line="295" w:lineRule="auto"/>
        <w:rPr>
          <w:sz w:val="20"/>
          <w:szCs w:val="20"/>
          <w:color w:val="auto"/>
        </w:rPr>
      </w:pPr>
      <w:r>
        <w:rPr>
          <w:rFonts w:ascii="Times New Roman" w:cs="Times New Roman" w:eastAsia="Times New Roman" w:hAnsi="Times New Roman"/>
          <w:sz w:val="17"/>
          <w:szCs w:val="17"/>
          <w:color w:val="auto"/>
        </w:rPr>
        <w:t>(i)  no order suspending the effectiveness of the Registration Statement shall be in effect, and no proceeding for such purpose or pursuant to Section 8A under the Securities Act shall be pending before or threatened by the Commission;</w:t>
      </w:r>
    </w:p>
    <w:p>
      <w:pPr>
        <w:spacing w:after="0" w:line="42" w:lineRule="exact"/>
        <w:rPr>
          <w:sz w:val="20"/>
          <w:szCs w:val="20"/>
          <w:color w:val="auto"/>
        </w:rPr>
      </w:pPr>
    </w:p>
    <w:p>
      <w:pPr>
        <w:ind w:left="960" w:right="60" w:firstLine="388"/>
        <w:spacing w:after="0" w:line="269" w:lineRule="auto"/>
        <w:rPr>
          <w:sz w:val="20"/>
          <w:szCs w:val="20"/>
          <w:color w:val="auto"/>
        </w:rPr>
      </w:pPr>
      <w:r>
        <w:rPr>
          <w:rFonts w:ascii="Times New Roman" w:cs="Times New Roman" w:eastAsia="Times New Roman" w:hAnsi="Times New Roman"/>
          <w:sz w:val="17"/>
          <w:szCs w:val="17"/>
          <w:color w:val="auto"/>
        </w:rPr>
        <w:t>(ii)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65" w:lineRule="exact"/>
        <w:rPr>
          <w:sz w:val="20"/>
          <w:szCs w:val="20"/>
          <w:color w:val="auto"/>
        </w:rPr>
      </w:pPr>
    </w:p>
    <w:p>
      <w:pPr>
        <w:ind w:left="420" w:firstLine="409"/>
        <w:spacing w:after="0" w:line="269" w:lineRule="auto"/>
        <w:rPr>
          <w:sz w:val="20"/>
          <w:szCs w:val="20"/>
          <w:color w:val="auto"/>
        </w:rPr>
      </w:pPr>
      <w:r>
        <w:rPr>
          <w:rFonts w:ascii="Times New Roman" w:cs="Times New Roman" w:eastAsia="Times New Roman" w:hAnsi="Times New Roman"/>
          <w:sz w:val="17"/>
          <w:szCs w:val="17"/>
          <w:color w:val="auto"/>
        </w:rPr>
        <w:t>(b)  The Underwriters shall have received on the Closing Date a certificate, dated the Closing Date and signed on behalf of the Company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officer signing and delivering such certificate may rely upon the best of his or her knowledge as to proceedings threatened.</w:t>
      </w:r>
    </w:p>
    <w:p>
      <w:pPr>
        <w:spacing w:after="0" w:line="118" w:lineRule="exact"/>
        <w:rPr>
          <w:sz w:val="20"/>
          <w:szCs w:val="20"/>
          <w:color w:val="auto"/>
        </w:rPr>
      </w:pPr>
    </w:p>
    <w:p>
      <w:pPr>
        <w:ind w:left="420" w:right="40" w:firstLine="409"/>
        <w:spacing w:after="0" w:line="295" w:lineRule="auto"/>
        <w:rPr>
          <w:sz w:val="20"/>
          <w:szCs w:val="20"/>
          <w:color w:val="auto"/>
        </w:rPr>
      </w:pPr>
      <w:r>
        <w:rPr>
          <w:rFonts w:ascii="Times New Roman" w:cs="Times New Roman" w:eastAsia="Times New Roman" w:hAnsi="Times New Roman"/>
          <w:sz w:val="17"/>
          <w:szCs w:val="17"/>
          <w:color w:val="auto"/>
        </w:rPr>
        <w:t>(c)  The Underwriters shall have received on the Closing Date an opinion and negative assurance letter of Cooley LLP, outside counsel for the Company, dated the Closing Date, in form and substance reasonably satisfactory to the Representatives.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600"/>
          </w:cols>
          <w:pgMar w:left="620" w:top="264" w:right="679" w:bottom="1440" w:gutter="0" w:footer="0" w:header="0"/>
        </w:sectPr>
      </w:pPr>
    </w:p>
    <w:bookmarkStart w:id="352" w:name="page353"/>
    <w:bookmarkEnd w:id="352"/>
    <w:p>
      <w:pPr>
        <w:ind w:left="420" w:right="280" w:firstLine="409"/>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  The Underwriters shall have received on the Closing Date an opinion and negative assurance letter of Davis Polk &amp; Wardwell LLP, counsel for the Underwriters, dated the Closing Date, in form and substance reasonably satisfactory to the Representatives.</w:t>
      </w:r>
    </w:p>
    <w:p>
      <w:pPr>
        <w:spacing w:after="0" w:line="147" w:lineRule="exact"/>
        <w:rPr>
          <w:sz w:val="20"/>
          <w:szCs w:val="20"/>
          <w:color w:val="auto"/>
        </w:rPr>
      </w:pPr>
    </w:p>
    <w:p>
      <w:pPr>
        <w:ind w:right="40" w:firstLine="426"/>
        <w:spacing w:after="0" w:line="269" w:lineRule="auto"/>
        <w:rPr>
          <w:sz w:val="20"/>
          <w:szCs w:val="20"/>
          <w:color w:val="auto"/>
        </w:rPr>
      </w:pPr>
      <w:r>
        <w:rPr>
          <w:rFonts w:ascii="Times New Roman" w:cs="Times New Roman" w:eastAsia="Times New Roman" w:hAnsi="Times New Roman"/>
          <w:sz w:val="17"/>
          <w:szCs w:val="17"/>
          <w:color w:val="auto"/>
        </w:rPr>
        <w:t>With respect to the negative assurance letters or opinion, as applicable, to be delivered pursuant to Sections 5(c) and 5(d) above, Cooley LLP and Davis Polk &amp; Wardwell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69" w:lineRule="exact"/>
        <w:rPr>
          <w:sz w:val="20"/>
          <w:szCs w:val="20"/>
          <w:color w:val="auto"/>
        </w:rPr>
      </w:pPr>
    </w:p>
    <w:p>
      <w:pPr>
        <w:ind w:right="40" w:firstLine="426"/>
        <w:spacing w:after="0" w:line="295" w:lineRule="auto"/>
        <w:rPr>
          <w:sz w:val="20"/>
          <w:szCs w:val="20"/>
          <w:color w:val="auto"/>
        </w:rPr>
      </w:pPr>
      <w:r>
        <w:rPr>
          <w:rFonts w:ascii="Times New Roman" w:cs="Times New Roman" w:eastAsia="Times New Roman" w:hAnsi="Times New Roman"/>
          <w:sz w:val="17"/>
          <w:szCs w:val="17"/>
          <w:color w:val="auto"/>
        </w:rPr>
        <w:t>The opinion of Cooley LLP described in Section 5(c) above shall be rendered to the Underwriters at the request of the Company and shall so state therein.</w:t>
      </w:r>
    </w:p>
    <w:p>
      <w:pPr>
        <w:spacing w:after="0" w:line="42" w:lineRule="exact"/>
        <w:rPr>
          <w:sz w:val="20"/>
          <w:szCs w:val="20"/>
          <w:color w:val="auto"/>
        </w:rPr>
      </w:pPr>
    </w:p>
    <w:p>
      <w:pPr>
        <w:ind w:left="420" w:right="100" w:firstLine="409"/>
        <w:spacing w:after="0" w:line="265" w:lineRule="auto"/>
        <w:rPr>
          <w:sz w:val="20"/>
          <w:szCs w:val="20"/>
          <w:color w:val="auto"/>
        </w:rPr>
      </w:pPr>
      <w:r>
        <w:rPr>
          <w:rFonts w:ascii="Times New Roman" w:cs="Times New Roman" w:eastAsia="Times New Roman" w:hAnsi="Times New Roman"/>
          <w:sz w:val="17"/>
          <w:szCs w:val="17"/>
          <w:color w:val="auto"/>
        </w:rPr>
        <w:t xml:space="preserve">(e)  The Underwriters shall have received, on each of the date hereof and the Closing Date, a letter dated the date hereof or the Closing Date, as the case may be, in form and substance reasonably satisfactory to the Representatives,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letter delivered on the Closing Date shall use a “cut-off date” not earlier than two business days prior to the Closing Date.</w:t>
      </w:r>
    </w:p>
    <w:p>
      <w:pPr>
        <w:spacing w:after="0" w:line="280" w:lineRule="exact"/>
        <w:rPr>
          <w:sz w:val="20"/>
          <w:szCs w:val="20"/>
          <w:color w:val="auto"/>
        </w:rPr>
      </w:pPr>
    </w:p>
    <w:p>
      <w:pPr>
        <w:ind w:left="420" w:right="220" w:firstLine="409"/>
        <w:spacing w:after="0" w:line="269" w:lineRule="auto"/>
        <w:rPr>
          <w:sz w:val="20"/>
          <w:szCs w:val="20"/>
          <w:color w:val="auto"/>
        </w:rPr>
      </w:pPr>
      <w:r>
        <w:rPr>
          <w:rFonts w:ascii="Times New Roman" w:cs="Times New Roman" w:eastAsia="Times New Roman" w:hAnsi="Times New Roman"/>
          <w:sz w:val="17"/>
          <w:szCs w:val="17"/>
          <w:color w:val="auto"/>
        </w:rPr>
        <w:t>(f)  The “lock-up” agreements, each substantially in the form of Exhibit A hereto, between the Representatives and certain stockholders, officers and directors of the Company relating to restrictions on sales and certain other dispositions of shares of Common Stock or certain other securities, delivered to the Representatives on or before the date hereof (the “</w:t>
      </w:r>
      <w:r>
        <w:rPr>
          <w:rFonts w:ascii="Times New Roman" w:cs="Times New Roman" w:eastAsia="Times New Roman" w:hAnsi="Times New Roman"/>
          <w:sz w:val="17"/>
          <w:szCs w:val="17"/>
          <w:b w:val="1"/>
          <w:bCs w:val="1"/>
          <w:color w:val="auto"/>
        </w:rPr>
        <w:t>Lock-up Agreements</w:t>
      </w:r>
      <w:r>
        <w:rPr>
          <w:rFonts w:ascii="Times New Roman" w:cs="Times New Roman" w:eastAsia="Times New Roman" w:hAnsi="Times New Roman"/>
          <w:sz w:val="17"/>
          <w:szCs w:val="17"/>
          <w:color w:val="auto"/>
        </w:rPr>
        <w:t>”), shall be in full force and effect on the Closing Date.</w:t>
      </w:r>
    </w:p>
    <w:p>
      <w:pPr>
        <w:spacing w:after="0" w:line="65" w:lineRule="exact"/>
        <w:rPr>
          <w:sz w:val="20"/>
          <w:szCs w:val="20"/>
          <w:color w:val="auto"/>
        </w:rPr>
      </w:pPr>
    </w:p>
    <w:p>
      <w:pPr>
        <w:ind w:left="420" w:right="60" w:firstLine="409"/>
        <w:spacing w:after="0" w:line="276" w:lineRule="auto"/>
        <w:rPr>
          <w:sz w:val="20"/>
          <w:szCs w:val="20"/>
          <w:color w:val="auto"/>
        </w:rPr>
      </w:pPr>
      <w:r>
        <w:rPr>
          <w:rFonts w:ascii="Times New Roman" w:cs="Times New Roman" w:eastAsia="Times New Roman" w:hAnsi="Times New Roman"/>
          <w:sz w:val="17"/>
          <w:szCs w:val="17"/>
          <w:color w:val="auto"/>
        </w:rPr>
        <w:t>(g)  The chief financial officer of the Company, in his capacity as such, shall have delivered to the Underwriters, on each of the date hereof and the Closing Date, a certificate with respect to certain financial and accounting information in the Registration Statement, the Time of Sale Prospectus and the Prospectus, in form and substance reasonably acceptable to the Representatives.</w:t>
      </w:r>
    </w:p>
    <w:p>
      <w:pPr>
        <w:spacing w:after="0" w:line="57" w:lineRule="exact"/>
        <w:rPr>
          <w:sz w:val="20"/>
          <w:szCs w:val="20"/>
          <w:color w:val="auto"/>
        </w:rPr>
      </w:pPr>
    </w:p>
    <w:p>
      <w:pPr>
        <w:ind w:left="420" w:firstLine="409"/>
        <w:spacing w:after="0" w:line="269" w:lineRule="auto"/>
        <w:rPr>
          <w:sz w:val="20"/>
          <w:szCs w:val="20"/>
          <w:color w:val="auto"/>
        </w:rPr>
      </w:pPr>
      <w:r>
        <w:rPr>
          <w:rFonts w:ascii="Times New Roman" w:cs="Times New Roman" w:eastAsia="Times New Roman" w:hAnsi="Times New Roman"/>
          <w:sz w:val="17"/>
          <w:szCs w:val="17"/>
          <w:color w:val="auto"/>
        </w:rPr>
        <w:t>(h)  The Underwriters shall have received on each of the date hereof and the Closing Date, satisfactory evidence of the good standing of the Company and its subsidiaries as of each respective date in their respective jurisdictions of organization and their good standing in such other jurisdictions as the Underwriters may reasonably request, in each case in writing or any standard form of telecommunication from the appropriate governmental authorities of such jurisdictions.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40"/>
          </w:cols>
          <w:pgMar w:left="620" w:top="264" w:right="639" w:bottom="1440" w:gutter="0" w:footer="0" w:header="0"/>
        </w:sectPr>
      </w:pPr>
    </w:p>
    <w:bookmarkStart w:id="353" w:name="page354"/>
    <w:bookmarkEnd w:id="353"/>
    <w:p>
      <w:pPr>
        <w:ind w:firstLine="409"/>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  The Shares to be delivered on the Closing Date or the Option Closing Date, as the case may be, shall have been approved for listing on the Nasdaq Global Select Market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subject to official notice of issuance.</w:t>
      </w:r>
    </w:p>
    <w:p>
      <w:pPr>
        <w:spacing w:after="0" w:line="42" w:lineRule="exact"/>
        <w:rPr>
          <w:sz w:val="20"/>
          <w:szCs w:val="20"/>
          <w:color w:val="auto"/>
        </w:rPr>
      </w:pPr>
    </w:p>
    <w:p>
      <w:pPr>
        <w:ind w:right="60" w:firstLine="409"/>
        <w:spacing w:after="0" w:line="295" w:lineRule="auto"/>
        <w:rPr>
          <w:sz w:val="20"/>
          <w:szCs w:val="20"/>
          <w:color w:val="auto"/>
        </w:rPr>
      </w:pPr>
      <w:r>
        <w:rPr>
          <w:rFonts w:ascii="Times New Roman" w:cs="Times New Roman" w:eastAsia="Times New Roman" w:hAnsi="Times New Roman"/>
          <w:sz w:val="17"/>
          <w:szCs w:val="17"/>
          <w:color w:val="auto"/>
        </w:rPr>
        <w:t>(j)  The several obligations of the Underwriters to purchase Additional Shares hereunder are subject to the delivery to the Representatives on the applicable Option Closing Date of the following:</w:t>
      </w:r>
    </w:p>
    <w:p>
      <w:pPr>
        <w:spacing w:after="0" w:line="42" w:lineRule="exact"/>
        <w:rPr>
          <w:sz w:val="20"/>
          <w:szCs w:val="20"/>
          <w:color w:val="auto"/>
        </w:rPr>
      </w:pPr>
    </w:p>
    <w:p>
      <w:pPr>
        <w:ind w:left="540" w:right="200" w:firstLine="388"/>
        <w:spacing w:after="0" w:line="276" w:lineRule="auto"/>
        <w:rPr>
          <w:sz w:val="20"/>
          <w:szCs w:val="20"/>
          <w:color w:val="auto"/>
        </w:rPr>
      </w:pPr>
      <w:r>
        <w:rPr>
          <w:rFonts w:ascii="Times New Roman" w:cs="Times New Roman" w:eastAsia="Times New Roman" w:hAnsi="Times New Roman"/>
          <w:sz w:val="17"/>
          <w:szCs w:val="17"/>
          <w:color w:val="auto"/>
        </w:rPr>
        <w:t>(i)  a certificate, dated the Option Closing Date and signed on behalf of the Company by an executive officer of the Company, confirming that the certificate delivered on the Closing Date pursuant to Section 5(b) hereof remains true and correct as of such Option Closing Date;</w:t>
      </w:r>
    </w:p>
    <w:p>
      <w:pPr>
        <w:spacing w:after="0" w:line="57" w:lineRule="exact"/>
        <w:rPr>
          <w:sz w:val="20"/>
          <w:szCs w:val="20"/>
          <w:color w:val="auto"/>
        </w:rPr>
      </w:pPr>
    </w:p>
    <w:p>
      <w:pPr>
        <w:ind w:left="540" w:firstLine="388"/>
        <w:spacing w:after="0" w:line="276" w:lineRule="auto"/>
        <w:rPr>
          <w:sz w:val="20"/>
          <w:szCs w:val="20"/>
          <w:color w:val="auto"/>
        </w:rPr>
      </w:pPr>
      <w:r>
        <w:rPr>
          <w:rFonts w:ascii="Times New Roman" w:cs="Times New Roman" w:eastAsia="Times New Roman" w:hAnsi="Times New Roman"/>
          <w:sz w:val="17"/>
          <w:szCs w:val="17"/>
          <w:color w:val="auto"/>
        </w:rPr>
        <w:t>(ii)  an opinion and negative assurance letter of Cooley LLP, outside counsel for the Company, dated the Option Closing Date, relating to the Additional Shares to be purchased on such Option Closing Date and otherwise to the same effect as the opinion required by Section 5(c) hereof;</w:t>
      </w:r>
    </w:p>
    <w:p>
      <w:pPr>
        <w:spacing w:after="0" w:line="57" w:lineRule="exact"/>
        <w:rPr>
          <w:sz w:val="20"/>
          <w:szCs w:val="20"/>
          <w:color w:val="auto"/>
        </w:rPr>
      </w:pPr>
    </w:p>
    <w:p>
      <w:pPr>
        <w:jc w:val="both"/>
        <w:ind w:left="540" w:right="400" w:firstLine="388"/>
        <w:spacing w:after="0" w:line="276" w:lineRule="auto"/>
        <w:rPr>
          <w:sz w:val="20"/>
          <w:szCs w:val="20"/>
          <w:color w:val="auto"/>
        </w:rPr>
      </w:pPr>
      <w:r>
        <w:rPr>
          <w:rFonts w:ascii="Times New Roman" w:cs="Times New Roman" w:eastAsia="Times New Roman" w:hAnsi="Times New Roman"/>
          <w:sz w:val="17"/>
          <w:szCs w:val="17"/>
          <w:color w:val="auto"/>
        </w:rPr>
        <w:t>(iii)  an opinion and negative assurance letter of Davis Polk &amp; Wardwell LLP, counsel for the Underwriters, dated the Option Closing Date, relating to the Additional Shares to be purchased on such Option Closing Date and otherwise to the same effect as the opinion required by Section 5(d) hereof;</w:t>
      </w:r>
    </w:p>
    <w:p>
      <w:pPr>
        <w:spacing w:after="0" w:line="57" w:lineRule="exact"/>
        <w:rPr>
          <w:sz w:val="20"/>
          <w:szCs w:val="20"/>
          <w:color w:val="auto"/>
        </w:rPr>
      </w:pPr>
    </w:p>
    <w:p>
      <w:pPr>
        <w:ind w:left="540" w:right="80" w:firstLine="388"/>
        <w:spacing w:after="0" w:line="269" w:lineRule="auto"/>
        <w:rPr>
          <w:sz w:val="20"/>
          <w:szCs w:val="20"/>
          <w:color w:val="auto"/>
        </w:rPr>
      </w:pPr>
      <w:r>
        <w:rPr>
          <w:rFonts w:ascii="Times New Roman" w:cs="Times New Roman" w:eastAsia="Times New Roman" w:hAnsi="Times New Roman"/>
          <w:sz w:val="17"/>
          <w:szCs w:val="17"/>
          <w:color w:val="auto"/>
        </w:rPr>
        <w:t xml:space="preserve">(iv)  a letter dated the Option Closing Date, in form and substance reasonably satisfactory to the Representatives, from PricewaterhouseCoopers LLP, independent public accountants, substantially in the same form and substance as the letter furnished to the Underwriters pursuant to Section 5(e)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letter delivered on the Option Closing Date shall use a “cut-off date” not earlier than two business days prior to such Option Closing Date; and</w:t>
      </w:r>
    </w:p>
    <w:p>
      <w:pPr>
        <w:spacing w:after="0" w:line="65" w:lineRule="exact"/>
        <w:rPr>
          <w:sz w:val="20"/>
          <w:szCs w:val="20"/>
          <w:color w:val="auto"/>
        </w:rPr>
      </w:pPr>
    </w:p>
    <w:p>
      <w:pPr>
        <w:ind w:left="540" w:right="80" w:firstLine="388"/>
        <w:spacing w:after="0" w:line="295" w:lineRule="auto"/>
        <w:rPr>
          <w:sz w:val="20"/>
          <w:szCs w:val="20"/>
          <w:color w:val="auto"/>
        </w:rPr>
      </w:pPr>
      <w:r>
        <w:rPr>
          <w:rFonts w:ascii="Times New Roman" w:cs="Times New Roman" w:eastAsia="Times New Roman" w:hAnsi="Times New Roman"/>
          <w:sz w:val="17"/>
          <w:szCs w:val="17"/>
          <w:color w:val="auto"/>
        </w:rPr>
        <w:t>(v)  a certificate, dated the Option Closing Date and signed by the chief financial officer of the Company substantially in the same form and substance as the letter furnished to the Underwriters pursuant to Section 5(g) hereof;</w:t>
      </w:r>
    </w:p>
    <w:p>
      <w:pPr>
        <w:spacing w:after="0" w:line="42" w:lineRule="exact"/>
        <w:rPr>
          <w:sz w:val="20"/>
          <w:szCs w:val="20"/>
          <w:color w:val="auto"/>
        </w:rPr>
      </w:pPr>
    </w:p>
    <w:p>
      <w:pPr>
        <w:ind w:left="540" w:right="100" w:firstLine="388"/>
        <w:spacing w:after="0" w:line="295" w:lineRule="auto"/>
        <w:rPr>
          <w:sz w:val="20"/>
          <w:szCs w:val="20"/>
          <w:color w:val="auto"/>
        </w:rPr>
      </w:pPr>
      <w:r>
        <w:rPr>
          <w:rFonts w:ascii="Times New Roman" w:cs="Times New Roman" w:eastAsia="Times New Roman" w:hAnsi="Times New Roman"/>
          <w:sz w:val="17"/>
          <w:szCs w:val="17"/>
          <w:color w:val="auto"/>
        </w:rPr>
        <w:t>(vi)  satisfactory evidence of the good standing as of the Option Closing Date of the Company and its subsidiaries substantially in the same form and substance as the evidence furnished to the Underwriters pursuant to Section 5(h) hereof; and</w:t>
      </w:r>
    </w:p>
    <w:p>
      <w:pPr>
        <w:spacing w:after="0" w:line="8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140"/>
          </w:cols>
          <w:pgMar w:left="1040" w:top="265" w:right="719" w:bottom="1440" w:gutter="0" w:footer="0" w:header="0"/>
        </w:sectPr>
      </w:pPr>
    </w:p>
    <w:bookmarkStart w:id="354" w:name="page355"/>
    <w:bookmarkEnd w:id="354"/>
    <w:p>
      <w:pPr>
        <w:ind w:left="540" w:firstLine="388"/>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(vii)  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17"/>
          <w:szCs w:val="17"/>
          <w:i w:val="1"/>
          <w:iCs w:val="1"/>
          <w:color w:val="auto"/>
        </w:rPr>
        <w:t>Covenants of the Company</w:t>
      </w:r>
      <w:r>
        <w:rPr>
          <w:rFonts w:ascii="Times New Roman" w:cs="Times New Roman" w:eastAsia="Times New Roman" w:hAnsi="Times New Roman"/>
          <w:sz w:val="17"/>
          <w:szCs w:val="17"/>
          <w:color w:val="auto"/>
        </w:rPr>
        <w:t>. The Company covenants with each Underwriter as follows:</w:t>
      </w:r>
    </w:p>
    <w:p>
      <w:pPr>
        <w:spacing w:after="0" w:line="120" w:lineRule="exact"/>
        <w:rPr>
          <w:sz w:val="20"/>
          <w:szCs w:val="20"/>
          <w:color w:val="auto"/>
        </w:rPr>
      </w:pPr>
    </w:p>
    <w:p>
      <w:pPr>
        <w:ind w:right="20" w:firstLine="409"/>
        <w:spacing w:after="0" w:line="266" w:lineRule="auto"/>
        <w:rPr>
          <w:sz w:val="20"/>
          <w:szCs w:val="20"/>
          <w:color w:val="auto"/>
        </w:rPr>
      </w:pPr>
      <w:r>
        <w:rPr>
          <w:rFonts w:ascii="Times New Roman" w:cs="Times New Roman" w:eastAsia="Times New Roman" w:hAnsi="Times New Roman"/>
          <w:sz w:val="17"/>
          <w:szCs w:val="17"/>
          <w:color w:val="auto"/>
        </w:rPr>
        <w:t>(a)  To furnish to the Representatives, without charge, three signed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pacing w:after="0" w:line="67" w:lineRule="exact"/>
        <w:rPr>
          <w:sz w:val="20"/>
          <w:szCs w:val="20"/>
          <w:color w:val="auto"/>
        </w:rPr>
      </w:pPr>
    </w:p>
    <w:p>
      <w:pPr>
        <w:ind w:right="140" w:firstLine="409"/>
        <w:spacing w:after="0" w:line="269" w:lineRule="auto"/>
        <w:rPr>
          <w:sz w:val="20"/>
          <w:szCs w:val="20"/>
          <w:color w:val="auto"/>
        </w:rPr>
      </w:pPr>
      <w:r>
        <w:rPr>
          <w:rFonts w:ascii="Times New Roman" w:cs="Times New Roman" w:eastAsia="Times New Roman" w:hAnsi="Times New Roman"/>
          <w:sz w:val="17"/>
          <w:szCs w:val="17"/>
          <w:color w:val="auto"/>
        </w:rPr>
        <w:t>(b)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65" w:lineRule="exact"/>
        <w:rPr>
          <w:sz w:val="20"/>
          <w:szCs w:val="20"/>
          <w:color w:val="auto"/>
        </w:rPr>
      </w:pPr>
    </w:p>
    <w:p>
      <w:pPr>
        <w:ind w:right="20" w:firstLine="409"/>
        <w:spacing w:after="0" w:line="295" w:lineRule="auto"/>
        <w:rPr>
          <w:sz w:val="20"/>
          <w:szCs w:val="20"/>
          <w:color w:val="auto"/>
        </w:rPr>
      </w:pPr>
      <w:r>
        <w:rPr>
          <w:rFonts w:ascii="Times New Roman" w:cs="Times New Roman" w:eastAsia="Times New Roman" w:hAnsi="Times New Roman"/>
          <w:sz w:val="17"/>
          <w:szCs w:val="17"/>
          <w:color w:val="auto"/>
        </w:rPr>
        <w:t>(c)  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42" w:lineRule="exact"/>
        <w:rPr>
          <w:sz w:val="20"/>
          <w:szCs w:val="20"/>
          <w:color w:val="auto"/>
        </w:rPr>
      </w:pPr>
    </w:p>
    <w:p>
      <w:pPr>
        <w:ind w:right="20" w:firstLine="409"/>
        <w:spacing w:after="0" w:line="276" w:lineRule="auto"/>
        <w:rPr>
          <w:sz w:val="20"/>
          <w:szCs w:val="20"/>
          <w:color w:val="auto"/>
        </w:rPr>
      </w:pPr>
      <w:r>
        <w:rPr>
          <w:rFonts w:ascii="Times New Roman" w:cs="Times New Roman" w:eastAsia="Times New Roman" w:hAnsi="Times New Roman"/>
          <w:sz w:val="17"/>
          <w:szCs w:val="17"/>
          <w:color w:val="auto"/>
        </w:rPr>
        <w:t>(d)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57" w:lineRule="exact"/>
        <w:rPr>
          <w:sz w:val="20"/>
          <w:szCs w:val="20"/>
          <w:color w:val="auto"/>
        </w:rPr>
      </w:pPr>
    </w:p>
    <w:p>
      <w:pPr>
        <w:ind w:right="40" w:firstLine="409"/>
        <w:spacing w:after="0" w:line="266" w:lineRule="auto"/>
        <w:rPr>
          <w:sz w:val="20"/>
          <w:szCs w:val="20"/>
          <w:color w:val="auto"/>
        </w:rPr>
      </w:pPr>
      <w:r>
        <w:rPr>
          <w:rFonts w:ascii="Times New Roman" w:cs="Times New Roman" w:eastAsia="Times New Roman" w:hAnsi="Times New Roman"/>
          <w:sz w:val="17"/>
          <w:szCs w:val="17"/>
          <w:color w:val="auto"/>
        </w:rPr>
        <w:t>(e)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in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w:t>
      </w:r>
    </w:p>
    <w:p>
      <w:pPr>
        <w:spacing w:after="0" w:line="1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240"/>
          </w:cols>
          <w:pgMar w:left="1040" w:top="265" w:right="619" w:bottom="1440" w:gutter="0" w:footer="0" w:header="0"/>
        </w:sectPr>
      </w:pPr>
    </w:p>
    <w:bookmarkStart w:id="355" w:name="page356"/>
    <w:bookmarkEnd w:id="355"/>
    <w:p>
      <w:pPr>
        <w:ind w:right="6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67" w:lineRule="exact"/>
        <w:rPr>
          <w:sz w:val="20"/>
          <w:szCs w:val="20"/>
          <w:color w:val="auto"/>
        </w:rPr>
      </w:pPr>
    </w:p>
    <w:p>
      <w:pPr>
        <w:ind w:right="40" w:firstLine="409"/>
        <w:spacing w:after="0" w:line="260" w:lineRule="auto"/>
        <w:rPr>
          <w:sz w:val="20"/>
          <w:szCs w:val="20"/>
          <w:color w:val="auto"/>
        </w:rPr>
      </w:pPr>
      <w:r>
        <w:rPr>
          <w:rFonts w:ascii="Times New Roman" w:cs="Times New Roman" w:eastAsia="Times New Roman" w:hAnsi="Times New Roman"/>
          <w:sz w:val="17"/>
          <w:szCs w:val="17"/>
          <w:color w:val="auto"/>
        </w:rPr>
        <w:t>(f)  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(the “</w:t>
      </w:r>
      <w:r>
        <w:rPr>
          <w:rFonts w:ascii="Times New Roman" w:cs="Times New Roman" w:eastAsia="Times New Roman" w:hAnsi="Times New Roman"/>
          <w:sz w:val="17"/>
          <w:szCs w:val="17"/>
          <w:b w:val="1"/>
          <w:bCs w:val="1"/>
          <w:color w:val="auto"/>
        </w:rPr>
        <w:t>Prospectus Delivery Period</w:t>
      </w:r>
      <w:r>
        <w:rPr>
          <w:rFonts w:ascii="Times New Roman" w:cs="Times New Roman" w:eastAsia="Times New Roman" w:hAnsi="Times New Roman"/>
          <w:sz w:val="17"/>
          <w:szCs w:val="17"/>
          <w:color w:val="auto"/>
        </w:rPr>
        <w:t>”),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75" w:lineRule="exact"/>
        <w:rPr>
          <w:sz w:val="20"/>
          <w:szCs w:val="20"/>
          <w:color w:val="auto"/>
        </w:rPr>
      </w:pPr>
    </w:p>
    <w:p>
      <w:pPr>
        <w:ind w:firstLine="409"/>
        <w:spacing w:after="0" w:line="269" w:lineRule="auto"/>
        <w:rPr>
          <w:sz w:val="20"/>
          <w:szCs w:val="20"/>
          <w:color w:val="auto"/>
        </w:rPr>
      </w:pPr>
      <w:r>
        <w:rPr>
          <w:rFonts w:ascii="Times New Roman" w:cs="Times New Roman" w:eastAsia="Times New Roman" w:hAnsi="Times New Roman"/>
          <w:sz w:val="17"/>
          <w:szCs w:val="17"/>
          <w:color w:val="auto"/>
        </w:rPr>
        <w:t>(g)  To endeavor to qualify the Shares for offer and sale under the securities or Blue Sky laws of such jurisdictions as the Representatives shall reasonably request; provided, however, that nothing contained herein shall require the Company to qualify as a foreign corporation or other entity or as a dealer in securities in any jurisdiction where it would not otherwise be required to so qualify, to execute or file any general consent to service of process in any such jurisdiction or to subject itself to taxation in any such jurisdiction if it is not otherwise so subject.</w:t>
      </w:r>
    </w:p>
    <w:p>
      <w:pPr>
        <w:spacing w:after="0" w:line="65" w:lineRule="exact"/>
        <w:rPr>
          <w:sz w:val="20"/>
          <w:szCs w:val="20"/>
          <w:color w:val="auto"/>
        </w:rPr>
      </w:pPr>
    </w:p>
    <w:p>
      <w:pPr>
        <w:ind w:right="80" w:firstLine="409"/>
        <w:spacing w:after="0" w:line="269" w:lineRule="auto"/>
        <w:rPr>
          <w:sz w:val="20"/>
          <w:szCs w:val="20"/>
          <w:color w:val="auto"/>
        </w:rPr>
      </w:pPr>
      <w:r>
        <w:rPr>
          <w:rFonts w:ascii="Times New Roman" w:cs="Times New Roman" w:eastAsia="Times New Roman" w:hAnsi="Times New Roman"/>
          <w:sz w:val="17"/>
          <w:szCs w:val="17"/>
          <w:color w:val="auto"/>
        </w:rPr>
        <w:t>(h)  To make generally available (which may be satisfied by filing with the Commission on its Electronic Data Gathering Analysis and Retrieval (EDGAR) System) to the Company’s securityholders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0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240"/>
          </w:cols>
          <w:pgMar w:left="1040" w:top="265" w:right="619" w:bottom="1440" w:gutter="0" w:footer="0" w:header="0"/>
        </w:sectPr>
      </w:pPr>
    </w:p>
    <w:bookmarkStart w:id="356" w:name="page357"/>
    <w:bookmarkEnd w:id="356"/>
    <w:p>
      <w:pPr>
        <w:jc w:val="both"/>
        <w:ind w:left="428" w:right="20" w:firstLine="409"/>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  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57" w:lineRule="exact"/>
        <w:rPr>
          <w:sz w:val="20"/>
          <w:szCs w:val="20"/>
          <w:color w:val="auto"/>
        </w:rPr>
      </w:pPr>
    </w:p>
    <w:p>
      <w:pPr>
        <w:ind w:left="428" w:right="20" w:firstLine="409"/>
        <w:spacing w:after="0" w:line="265" w:lineRule="auto"/>
        <w:rPr>
          <w:sz w:val="20"/>
          <w:szCs w:val="20"/>
          <w:color w:val="auto"/>
        </w:rPr>
      </w:pPr>
      <w:r>
        <w:rPr>
          <w:rFonts w:ascii="Times New Roman" w:cs="Times New Roman" w:eastAsia="Times New Roman" w:hAnsi="Times New Roman"/>
          <w:sz w:val="17"/>
          <w:szCs w:val="17"/>
          <w:color w:val="auto"/>
        </w:rPr>
        <w:t>(j)  If at any time following the distribution of any Written Testing-the-Waters Communication there occurred or occurs an event or development as a result of which such Written Testing-the-Waters Communication, as then amended or supplemented,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280" w:lineRule="exact"/>
        <w:rPr>
          <w:sz w:val="20"/>
          <w:szCs w:val="20"/>
          <w:color w:val="auto"/>
        </w:rPr>
      </w:pPr>
    </w:p>
    <w:p>
      <w:pPr>
        <w:ind w:left="428" w:right="20" w:firstLine="409"/>
        <w:spacing w:after="0" w:line="269" w:lineRule="auto"/>
        <w:rPr>
          <w:sz w:val="20"/>
          <w:szCs w:val="20"/>
          <w:color w:val="auto"/>
        </w:rPr>
      </w:pPr>
      <w:r>
        <w:rPr>
          <w:rFonts w:ascii="Times New Roman" w:cs="Times New Roman" w:eastAsia="Times New Roman" w:hAnsi="Times New Roman"/>
          <w:sz w:val="17"/>
          <w:szCs w:val="17"/>
          <w:color w:val="auto"/>
        </w:rPr>
        <w:t xml:space="preserve">(k)  During the Restricted Period (as defined below), to not, without the prior written consent of Morgan Stanley and J.P. Morgan, in their sole discretion, release or waive any lock-up, market standoff or similar restrictions set forth in the equity award agreements or otherwise pursuant to an equity compensation plan for its employees, officers, directors, advisors, or consultants;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prior written consent shall not be required for any such releases or waivers that occur on terms described in the Time of Sale Prospectus.</w:t>
      </w:r>
    </w:p>
    <w:p>
      <w:pPr>
        <w:spacing w:after="0" w:line="169" w:lineRule="exact"/>
        <w:rPr>
          <w:sz w:val="20"/>
          <w:szCs w:val="20"/>
          <w:color w:val="auto"/>
        </w:rPr>
      </w:pPr>
    </w:p>
    <w:p>
      <w:pPr>
        <w:ind w:left="8" w:firstLine="426"/>
        <w:spacing w:after="0" w:line="267" w:lineRule="auto"/>
        <w:rPr>
          <w:sz w:val="20"/>
          <w:szCs w:val="20"/>
          <w:color w:val="auto"/>
        </w:rPr>
      </w:pPr>
      <w:r>
        <w:rPr>
          <w:rFonts w:ascii="Times New Roman" w:cs="Times New Roman" w:eastAsia="Times New Roman" w:hAnsi="Times New Roman"/>
          <w:sz w:val="17"/>
          <w:szCs w:val="17"/>
          <w:color w:val="auto"/>
        </w:rPr>
        <w:t>The Company also covenants with each Underwriter that, without the prior written consent of the Representatives on behalf of the Underwriters, it will not, and will not publicly disclose an intention to, during the period ending 180 days after the date of the Prospectus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8" w:hanging="8"/>
        <w:spacing w:after="0" w:line="260" w:lineRule="auto"/>
        <w:tabs>
          <w:tab w:leader="none" w:pos="25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75" w:lineRule="exact"/>
        <w:rPr>
          <w:sz w:val="20"/>
          <w:szCs w:val="20"/>
          <w:color w:val="auto"/>
        </w:rPr>
      </w:pPr>
    </w:p>
    <w:p>
      <w:pPr>
        <w:ind w:left="8" w:right="160" w:firstLine="426"/>
        <w:spacing w:after="0" w:line="268" w:lineRule="auto"/>
        <w:rPr>
          <w:sz w:val="20"/>
          <w:szCs w:val="20"/>
          <w:color w:val="auto"/>
        </w:rPr>
      </w:pPr>
      <w:r>
        <w:rPr>
          <w:rFonts w:ascii="Times New Roman" w:cs="Times New Roman" w:eastAsia="Times New Roman" w:hAnsi="Times New Roman"/>
          <w:sz w:val="17"/>
          <w:szCs w:val="17"/>
          <w:color w:val="auto"/>
        </w:rPr>
        <w:t>The restrictions contained in the preceding paragraph shall not apply to (A) the Shares to be sold hereunder, (B) the issuance by the Company of shares of Common Stock or securities convertible into or exercisable for Common Stock pursuant to the conversion or exchange of convertible or exchangeable securities or the exercise of warrants or options (including net exercise) or the settlement of restricted stock units (including net settlement), in each case outstanding on the date hereof and described in the Time of Sale Prospectus, (C) the issuance by the Company of shares of Common</w:t>
      </w:r>
    </w:p>
    <w:p>
      <w:pPr>
        <w:spacing w:after="0" w:line="3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48"/>
          </w:cols>
          <w:pgMar w:left="612" w:top="265" w:right="639" w:bottom="1440" w:gutter="0" w:footer="0" w:header="0"/>
        </w:sectPr>
      </w:pPr>
    </w:p>
    <w:bookmarkStart w:id="357" w:name="page358"/>
    <w:bookmarkEnd w:id="357"/>
    <w:p>
      <w:pPr>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Stock as payment of accrued dividends in connection with the conversion of the Company’s shares of preferred stock in the offering, (D) grants of stock options, stock awards, restricted stock, restricted stock units or other equity awards and the issuance of Common Stock or securities convertible into or exercisable for Common Stock (whether upon the exercise of stock options or otherwise) to employees, officers, directors, advisors, or consultants of the Company pursuant to the terms of a plan in effect on the date hereof and described in the Time of Sale Prospectus, (E) the establishment or amendment of a trading plan on behalf of a stockholder, officer or director of the Company pursuant to Rule 10b5-1 under the Exchange Act for the transfer of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(F) the filing of any registration statement on Form S-8 relating to securities (a) granted or to be granted pursuant to any plan in effect on the date hereof and described in the Time of Sale Prospectus or (b) otherwise eligible to be included on a registration statement on Form S-8 and described in the Time of Sale Prospectus, (G) the offer or issuance or agreement to issue by the Company of Common Stock or securities convertible into, exercisable for or which are otherwise exchangeable for or represent the right to receive Common Stock in connection with an acquisition, merger, joint venture, strategic alliance, commercial or other collaborative relationship or the acquisition or license by the Company or any of its subsidiaries of the securities, business, property or other assets of another person or entity or pursuant to any employee benefit plan as assumed by the Company in connection with any such acquisition or transaction, provided that the aggregate number of shares of Common Stock, securities convertible into, exercisable for or which are otherwise exchangeable for or represent the right to receive Common Stock that the Company may sell or issue or agree to sell or issue pursuant to this clause (G) shall not exceed 15.0% of the total number of shares of Common Stock outstanding immediately following the issuance of the Shares hereunder and provided further that, with respect to clauses (B) to (G) above, the recipients thereof provide to the Representatives a signed Lock-up Agreement substantially in the form of the lock-up letter described in Section 5(f) hereof.</w:t>
      </w:r>
    </w:p>
    <w:p>
      <w:pPr>
        <w:spacing w:after="0" w:line="189" w:lineRule="exact"/>
        <w:rPr>
          <w:sz w:val="20"/>
          <w:szCs w:val="20"/>
          <w:color w:val="auto"/>
        </w:rPr>
      </w:pPr>
    </w:p>
    <w:p>
      <w:pPr>
        <w:ind w:right="80" w:firstLine="426"/>
        <w:spacing w:after="0" w:line="269" w:lineRule="auto"/>
        <w:rPr>
          <w:sz w:val="20"/>
          <w:szCs w:val="20"/>
          <w:color w:val="auto"/>
        </w:rPr>
      </w:pPr>
      <w:r>
        <w:rPr>
          <w:rFonts w:ascii="Times New Roman" w:cs="Times New Roman" w:eastAsia="Times New Roman" w:hAnsi="Times New Roman"/>
          <w:sz w:val="17"/>
          <w:szCs w:val="17"/>
          <w:color w:val="auto"/>
        </w:rPr>
        <w:t>If Morgan Stanley and J.P. Morgan Securities LLC, in their sole discretion, agree to release or waive the restrictions set forth in a Lock-up Agreement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67" w:lineRule="exact"/>
        <w:rPr>
          <w:sz w:val="20"/>
          <w:szCs w:val="20"/>
          <w:color w:val="auto"/>
        </w:rPr>
      </w:pPr>
    </w:p>
    <w:p>
      <w:pPr>
        <w:ind w:right="120" w:firstLine="426"/>
        <w:spacing w:after="0" w:line="277" w:lineRule="auto"/>
        <w:rPr>
          <w:sz w:val="20"/>
          <w:szCs w:val="20"/>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Shares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660"/>
          </w:cols>
          <w:pgMar w:left="620" w:top="265" w:right="619" w:bottom="1440" w:gutter="0" w:footer="0" w:header="0"/>
        </w:sectPr>
      </w:pPr>
    </w:p>
    <w:bookmarkStart w:id="358" w:name="page359"/>
    <w:bookmarkEnd w:id="358"/>
    <w:p>
      <w:pPr>
        <w:ind w:left="8"/>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reasonably incurred and documented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reasonably incurred and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documented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FINRA (provided that the amount payable by the Company with respect to fees and disbursements of counsel for the Underwriters pursuant to subsections (iii) and (iv) shall not exceed $75,000), (v) all fees and expenses in connection with the preparation and filing of the registration statement on Form 8-A relating to the Common Stock and all costs and expenses incident to listing the Shares on Nasdaq and other national securities exchanges and foreign stock exchanges,</w:t>
      </w:r>
    </w:p>
    <w:p>
      <w:pPr>
        <w:spacing w:after="0" w:line="4" w:lineRule="exact"/>
        <w:rPr>
          <w:sz w:val="20"/>
          <w:szCs w:val="20"/>
          <w:color w:val="auto"/>
        </w:rPr>
      </w:pPr>
    </w:p>
    <w:p>
      <w:pPr>
        <w:ind w:left="8" w:right="40" w:hanging="8"/>
        <w:spacing w:after="0" w:line="258" w:lineRule="auto"/>
        <w:tabs>
          <w:tab w:leader="none" w:pos="303"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cost of printing certificates, if any,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and other employees or representatives of the Company and any such consultants;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cost of any aircraft chartered in connection with the road show will be borne equally by the Company and the Underwriters, such that each of the Company, on the one hand, and the Underwriters, on the other hand, is responsible for 50% of the cost,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9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76" w:lineRule="exact"/>
        <w:rPr>
          <w:sz w:val="20"/>
          <w:szCs w:val="20"/>
          <w:color w:val="auto"/>
        </w:rPr>
      </w:pPr>
    </w:p>
    <w:p>
      <w:pPr>
        <w:ind w:left="8" w:right="260" w:firstLine="426"/>
        <w:spacing w:after="0" w:line="298" w:lineRule="auto"/>
        <w:rPr>
          <w:sz w:val="20"/>
          <w:szCs w:val="20"/>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17"/>
          <w:szCs w:val="17"/>
          <w:i w:val="1"/>
          <w:iCs w:val="1"/>
          <w:color w:val="auto"/>
        </w:rPr>
        <w:t>Covenants of the Underwriters</w:t>
      </w:r>
      <w:r>
        <w:rPr>
          <w:rFonts w:ascii="Times New Roman" w:cs="Times New Roman" w:eastAsia="Times New Roman" w:hAnsi="Times New Roman"/>
          <w:sz w:val="17"/>
          <w:szCs w:val="17"/>
          <w:color w:val="auto"/>
        </w:rPr>
        <w:t>. Each Underwriter, severally and not jointly, covenants with the Company not to take any action that would result in the Company being required to file with the Commission under Rule 433(d) a free writing</w:t>
      </w:r>
    </w:p>
    <w:p>
      <w:pPr>
        <w:spacing w:after="0" w:line="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668"/>
          </w:cols>
          <w:pgMar w:left="612" w:top="264" w:right="619" w:bottom="1440" w:gutter="0" w:footer="0" w:header="0"/>
        </w:sectPr>
      </w:pPr>
    </w:p>
    <w:bookmarkStart w:id="359" w:name="page360"/>
    <w:bookmarkEnd w:id="359"/>
    <w:p>
      <w:pPr>
        <w:ind w:right="8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prospectus prepared by or on behalf of such Underwriter that otherwise would not be required to be filed by the Company thereunder, but for the action of the Underwriter.</w:t>
      </w:r>
    </w:p>
    <w:p>
      <w:pPr>
        <w:spacing w:after="0" w:line="145" w:lineRule="exact"/>
        <w:rPr>
          <w:sz w:val="20"/>
          <w:szCs w:val="20"/>
          <w:color w:val="auto"/>
        </w:rPr>
      </w:pPr>
    </w:p>
    <w:p>
      <w:pPr>
        <w:ind w:right="20" w:firstLine="426"/>
        <w:spacing w:after="0" w:line="259" w:lineRule="auto"/>
        <w:rPr>
          <w:sz w:val="20"/>
          <w:szCs w:val="20"/>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17"/>
          <w:szCs w:val="17"/>
          <w:i w:val="1"/>
          <w:iCs w:val="1"/>
          <w:color w:val="auto"/>
        </w:rPr>
        <w:t>Indemnity and Contribution.</w:t>
      </w:r>
      <w:r>
        <w:rPr>
          <w:rFonts w:ascii="Times New Roman" w:cs="Times New Roman" w:eastAsia="Times New Roman" w:hAnsi="Times New Roman"/>
          <w:sz w:val="17"/>
          <w:szCs w:val="17"/>
          <w:color w:val="auto"/>
        </w:rPr>
        <w:t xml:space="preserve"> (a) The Company agrees to indemnify and hold harmless each Underwriter, its directors and officers,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7"/>
          <w:szCs w:val="17"/>
          <w:b w:val="1"/>
          <w:bCs w:val="1"/>
          <w:color w:val="auto"/>
        </w:rPr>
        <w:t>road show</w:t>
      </w:r>
      <w:r>
        <w:rPr>
          <w:rFonts w:ascii="Times New Roman" w:cs="Times New Roman" w:eastAsia="Times New Roman" w:hAnsi="Times New Roman"/>
          <w:sz w:val="17"/>
          <w:szCs w:val="17"/>
          <w:color w:val="auto"/>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paragraph (c) below.</w:t>
      </w:r>
    </w:p>
    <w:p>
      <w:pPr>
        <w:spacing w:after="0" w:line="80" w:lineRule="exact"/>
        <w:rPr>
          <w:sz w:val="20"/>
          <w:szCs w:val="20"/>
          <w:color w:val="auto"/>
        </w:rPr>
      </w:pPr>
    </w:p>
    <w:p>
      <w:pPr>
        <w:ind w:left="420" w:firstLine="409"/>
        <w:spacing w:after="0" w:line="263" w:lineRule="auto"/>
        <w:rPr>
          <w:sz w:val="20"/>
          <w:szCs w:val="20"/>
          <w:color w:val="auto"/>
        </w:rPr>
      </w:pPr>
      <w:r>
        <w:rPr>
          <w:rFonts w:ascii="Times New Roman" w:cs="Times New Roman" w:eastAsia="Times New Roman" w:hAnsi="Times New Roman"/>
          <w:sz w:val="17"/>
          <w:szCs w:val="17"/>
          <w:color w:val="auto"/>
        </w:rPr>
        <w:t>(b)  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therein; it being understood and agreed that such information consists solely of: the selling concession amount appearing in the third paragraph under the caption “Underwriting,” and the information concerning stabilization in the nineteenth paragraph under the caption “Underwriting” in the Time of Sale Prospectus and the Prospectus.</w:t>
      </w:r>
    </w:p>
    <w:p>
      <w:pPr>
        <w:spacing w:after="0" w:line="69" w:lineRule="exact"/>
        <w:rPr>
          <w:sz w:val="20"/>
          <w:szCs w:val="20"/>
          <w:color w:val="auto"/>
        </w:rPr>
      </w:pPr>
    </w:p>
    <w:p>
      <w:pPr>
        <w:ind w:left="420" w:right="80" w:firstLine="409"/>
        <w:spacing w:after="0" w:line="269" w:lineRule="auto"/>
        <w:rPr>
          <w:sz w:val="20"/>
          <w:szCs w:val="20"/>
          <w:color w:val="auto"/>
        </w:rPr>
      </w:pPr>
      <w:r>
        <w:rPr>
          <w:rFonts w:ascii="Times New Roman" w:cs="Times New Roman" w:eastAsia="Times New Roman" w:hAnsi="Times New Roman"/>
          <w:sz w:val="17"/>
          <w:szCs w:val="17"/>
          <w:color w:val="auto"/>
        </w:rPr>
        <w:t>(c)  In case any proceeding (including any governmental investigation) shall be instituted involving any person in respect of which indemnity may be sought pursuant to Section 9(a) or 9(b),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620"/>
          </w:cols>
          <w:pgMar w:left="620" w:top="264" w:right="659" w:bottom="1440" w:gutter="0" w:footer="0" w:header="0"/>
        </w:sectPr>
      </w:pPr>
    </w:p>
    <w:bookmarkStart w:id="360" w:name="page361"/>
    <w:bookmarkEnd w:id="360"/>
    <w:p>
      <w:pPr>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party to represent the indemnified party and any others the indemnifying party may designate in such proceeding and shall pay the reasonably incurred,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(iii) the indemnifying party has failed within a reasonable time to retain counsel reasonably satisfactory to the indemnified party; or (iv) the indemnified party shall have reasonably concluded that there may be legal defenses available to it that are different from or in addition to those available to the indemnifying party. It is understood and agreed that the indemnifying party shall not, in respect of the legal expenses of any indemnified party in connection with any proceeding or related proceedings in the same jurisdiction, be liable for (i) the reasonably incurred and documented fees and expenses of more than one separate firm (in addition to any local counsel) for all such indemnified parties that all such reasonably incurred and documented fees and expenses shall be reimbursed as they are incurred. Such firm shall be designated in writing by the Representatives, in the case of parties indemnified pursuant to Section 9(a), and by the Company, in the case of parties indemnified pursuant to Section 9(b).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any statement as to or any admission of fault, culpability or a failure to act by or on behalf of any indemnified party.</w:t>
      </w:r>
    </w:p>
    <w:p>
      <w:pPr>
        <w:spacing w:after="0" w:line="79" w:lineRule="exact"/>
        <w:rPr>
          <w:sz w:val="20"/>
          <w:szCs w:val="20"/>
          <w:color w:val="auto"/>
        </w:rPr>
      </w:pPr>
    </w:p>
    <w:p>
      <w:pPr>
        <w:ind w:right="40" w:firstLine="409"/>
        <w:spacing w:after="0" w:line="295" w:lineRule="auto"/>
        <w:rPr>
          <w:sz w:val="20"/>
          <w:szCs w:val="20"/>
          <w:color w:val="auto"/>
        </w:rPr>
      </w:pPr>
      <w:r>
        <w:rPr>
          <w:rFonts w:ascii="Times New Roman" w:cs="Times New Roman" w:eastAsia="Times New Roman" w:hAnsi="Times New Roman"/>
          <w:sz w:val="17"/>
          <w:szCs w:val="17"/>
          <w:color w:val="auto"/>
        </w:rPr>
        <w:t>(d)  To the extent the indemnification provided for in Section 9(a) or 9(b) is unavailable to an indemnified party or insufficient in respect of any losses, claims, damages or liabilities referred to therein, then each indemnifying party</w:t>
      </w:r>
    </w:p>
    <w:p>
      <w:pPr>
        <w:spacing w:after="0" w:line="8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240"/>
          </w:cols>
          <w:pgMar w:left="1040" w:top="265" w:right="619" w:bottom="1440" w:gutter="0" w:footer="0" w:header="0"/>
        </w:sectPr>
      </w:pPr>
    </w:p>
    <w:bookmarkStart w:id="361" w:name="page362"/>
    <w:bookmarkEnd w:id="361"/>
    <w:p>
      <w:pPr>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9(d)(i) above is not permitted by applicable law, in such proportion as is appropriate to reflect not only the relative benefits referred to in clause 9(d)(i)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(after deducting underwriting discounts and commissions but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w:t>
      </w:r>
    </w:p>
    <w:p>
      <w:pPr>
        <w:spacing w:after="0" w:line="77" w:lineRule="exact"/>
        <w:rPr>
          <w:sz w:val="20"/>
          <w:szCs w:val="20"/>
          <w:color w:val="auto"/>
        </w:rPr>
      </w:pPr>
    </w:p>
    <w:p>
      <w:pPr>
        <w:ind w:firstLine="409"/>
        <w:spacing w:after="0" w:line="260" w:lineRule="auto"/>
        <w:rPr>
          <w:sz w:val="20"/>
          <w:szCs w:val="20"/>
          <w:color w:val="auto"/>
        </w:rPr>
      </w:pPr>
      <w:r>
        <w:rPr>
          <w:rFonts w:ascii="Times New Roman" w:cs="Times New Roman" w:eastAsia="Times New Roman" w:hAnsi="Times New Roman"/>
          <w:sz w:val="17"/>
          <w:szCs w:val="17"/>
          <w:color w:val="auto"/>
        </w:rPr>
        <w:t xml:space="preserve">(e)  The Company and the Underwriters agree that it would not be just or equitable if contribution pursuant to this Section 9 were determined by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allocation (even if the Underwriters were treated as one entity for such purpose) or by any other method of allocation that does not take account of the equitable considerations referred to in Section 9(d). The amount paid or payable by an indemnified party as a result of the losses, claims, damages and liabilities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220"/>
          </w:cols>
          <w:pgMar w:left="1040" w:top="265" w:right="639" w:bottom="1440" w:gutter="0" w:footer="0" w:header="0"/>
        </w:sectPr>
      </w:pPr>
    </w:p>
    <w:bookmarkStart w:id="362" w:name="page363"/>
    <w:bookmarkEnd w:id="362"/>
    <w:p>
      <w:pPr>
        <w:ind w:left="420" w:right="220" w:firstLine="409"/>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  The indemnity and contribution provisions contained in this Section 9 and the representations, warranties and other statements of the Company contained in this Agreement shall remain operative and in full force and effect regardless of (i) any termination of this Agreement,</w:t>
      </w:r>
    </w:p>
    <w:p>
      <w:pPr>
        <w:spacing w:after="0" w:line="1" w:lineRule="exact"/>
        <w:rPr>
          <w:sz w:val="20"/>
          <w:szCs w:val="20"/>
          <w:color w:val="auto"/>
        </w:rPr>
      </w:pPr>
    </w:p>
    <w:p>
      <w:pPr>
        <w:ind w:left="420" w:hanging="2"/>
        <w:spacing w:after="0" w:line="273" w:lineRule="auto"/>
        <w:tabs>
          <w:tab w:leader="none" w:pos="676"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372" w:lineRule="exact"/>
        <w:rPr>
          <w:sz w:val="20"/>
          <w:szCs w:val="20"/>
          <w:color w:val="auto"/>
        </w:rPr>
      </w:pPr>
    </w:p>
    <w:p>
      <w:pPr>
        <w:ind w:right="40" w:firstLine="426"/>
        <w:spacing w:after="0" w:line="261" w:lineRule="auto"/>
        <w:rPr>
          <w:sz w:val="20"/>
          <w:szCs w:val="20"/>
          <w:color w:val="auto"/>
        </w:rPr>
      </w:pPr>
      <w:r>
        <w:rPr>
          <w:rFonts w:ascii="Times New Roman" w:cs="Times New Roman" w:eastAsia="Times New Roman" w:hAnsi="Times New Roman"/>
          <w:sz w:val="17"/>
          <w:szCs w:val="17"/>
          <w:color w:val="auto"/>
        </w:rPr>
        <w:t xml:space="preserve">10. 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The Underwriters may terminate this Agreement by notice given by the Representatives to the Company,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or Nasdaq,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Effectiveness; Defaulting Underwriters</w:t>
      </w:r>
      <w:r>
        <w:rPr>
          <w:rFonts w:ascii="Times New Roman" w:cs="Times New Roman" w:eastAsia="Times New Roman" w:hAnsi="Times New Roman"/>
          <w:sz w:val="17"/>
          <w:szCs w:val="17"/>
          <w:color w:val="auto"/>
        </w:rPr>
        <w:t>. This Agreement shall become effective upon the execution and delivery hereof by the parties hereto.</w:t>
      </w:r>
    </w:p>
    <w:p>
      <w:pPr>
        <w:spacing w:after="0" w:line="225"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7"/>
          <w:szCs w:val="17"/>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640"/>
          </w:cols>
          <w:pgMar w:left="620" w:top="264" w:right="639" w:bottom="1440" w:gutter="0" w:footer="0" w:header="0"/>
        </w:sectPr>
      </w:pPr>
    </w:p>
    <w:bookmarkStart w:id="363" w:name="page364"/>
    <w:bookmarkEnd w:id="363"/>
    <w:p>
      <w:pPr>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Shares and the aggregate number of Firm Shares with respect to which such default occurs is more than one-tenth of the aggregate number of Firm Shares to be purchased on such date, and arrangements satisfactory to the Representatives,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0"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documented out of pocket expenses reasonably incurred (including the reasonable fees and disbursements of their counsel) by such Underwriters in connection with this Agreement or the offering contemplated hereunder, provided that the Company shall not be required to reimburse the Underwriters pursuant to this Section 11 if the Agreement is terminated pursuant to Sections 10(i), 10(iii), 10(iv) and 10(v) hereof.</w:t>
      </w:r>
    </w:p>
    <w:p>
      <w:pPr>
        <w:spacing w:after="0" w:line="171" w:lineRule="exact"/>
        <w:rPr>
          <w:sz w:val="20"/>
          <w:szCs w:val="20"/>
          <w:color w:val="auto"/>
        </w:rPr>
      </w:pPr>
    </w:p>
    <w:p>
      <w:pPr>
        <w:ind w:right="20" w:firstLine="426"/>
        <w:spacing w:after="0" w:line="27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Entire Agreement</w:t>
      </w:r>
      <w:r>
        <w:rPr>
          <w:rFonts w:ascii="Times New Roman" w:cs="Times New Roman" w:eastAsia="Times New Roman" w:hAnsi="Times New Roman"/>
          <w:sz w:val="17"/>
          <w:szCs w:val="17"/>
          <w:color w:val="auto"/>
        </w:rPr>
        <w:t>. (a) 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63" w:lineRule="exact"/>
        <w:rPr>
          <w:sz w:val="20"/>
          <w:szCs w:val="20"/>
          <w:color w:val="auto"/>
        </w:rPr>
      </w:pPr>
    </w:p>
    <w:p>
      <w:pPr>
        <w:ind w:left="420" w:right="60" w:firstLine="409"/>
        <w:spacing w:after="0" w:line="266" w:lineRule="auto"/>
        <w:rPr>
          <w:sz w:val="20"/>
          <w:szCs w:val="20"/>
          <w:color w:val="auto"/>
        </w:rPr>
      </w:pPr>
      <w:r>
        <w:rPr>
          <w:rFonts w:ascii="Times New Roman" w:cs="Times New Roman" w:eastAsia="Times New Roman" w:hAnsi="Times New Roman"/>
          <w:sz w:val="17"/>
          <w:szCs w:val="17"/>
          <w:color w:val="auto"/>
        </w:rPr>
        <w:t>(b)  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640"/>
          </w:cols>
          <w:pgMar w:left="620" w:top="264" w:right="639" w:bottom="1440" w:gutter="0" w:footer="0" w:header="0"/>
        </w:sectPr>
      </w:pPr>
    </w:p>
    <w:bookmarkStart w:id="364" w:name="page365"/>
    <w:bookmarkEnd w:id="364"/>
    <w:p>
      <w:pPr>
        <w:ind w:left="420"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160" w:lineRule="exact"/>
        <w:rPr>
          <w:sz w:val="20"/>
          <w:szCs w:val="20"/>
          <w:color w:val="auto"/>
        </w:rPr>
      </w:pPr>
    </w:p>
    <w:p>
      <w:pPr>
        <w:ind w:right="60" w:firstLine="426"/>
        <w:spacing w:after="0" w:line="270"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i w:val="1"/>
          <w:iCs w:val="1"/>
          <w:color w:val="auto"/>
        </w:rPr>
        <w:t>Recognition of the U.S. Special Resolution Regimes</w:t>
      </w:r>
      <w:r>
        <w:rPr>
          <w:rFonts w:ascii="Times New Roman" w:cs="Times New Roman" w:eastAsia="Times New Roman" w:hAnsi="Times New Roman"/>
          <w:sz w:val="17"/>
          <w:szCs w:val="17"/>
          <w:color w:val="auto"/>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sz w:val="20"/>
          <w:szCs w:val="20"/>
          <w:color w:val="auto"/>
        </w:rPr>
      </w:pPr>
    </w:p>
    <w:p>
      <w:pPr>
        <w:ind w:left="420" w:firstLine="409"/>
        <w:spacing w:after="0" w:line="269" w:lineRule="auto"/>
        <w:rPr>
          <w:sz w:val="20"/>
          <w:szCs w:val="20"/>
          <w:color w:val="auto"/>
        </w:rPr>
      </w:pPr>
      <w:r>
        <w:rPr>
          <w:rFonts w:ascii="Times New Roman" w:cs="Times New Roman" w:eastAsia="Times New Roman" w:hAnsi="Times New Roman"/>
          <w:sz w:val="17"/>
          <w:szCs w:val="17"/>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7"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color w:val="auto"/>
        </w:rPr>
        <w:t>For purposes of this Section, a “</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w:t>
      </w:r>
      <w:r>
        <w:rPr>
          <w:rFonts w:ascii="Times New Roman" w:cs="Times New Roman" w:eastAsia="Times New Roman" w:hAnsi="Times New Roman"/>
          <w:sz w:val="17"/>
          <w:szCs w:val="17"/>
          <w:b w:val="1"/>
          <w:bCs w:val="1"/>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7"/>
          <w:szCs w:val="17"/>
          <w:b w:val="1"/>
          <w:bCs w:val="1"/>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 “</w:t>
      </w:r>
      <w:r>
        <w:rPr>
          <w:rFonts w:ascii="Times New Roman" w:cs="Times New Roman" w:eastAsia="Times New Roman" w:hAnsi="Times New Roman"/>
          <w:sz w:val="17"/>
          <w:szCs w:val="17"/>
          <w:b w:val="1"/>
          <w:bCs w:val="1"/>
          <w:color w:val="auto"/>
        </w:rPr>
        <w:t>U.S. Special Resolution Regime</w:t>
      </w:r>
      <w:r>
        <w:rPr>
          <w:rFonts w:ascii="Times New Roman" w:cs="Times New Roman" w:eastAsia="Times New Roman" w:hAnsi="Times New Roman"/>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3" w:lineRule="exact"/>
        <w:rPr>
          <w:sz w:val="20"/>
          <w:szCs w:val="20"/>
          <w:color w:val="auto"/>
        </w:rPr>
      </w:pPr>
    </w:p>
    <w:p>
      <w:pPr>
        <w:ind w:right="20" w:firstLine="426"/>
        <w:spacing w:after="0" w:line="267"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complying with the U.S. federal ESIGN Act of 2000, Uniform Electronic Transactions Act or other applicable law, e.g., www. Docusign.com) or other transmission method any counterpart so delivered shall be deemed to have been duly and validly delivered and be valid and effective for all purposes.</w:t>
      </w:r>
    </w:p>
    <w:p>
      <w:pPr>
        <w:spacing w:after="0" w:line="16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i w:val="1"/>
          <w:iCs w:val="1"/>
          <w:color w:val="auto"/>
        </w:rPr>
        <w:t>Applicable Law</w:t>
      </w:r>
      <w:r>
        <w:rPr>
          <w:rFonts w:ascii="Times New Roman" w:cs="Times New Roman" w:eastAsia="Times New Roman" w:hAnsi="Times New Roman"/>
          <w:sz w:val="17"/>
          <w:szCs w:val="17"/>
          <w:color w:val="auto"/>
        </w:rPr>
        <w:t>. This Agreement shall be governed by and construed in accordance with the internal laws of the State of New York.</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600"/>
          </w:cols>
          <w:pgMar w:left="620" w:top="264" w:right="679" w:bottom="1440" w:gutter="0" w:footer="0" w:header="0"/>
        </w:sectPr>
      </w:pPr>
    </w:p>
    <w:bookmarkStart w:id="365" w:name="page366"/>
    <w:bookmarkEnd w:id="365"/>
    <w:p>
      <w:pPr>
        <w:ind w:right="200" w:firstLine="426"/>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16.  </w:t>
      </w:r>
      <w:r>
        <w:rPr>
          <w:rFonts w:ascii="Times New Roman" w:cs="Times New Roman" w:eastAsia="Times New Roman" w:hAnsi="Times New Roman"/>
          <w:sz w:val="17"/>
          <w:szCs w:val="17"/>
          <w:i w:val="1"/>
          <w:iCs w:val="1"/>
          <w:color w:val="auto"/>
        </w:rPr>
        <w:t>Headings</w:t>
      </w:r>
      <w:r>
        <w:rPr>
          <w:rFonts w:ascii="Times New Roman" w:cs="Times New Roman" w:eastAsia="Times New Roman" w:hAnsi="Times New Roman"/>
          <w:sz w:val="17"/>
          <w:szCs w:val="17"/>
          <w:color w:val="auto"/>
        </w:rPr>
        <w:t>. The headings of the sections of this Agreement have been inserted for convenience of reference only and shall not be deemed a part of this Agreement.</w:t>
      </w:r>
    </w:p>
    <w:p>
      <w:pPr>
        <w:spacing w:after="0" w:line="142" w:lineRule="exact"/>
        <w:rPr>
          <w:sz w:val="20"/>
          <w:szCs w:val="20"/>
          <w:color w:val="auto"/>
        </w:rPr>
      </w:pPr>
    </w:p>
    <w:p>
      <w:pPr>
        <w:ind w:right="100" w:firstLine="426"/>
        <w:spacing w:after="0" w:line="262" w:lineRule="auto"/>
        <w:rPr>
          <w:sz w:val="20"/>
          <w:szCs w:val="20"/>
          <w:color w:val="auto"/>
        </w:rPr>
      </w:pPr>
      <w:r>
        <w:rPr>
          <w:rFonts w:ascii="Times New Roman" w:cs="Times New Roman" w:eastAsia="Times New Roman" w:hAnsi="Times New Roman"/>
          <w:sz w:val="17"/>
          <w:szCs w:val="17"/>
          <w:color w:val="auto"/>
        </w:rPr>
        <w:t xml:space="preserve">17.  </w:t>
      </w:r>
      <w:r>
        <w:rPr>
          <w:rFonts w:ascii="Times New Roman" w:cs="Times New Roman" w:eastAsia="Times New Roman" w:hAnsi="Times New Roman"/>
          <w:sz w:val="17"/>
          <w:szCs w:val="17"/>
          <w:i w:val="1"/>
          <w:iCs w:val="1"/>
          <w:color w:val="auto"/>
        </w:rPr>
        <w:t>Submission to Jurisdiction.</w:t>
      </w:r>
      <w:r>
        <w:rPr>
          <w:rFonts w:ascii="Times New Roman" w:cs="Times New Roman" w:eastAsia="Times New Roman" w:hAnsi="Times New Roman"/>
          <w:sz w:val="17"/>
          <w:szCs w:val="17"/>
          <w:color w:val="auto"/>
        </w:rPr>
        <w:t xml:space="preserve"> The Company irrevocably submits to the nonexclusive jurisdiction of any New York State or United States Federal court sitting in the City of New York (the “</w:t>
      </w:r>
      <w:r>
        <w:rPr>
          <w:rFonts w:ascii="Times New Roman" w:cs="Times New Roman" w:eastAsia="Times New Roman" w:hAnsi="Times New Roman"/>
          <w:sz w:val="17"/>
          <w:szCs w:val="17"/>
          <w:b w:val="1"/>
          <w:bCs w:val="1"/>
          <w:color w:val="auto"/>
        </w:rPr>
        <w:t>Specified Courts</w:t>
      </w:r>
      <w:r>
        <w:rPr>
          <w:rFonts w:ascii="Times New Roman" w:cs="Times New Roman" w:eastAsia="Times New Roman" w:hAnsi="Times New Roman"/>
          <w:sz w:val="17"/>
          <w:szCs w:val="17"/>
          <w:color w:val="auto"/>
        </w:rPr>
        <w:t>”) over any suit, action or proceeding arising out of or relating to this Agreement, the Time of Sale Prospectus, the Prospectus, the Registration Statement or the offering of the Shares (each, a “</w:t>
      </w:r>
      <w:r>
        <w:rPr>
          <w:rFonts w:ascii="Times New Roman" w:cs="Times New Roman" w:eastAsia="Times New Roman" w:hAnsi="Times New Roman"/>
          <w:sz w:val="17"/>
          <w:szCs w:val="17"/>
          <w:b w:val="1"/>
          <w:bCs w:val="1"/>
          <w:color w:val="auto"/>
        </w:rPr>
        <w:t>Related Proceeding</w:t>
      </w:r>
      <w:r>
        <w:rPr>
          <w:rFonts w:ascii="Times New Roman" w:cs="Times New Roman" w:eastAsia="Times New Roman" w:hAnsi="Times New Roman"/>
          <w:sz w:val="17"/>
          <w:szCs w:val="17"/>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175" w:lineRule="exact"/>
        <w:rPr>
          <w:sz w:val="20"/>
          <w:szCs w:val="20"/>
          <w:color w:val="auto"/>
        </w:rPr>
      </w:pPr>
    </w:p>
    <w:p>
      <w:pPr>
        <w:ind w:right="120" w:firstLine="426"/>
        <w:spacing w:after="0" w:line="298" w:lineRule="auto"/>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17"/>
          <w:szCs w:val="17"/>
          <w:i w:val="1"/>
          <w:iCs w:val="1"/>
          <w:color w:val="auto"/>
        </w:rPr>
        <w:t>Waiver of Jury Trial.</w:t>
      </w:r>
      <w:r>
        <w:rPr>
          <w:rFonts w:ascii="Times New Roman" w:cs="Times New Roman" w:eastAsia="Times New Roman" w:hAnsi="Times New Roman"/>
          <w:sz w:val="17"/>
          <w:szCs w:val="17"/>
          <w:color w:val="auto"/>
        </w:rPr>
        <w:t xml:space="preserve"> Each of the parties hereto hereby waives any right to trial by jury in any suit or proceeding arising out of or relating to this Agreement.</w:t>
      </w:r>
    </w:p>
    <w:p>
      <w:pPr>
        <w:spacing w:after="0" w:line="142" w:lineRule="exact"/>
        <w:rPr>
          <w:sz w:val="20"/>
          <w:szCs w:val="20"/>
          <w:color w:val="auto"/>
        </w:rPr>
      </w:pPr>
    </w:p>
    <w:p>
      <w:pPr>
        <w:ind w:firstLine="426"/>
        <w:spacing w:after="0" w:line="236" w:lineRule="auto"/>
        <w:rPr>
          <w:sz w:val="20"/>
          <w:szCs w:val="20"/>
          <w:color w:val="auto"/>
        </w:rPr>
      </w:pPr>
      <w:r>
        <w:rPr>
          <w:rFonts w:ascii="Times New Roman" w:cs="Times New Roman" w:eastAsia="Times New Roman" w:hAnsi="Times New Roman"/>
          <w:sz w:val="17"/>
          <w:szCs w:val="17"/>
          <w:color w:val="auto"/>
        </w:rPr>
        <w:t xml:space="preserve">19. 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All communications hereunder shall be in writing and effective only upon receipt and if to the Underwriters shall be delivered, mailed or sent to the Representatives to Morgan Stanley &amp; Co. LLC, 1585 Broadway, 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Floor, New York, New York 10036, Attention: Equity Syndicate Desk, with a copy to the Legal Department, J.P. Morgan Securities LLC, 383 Madison Avenue, New York, New York 10179, Attention Equity Syndicate Desk and Allen &amp; Company LLC, 711 Fifth Avenue, New York, NY 10022, Attention: Legal Department; and if to the Company shall be delivered, mailed or sent to Tempus AI, Inc., 600 West Chicago Avenue, Suite 510, Chicago, Illinois 60654, Attention: Legal Department.</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20.   </w:t>
      </w:r>
      <w:r>
        <w:rPr>
          <w:rFonts w:ascii="Times New Roman" w:cs="Times New Roman" w:eastAsia="Times New Roman" w:hAnsi="Times New Roman"/>
          <w:sz w:val="17"/>
          <w:szCs w:val="17"/>
          <w:i w:val="1"/>
          <w:iCs w:val="1"/>
          <w:color w:val="auto"/>
        </w:rPr>
        <w:t>USA Patriot Act</w:t>
      </w:r>
      <w:r>
        <w:rPr>
          <w:rFonts w:ascii="Times New Roman" w:cs="Times New Roman" w:eastAsia="Times New Roman" w:hAnsi="Times New Roman"/>
          <w:sz w:val="17"/>
          <w:szCs w:val="17"/>
          <w:color w:val="auto"/>
        </w:rPr>
        <w:t>. In accordance with the requirements of the USA Patriot Act (Title III of Pub. L. 107-56 (signed into law October 26,</w:t>
      </w:r>
    </w:p>
    <w:p>
      <w:pPr>
        <w:spacing w:after="0" w:line="34"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7"/>
          <w:szCs w:val="17"/>
          <w:color w:val="auto"/>
        </w:rPr>
        <w:t>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9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4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Tempus AI, Inc.</w:t>
      </w:r>
    </w:p>
    <w:p>
      <w:pPr>
        <w:spacing w:after="0" w:line="2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20320</wp:posOffset>
            </wp:positionV>
            <wp:extent cx="248094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5">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640"/>
          </w:cols>
          <w:pgMar w:left="620" w:top="263" w:right="6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Accepted as of the date 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Allen &amp; Company LLC</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Acting severally on behalf of themselves and</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several Underwriters named in</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Schedule I hereto.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Morgan Stanley &amp; Co.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20320</wp:posOffset>
            </wp:positionV>
            <wp:extent cx="248094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7">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J.P. Morgan Securities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20320</wp:posOffset>
            </wp:positionV>
            <wp:extent cx="248094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8">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Allen &amp; Company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20320</wp:posOffset>
            </wp:positionV>
            <wp:extent cx="248094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9">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Title:</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9839"/>
          </w:cols>
          <w:pgMar w:left="620" w:top="265" w:right="1440"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I</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4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Firm Shares To</w:t>
            </w: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4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 Purchased</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Morgan Stanley &amp; Co. LLC</w:t>
            </w:r>
          </w:p>
        </w:tc>
        <w:tc>
          <w:tcPr>
            <w:tcW w:w="24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09"/>
        </w:trPr>
        <w:tc>
          <w:tcPr>
            <w:tcW w:w="3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J.P. Morgan Securities LLC</w:t>
            </w:r>
          </w:p>
        </w:tc>
        <w:tc>
          <w:tcPr>
            <w:tcW w:w="24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09"/>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Allen &amp; Company LLC</w:t>
            </w:r>
          </w:p>
        </w:tc>
        <w:tc>
          <w:tcPr>
            <w:tcW w:w="24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09"/>
        </w:trPr>
        <w:tc>
          <w:tcPr>
            <w:tcW w:w="3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BofA Securities, Inc.</w:t>
            </w:r>
          </w:p>
        </w:tc>
        <w:tc>
          <w:tcPr>
            <w:tcW w:w="24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09"/>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Cowen and Company, LLC</w:t>
            </w:r>
          </w:p>
        </w:tc>
        <w:tc>
          <w:tcPr>
            <w:tcW w:w="24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09"/>
        </w:trPr>
        <w:tc>
          <w:tcPr>
            <w:tcW w:w="3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Stifel, Nicolaus &amp; Company, Incorporated</w:t>
            </w:r>
          </w:p>
        </w:tc>
        <w:tc>
          <w:tcPr>
            <w:tcW w:w="24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09"/>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Blair &amp; Company, L.L.C.</w:t>
            </w:r>
          </w:p>
        </w:tc>
        <w:tc>
          <w:tcPr>
            <w:tcW w:w="24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09"/>
        </w:trPr>
        <w:tc>
          <w:tcPr>
            <w:tcW w:w="3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Loop Capital Markets LLC</w:t>
            </w:r>
          </w:p>
        </w:tc>
        <w:tc>
          <w:tcPr>
            <w:tcW w:w="24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09"/>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Needham &amp; Company, LLC</w:t>
            </w:r>
          </w:p>
        </w:tc>
        <w:tc>
          <w:tcPr>
            <w:tcW w:w="24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15"/>
        </w:trPr>
        <w:tc>
          <w:tcPr>
            <w:tcW w:w="324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auto"/>
              </w:rPr>
              <w:t>Total:</w:t>
            </w:r>
          </w:p>
        </w:tc>
        <w:tc>
          <w:tcPr>
            <w:tcW w:w="240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2"/>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I-1</w:t>
            </w:r>
          </w:p>
        </w:tc>
        <w:tc>
          <w:tcPr>
            <w:tcW w:w="0" w:type="dxa"/>
            <w:vAlign w:val="bottom"/>
          </w:tcPr>
          <w:p>
            <w:pPr>
              <w:spacing w:after="0"/>
              <w:rPr>
                <w:sz w:val="1"/>
                <w:szCs w:val="1"/>
                <w:color w:val="auto"/>
              </w:rPr>
            </w:pPr>
          </w:p>
        </w:tc>
      </w:tr>
    </w:tbl>
    <w:p>
      <w:pPr>
        <w:sectPr>
          <w:pgSz w:w="11900" w:h="16838" w:orient="portrait"/>
          <w:cols w:equalWidth="0" w:num="1">
            <w:col w:w="9840"/>
          </w:cols>
          <w:pgMar w:left="1440" w:top="263" w:right="61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II</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Time of Sale Prospectus</w:t>
      </w:r>
    </w:p>
    <w:p>
      <w:pPr>
        <w:spacing w:after="0" w:line="251" w:lineRule="exact"/>
        <w:rPr>
          <w:sz w:val="20"/>
          <w:szCs w:val="20"/>
          <w:color w:val="auto"/>
        </w:rPr>
      </w:pPr>
    </w:p>
    <w:p>
      <w:pPr>
        <w:ind w:left="428" w:hanging="428"/>
        <w:spacing w:after="0"/>
        <w:tabs>
          <w:tab w:leader="none" w:pos="428"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Prospectus issued [date]</w:t>
      </w:r>
    </w:p>
    <w:p>
      <w:pPr>
        <w:spacing w:after="0" w:line="248"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all free writing prospectuses filed by the Company under Rule 433(d) of the Securities Act]</w:t>
      </w:r>
    </w:p>
    <w:p>
      <w:pPr>
        <w:spacing w:after="0" w:line="248" w:lineRule="exact"/>
        <w:rPr>
          <w:rFonts w:ascii="Times New Roman" w:cs="Times New Roman" w:eastAsia="Times New Roman" w:hAnsi="Times New Roman"/>
          <w:sz w:val="17"/>
          <w:szCs w:val="17"/>
          <w:color w:val="auto"/>
        </w:rPr>
      </w:pPr>
    </w:p>
    <w:p>
      <w:pPr>
        <w:ind w:left="428" w:right="180" w:hanging="428"/>
        <w:spacing w:after="0" w:line="295" w:lineRule="auto"/>
        <w:tabs>
          <w:tab w:leader="none" w:pos="428"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 writing prospectus containing a description of terms that does not reflect final terms, if the Time of Sale Prospectus does not include a final term sheet]</w:t>
      </w:r>
    </w:p>
    <w:p>
      <w:pPr>
        <w:spacing w:after="0" w:line="172"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Orally communicated pricing information:</w:t>
      </w:r>
    </w:p>
    <w:p>
      <w:pPr>
        <w:spacing w:after="0" w:line="131" w:lineRule="exact"/>
        <w:rPr>
          <w:rFonts w:ascii="Times New Roman" w:cs="Times New Roman" w:eastAsia="Times New Roman" w:hAnsi="Times New Roman"/>
          <w:sz w:val="17"/>
          <w:szCs w:val="17"/>
          <w:color w:val="auto"/>
        </w:rPr>
      </w:pPr>
    </w:p>
    <w:p>
      <w:pPr>
        <w:ind w:left="1368" w:hanging="309"/>
        <w:spacing w:after="0"/>
        <w:tabs>
          <w:tab w:leader="none" w:pos="136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Firm Shares: [●]</w:t>
      </w:r>
    </w:p>
    <w:p>
      <w:pPr>
        <w:spacing w:after="0" w:line="131" w:lineRule="exact"/>
        <w:rPr>
          <w:rFonts w:ascii="Times New Roman" w:cs="Times New Roman" w:eastAsia="Times New Roman" w:hAnsi="Times New Roman"/>
          <w:sz w:val="17"/>
          <w:szCs w:val="17"/>
          <w:color w:val="auto"/>
        </w:rPr>
      </w:pPr>
    </w:p>
    <w:p>
      <w:pPr>
        <w:ind w:left="1368" w:hanging="309"/>
        <w:spacing w:after="0"/>
        <w:tabs>
          <w:tab w:leader="none" w:pos="136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Shares: [●]</w:t>
      </w:r>
    </w:p>
    <w:p>
      <w:pPr>
        <w:spacing w:after="0" w:line="131" w:lineRule="exact"/>
        <w:rPr>
          <w:rFonts w:ascii="Times New Roman" w:cs="Times New Roman" w:eastAsia="Times New Roman" w:hAnsi="Times New Roman"/>
          <w:sz w:val="17"/>
          <w:szCs w:val="17"/>
          <w:color w:val="auto"/>
        </w:rPr>
      </w:pPr>
    </w:p>
    <w:p>
      <w:pPr>
        <w:ind w:left="1368" w:hanging="309"/>
        <w:spacing w:after="0"/>
        <w:tabs>
          <w:tab w:leader="none" w:pos="136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Offering Price: [●]</w:t>
      </w:r>
    </w:p>
    <w:p>
      <w:pPr>
        <w:spacing w:after="0" w:line="1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668"/>
          </w:cols>
          <w:pgMar w:left="612" w:top="263" w:right="61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2">
                      <a:extLst>
                        <a:ext uri="{28A0092B-C50C-407E-A947-70E740481C1C}"/>
                      </a:extLst>
                    </a:blip>
                    <a:srcRect/>
                    <a:stretch>
                      <a:fillRect/>
                    </a:stretch>
                  </pic:blipFill>
                  <pic:spPr bwMode="auto">
                    <a:xfrm>
                      <a:off x="0" y="0"/>
                      <a:ext cx="7178675" cy="36830"/>
                    </a:xfrm>
                    <a:prstGeom prst="rect">
                      <a:avLst/>
                    </a:prstGeom>
                    <a:noFill/>
                  </pic:spPr>
                </pic:pic>
              </a:graphicData>
            </a:graphic>
          </wp:anchor>
        </w:drawing>
        <w:t>SCHEDULE III</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Written Testing-the-Waters Communication</w:t>
      </w:r>
    </w:p>
    <w:p>
      <w:pPr>
        <w:spacing w:after="0" w:line="225" w:lineRule="exact"/>
        <w:rPr>
          <w:sz w:val="20"/>
          <w:szCs w:val="20"/>
          <w:color w:val="auto"/>
        </w:rPr>
      </w:pPr>
    </w:p>
    <w:p>
      <w:pPr>
        <w:ind w:right="100" w:firstLine="426"/>
        <w:spacing w:after="0" w:line="295" w:lineRule="auto"/>
        <w:rPr>
          <w:sz w:val="20"/>
          <w:szCs w:val="20"/>
          <w:color w:val="auto"/>
        </w:rPr>
      </w:pPr>
      <w:r>
        <w:rPr>
          <w:rFonts w:ascii="Times New Roman" w:cs="Times New Roman" w:eastAsia="Times New Roman" w:hAnsi="Times New Roman"/>
          <w:sz w:val="17"/>
          <w:szCs w:val="17"/>
          <w:color w:val="auto"/>
        </w:rPr>
        <w:t>Testing-the-Waters presentations from September 2021 to January 2024 as communicated to, and approved by the Representatives, in accordance with applicable corresponding guidelines.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III-1</w:t>
      </w:r>
    </w:p>
    <w:p>
      <w:pPr>
        <w:sectPr>
          <w:pgSz w:w="11900" w:h="16838" w:orient="portrait"/>
          <w:cols w:equalWidth="0" w:num="1">
            <w:col w:w="10660"/>
          </w:cols>
          <w:pgMar w:left="620" w:top="262" w:right="61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A</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LOCK-UP AGREEMENT</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-3810</wp:posOffset>
            </wp:positionV>
            <wp:extent cx="66357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4">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Allen &amp; Company LLC</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c/o Morgan Stanley &amp; Co. LLC</w:t>
      </w:r>
    </w:p>
    <w:p>
      <w:pPr>
        <w:spacing w:after="0" w:line="1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7"/>
          <w:szCs w:val="17"/>
          <w:color w:val="auto"/>
        </w:rPr>
        <w:t>1585 Broadway</w:t>
      </w:r>
    </w:p>
    <w:p>
      <w:pPr>
        <w:spacing w:after="0" w:line="1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The undersigned understands that Morgan Stanley &amp; Co. LLC, J.P. Morgan Securities LLC and Allen &amp; Company LLC (together, the</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propose to enter into an underwriting agreement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with Tempus AI, Inc., a Delaware corporation</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providing for the public offering (the “</w:t>
      </w:r>
      <w:r>
        <w:rPr>
          <w:rFonts w:ascii="Times New Roman" w:cs="Times New Roman" w:eastAsia="Times New Roman" w:hAnsi="Times New Roman"/>
          <w:sz w:val="17"/>
          <w:szCs w:val="17"/>
          <w:b w:val="1"/>
          <w:bCs w:val="1"/>
          <w:color w:val="auto"/>
        </w:rPr>
        <w:t>Public Offering</w:t>
      </w:r>
      <w:r>
        <w:rPr>
          <w:rFonts w:ascii="Times New Roman" w:cs="Times New Roman" w:eastAsia="Times New Roman" w:hAnsi="Times New Roman"/>
          <w:sz w:val="17"/>
          <w:szCs w:val="17"/>
          <w:color w:val="auto"/>
        </w:rPr>
        <w:t>”) by the several underwriters, including the Representatives (the</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of shares of the Company’s Class A common stock, par value $0.0001 per share (the “</w:t>
      </w:r>
      <w:r>
        <w:rPr>
          <w:rFonts w:ascii="Times New Roman" w:cs="Times New Roman" w:eastAsia="Times New Roman" w:hAnsi="Times New Roman"/>
          <w:sz w:val="17"/>
          <w:szCs w:val="17"/>
          <w:b w:val="1"/>
          <w:bCs w:val="1"/>
          <w:color w:val="auto"/>
        </w:rPr>
        <w:t>Class A Stock</w:t>
      </w:r>
      <w:r>
        <w:rPr>
          <w:rFonts w:ascii="Times New Roman" w:cs="Times New Roman" w:eastAsia="Times New Roman" w:hAnsi="Times New Roman"/>
          <w:sz w:val="17"/>
          <w:szCs w:val="17"/>
          <w:color w:val="auto"/>
        </w:rPr>
        <w:t>”). As used herein, the term</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refers to both shares of the Company’s Class A Stock and the Company’s Class B common stock, par value $0.0001 per share (the</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B Stock</w:t>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ind w:left="8" w:right="120" w:firstLine="426"/>
        <w:spacing w:after="0" w:line="261" w:lineRule="auto"/>
        <w:rPr>
          <w:sz w:val="20"/>
          <w:szCs w:val="20"/>
          <w:color w:val="auto"/>
        </w:rPr>
      </w:pPr>
      <w:r>
        <w:rPr>
          <w:rFonts w:ascii="Times New Roman" w:cs="Times New Roman" w:eastAsia="Times New Roman" w:hAnsi="Times New Roman"/>
          <w:sz w:val="17"/>
          <w:szCs w:val="17"/>
          <w:color w:val="auto"/>
        </w:rPr>
        <w:t>To induce the Underwriters that may participate in the Public Offering to continue their efforts in connection with the Public Offering, the undersigned hereby agrees that, without the prior written consent of Morgan Stanley &amp; Co. LLC and J.P. Morgan Securities LLC on behalf of the Underwriters, it will not, will not cause any of its direct or indirect affiliates to, and will not publicly disclose an intention to, during the period commencing on and including the date of first public filing of the Registration Statement (as defined in the Underwriting Agreement) relating to the Public Offering and ending 180 days after the date of the final prospectus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relating to the Public Offering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248" w:hanging="248"/>
        <w:spacing w:after="0"/>
        <w:tabs>
          <w:tab w:leader="none" w:pos="248"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 offer, pledge, sell, contract to sell, sell any option or contract to purchase, purchase any option or contract to sell, grant any option, right or</w:t>
      </w:r>
    </w:p>
    <w:p>
      <w:pPr>
        <w:spacing w:after="0" w:line="13" w:lineRule="exact"/>
        <w:rPr>
          <w:rFonts w:ascii="Times New Roman" w:cs="Times New Roman" w:eastAsia="Times New Roman" w:hAnsi="Times New Roman"/>
          <w:sz w:val="17"/>
          <w:szCs w:val="17"/>
          <w:color w:val="auto"/>
        </w:rPr>
      </w:pPr>
    </w:p>
    <w:p>
      <w:pPr>
        <w:ind w:left="8"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 to purchase,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transactions or arrangements (including, without</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10668"/>
          </w:cols>
          <w:pgMar w:left="612" w:top="263" w:right="619" w:bottom="1440" w:gutter="0" w:footer="0" w:header="0"/>
        </w:sectPr>
      </w:pPr>
    </w:p>
    <w:bookmarkStart w:id="371" w:name="page372"/>
    <w:bookmarkEnd w:id="371"/>
    <w:p>
      <w:pPr>
        <w:jc w:val="both"/>
        <w:ind w:left="8" w:right="16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shares of Common Stock, whether any such transaction or arrangement (or instrument provided for thereunder) would be settled by delivery of Common Stock, in cash or otherwise.</w:t>
      </w:r>
    </w:p>
    <w:p>
      <w:pPr>
        <w:spacing w:after="0" w:line="17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The foregoing paragraph shall not apply to:</w:t>
      </w:r>
    </w:p>
    <w:p>
      <w:pPr>
        <w:spacing w:after="0" w:line="223" w:lineRule="exact"/>
        <w:rPr>
          <w:sz w:val="20"/>
          <w:szCs w:val="20"/>
          <w:color w:val="auto"/>
        </w:rPr>
      </w:pPr>
    </w:p>
    <w:p>
      <w:pPr>
        <w:ind w:left="8" w:right="260" w:firstLine="418"/>
        <w:spacing w:after="0" w:line="269" w:lineRule="auto"/>
        <w:tabs>
          <w:tab w:leader="none" w:pos="671"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transactions relating to shares of Class A Stock or other securities acquired in the Public Offering or in open market transactions after the completion of the Public Offering,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filing under the Exchange Act, or other public announcement, reporting a reduction in beneficial ownership of shares of Class A Stock shall be required or shall be voluntarily made in connection with subsequent sales of Class A Stock or other securities acquired in the Public Offering or in such open market transactions during the Restricted Period;</w:t>
      </w:r>
    </w:p>
    <w:p>
      <w:pPr>
        <w:spacing w:after="0" w:line="169" w:lineRule="exact"/>
        <w:rPr>
          <w:rFonts w:ascii="Times New Roman" w:cs="Times New Roman" w:eastAsia="Times New Roman" w:hAnsi="Times New Roman"/>
          <w:sz w:val="17"/>
          <w:szCs w:val="17"/>
          <w:color w:val="auto"/>
        </w:rPr>
      </w:pPr>
    </w:p>
    <w:p>
      <w:pPr>
        <w:ind w:left="668" w:hanging="242"/>
        <w:spacing w:after="0"/>
        <w:tabs>
          <w:tab w:leader="none" w:pos="668"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shares of Common Stock or any security convertible into or exercisable or exchangeable for Common Stock (i) as a bona fide gift,</w:t>
      </w:r>
    </w:p>
    <w:p>
      <w:pPr>
        <w:spacing w:after="0" w:line="31" w:lineRule="exact"/>
        <w:rPr>
          <w:rFonts w:ascii="Times New Roman" w:cs="Times New Roman" w:eastAsia="Times New Roman" w:hAnsi="Times New Roman"/>
          <w:sz w:val="17"/>
          <w:szCs w:val="17"/>
          <w:color w:val="auto"/>
        </w:rPr>
      </w:pPr>
    </w:p>
    <w:p>
      <w:pPr>
        <w:ind w:left="8" w:right="20" w:hanging="8"/>
        <w:spacing w:after="0" w:line="256" w:lineRule="auto"/>
        <w:tabs>
          <w:tab w:leader="none" w:pos="264"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an immediate family member (as defined below) or to any trust for the direct or indirect benefit of the undersigned or an immediate family member of the undersigned, (iii) to any corporation, partnership, limited liability company, investment fund, trust or other entity controlled or managed, or under common control or management by, the undersigned, or (iv) by will, other testamentary document or intestate succession to the legal representative, heir, beneficiary or an immediate family member of the undersigned,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transfer pursuant to this clause (b),</w:t>
      </w:r>
    </w:p>
    <w:p>
      <w:pPr>
        <w:spacing w:after="0" w:line="2" w:lineRule="exact"/>
        <w:rPr>
          <w:rFonts w:ascii="Times New Roman" w:cs="Times New Roman" w:eastAsia="Times New Roman" w:hAnsi="Times New Roman"/>
          <w:sz w:val="17"/>
          <w:szCs w:val="17"/>
          <w:color w:val="auto"/>
        </w:rPr>
      </w:pPr>
    </w:p>
    <w:p>
      <w:pPr>
        <w:ind w:left="8" w:right="180" w:hanging="8"/>
        <w:spacing w:after="0" w:line="265" w:lineRule="auto"/>
        <w:tabs>
          <w:tab w:leader="none" w:pos="216"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transferee shall sign and deliver a lock-up agreement substantially in the form of this agreement, and (ii) no filing under the Exchange Act, or other public announcement, reporting a reduction in beneficial ownership of shares of Common Stock shall be required or shall be voluntarily made during the Restricted Period;</w:t>
      </w:r>
    </w:p>
    <w:p>
      <w:pPr>
        <w:spacing w:after="0" w:line="170" w:lineRule="exact"/>
        <w:rPr>
          <w:rFonts w:ascii="Times New Roman" w:cs="Times New Roman" w:eastAsia="Times New Roman" w:hAnsi="Times New Roman"/>
          <w:sz w:val="17"/>
          <w:szCs w:val="17"/>
          <w:color w:val="auto"/>
        </w:rPr>
      </w:pPr>
    </w:p>
    <w:p>
      <w:pPr>
        <w:ind w:left="8" w:firstLine="418"/>
        <w:spacing w:after="0" w:line="263" w:lineRule="auto"/>
        <w:tabs>
          <w:tab w:leader="none" w:pos="671"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undersigned is a corporation, partnership, limited liability company, trust or other business entity, transfers or distributions of shares of Common Stock or any security convertible into or exercisable or exchangeable for Common Stock to general or limited partners, managers or members, stockholders, other equityholders or direct or indirect affiliates (within the meaning of Rule 405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xml:space="preserve">”)) of the undersigned or to the estates of any of the foregoing;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transfer or distribution pursuant to this clause (c), (i) each transferee or distributee shall sign and deliver a lock-up agreement substantially in the form of this agreement and (ii) no filing under the Exchange Act, or other public announcement, reporting a reduction in beneficial ownership of shares of Common Stock shall be required or shall be voluntarily made during the Restricted Period;</w:t>
      </w:r>
    </w:p>
    <w:p>
      <w:pPr>
        <w:spacing w:after="0" w:line="10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0608"/>
          </w:cols>
          <w:pgMar w:left="612" w:top="265" w:right="679" w:bottom="1440" w:gutter="0" w:footer="0" w:header="0"/>
        </w:sectPr>
      </w:pPr>
    </w:p>
    <w:bookmarkStart w:id="372" w:name="page373"/>
    <w:bookmarkEnd w:id="372"/>
    <w:p>
      <w:pPr>
        <w:ind w:right="20" w:firstLine="418"/>
        <w:spacing w:after="0" w:line="261" w:lineRule="auto"/>
        <w:tabs>
          <w:tab w:leader="none" w:pos="673"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the transfer to the Company of shares of Common Stock or any securities convertible into or exercisable or exchangeable for Common Stock to satisfy any tax, including estimated tax, remittance, or other payment obligations of the undersigned arising in connection with a vesting event of the Company’s securities, upon the settlement of restricted stock units or the payment due for the exercise of options or other rights to purchase securities of the Company (including, in each case, by way of a “cashless” or “net exercise” basis and any transfer to the Company necessary in respect of such amount needed for the payment of taxes, including estimated taxes, and remittance payments due as a result of such vesting, settlement or exercise including by means of a “net settlement” or otherwise), in all such cases pursuant to equity awards granted under a stock incentive plan or other equity award plan of the Company described in the Prospectus;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any remaining shares of Common Stock received upon such vesting, settlement or exercise shall be subject to the terms of this agreement and (ii) no filing under the Exchange Act, or other public announcement, shall be voluntarily made during the Restricted Period;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any filing required under the Exchange Act shall clearly indicate in the footnotes thereto that the filing relates to the circumstances described in this clause (d);</w:t>
      </w:r>
    </w:p>
    <w:p>
      <w:pPr>
        <w:spacing w:after="0" w:line="174" w:lineRule="exact"/>
        <w:rPr>
          <w:rFonts w:ascii="Times New Roman" w:cs="Times New Roman" w:eastAsia="Times New Roman" w:hAnsi="Times New Roman"/>
          <w:sz w:val="17"/>
          <w:szCs w:val="17"/>
          <w:color w:val="auto"/>
        </w:rPr>
      </w:pPr>
    </w:p>
    <w:p>
      <w:pPr>
        <w:ind w:left="660" w:hanging="242"/>
        <w:spacing w:after="0"/>
        <w:tabs>
          <w:tab w:leader="none" w:pos="66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Class A Stock pursuant to the terms of the Underwriting Agreement;</w:t>
      </w:r>
    </w:p>
    <w:p>
      <w:pPr>
        <w:spacing w:after="0" w:line="222" w:lineRule="exact"/>
        <w:rPr>
          <w:rFonts w:ascii="Times New Roman" w:cs="Times New Roman" w:eastAsia="Times New Roman" w:hAnsi="Times New Roman"/>
          <w:sz w:val="17"/>
          <w:szCs w:val="17"/>
          <w:color w:val="auto"/>
        </w:rPr>
      </w:pPr>
    </w:p>
    <w:p>
      <w:pPr>
        <w:ind w:firstLine="418"/>
        <w:spacing w:after="0" w:line="266" w:lineRule="auto"/>
        <w:tabs>
          <w:tab w:leader="none" w:pos="644"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establishment of a trading plan by the undersigned pursuant to Rule 10b5-1 under the Exchange Act for the transfer of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71" w:lineRule="exact"/>
        <w:rPr>
          <w:rFonts w:ascii="Times New Roman" w:cs="Times New Roman" w:eastAsia="Times New Roman" w:hAnsi="Times New Roman"/>
          <w:sz w:val="17"/>
          <w:szCs w:val="17"/>
          <w:color w:val="auto"/>
        </w:rPr>
      </w:pPr>
    </w:p>
    <w:p>
      <w:pPr>
        <w:ind w:right="240" w:firstLine="418"/>
        <w:spacing w:after="0" w:line="266" w:lineRule="auto"/>
        <w:tabs>
          <w:tab w:leader="none" w:pos="673"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transfer of shares of Common Stock or any security convertible into or exercisable or exchangeable for Common Stock that occurs by operation of law pursuant to a qualified domestic order or in connection with a divorce settlement or other court order,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transferee shall sign and deliver a lock-up agreement substantially in the form of this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clause (g));</w:t>
      </w:r>
    </w:p>
    <w:p>
      <w:pPr>
        <w:spacing w:after="0" w:line="171" w:lineRule="exact"/>
        <w:rPr>
          <w:rFonts w:ascii="Times New Roman" w:cs="Times New Roman" w:eastAsia="Times New Roman" w:hAnsi="Times New Roman"/>
          <w:sz w:val="17"/>
          <w:szCs w:val="17"/>
          <w:color w:val="auto"/>
        </w:rPr>
      </w:pPr>
    </w:p>
    <w:p>
      <w:pPr>
        <w:ind w:right="80" w:firstLine="418"/>
        <w:spacing w:after="0" w:line="266" w:lineRule="auto"/>
        <w:tabs>
          <w:tab w:leader="none" w:pos="673"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conversion of shares of the Company’s convertible preferred stock or Class B Stock into shares of Class A Stock as described in the Prospectus,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(i) such shares shall continue to be subject to the restrictions on transfer set forth in this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clause (h));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10640"/>
          </w:cols>
          <w:pgMar w:left="620" w:top="264" w:right="639" w:bottom="1440" w:gutter="0" w:footer="0" w:header="0"/>
        </w:sectPr>
      </w:pPr>
    </w:p>
    <w:bookmarkStart w:id="373" w:name="page374"/>
    <w:bookmarkEnd w:id="373"/>
    <w:p>
      <w:pPr>
        <w:ind w:left="8" w:right="120" w:firstLine="418"/>
        <w:spacing w:after="0" w:line="266" w:lineRule="auto"/>
        <w:tabs>
          <w:tab w:leader="none" w:pos="642"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(as defined below),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that the tender offer, merger, consolidation or other such transaction is not completed, the Common Stock owned by the undersigned shall remain subject to the restrictions contained in this agreement; or</w:t>
      </w:r>
    </w:p>
    <w:p>
      <w:pPr>
        <w:spacing w:after="0" w:line="171" w:lineRule="exact"/>
        <w:rPr>
          <w:rFonts w:ascii="Times New Roman" w:cs="Times New Roman" w:eastAsia="Times New Roman" w:hAnsi="Times New Roman"/>
          <w:sz w:val="17"/>
          <w:szCs w:val="17"/>
          <w:color w:val="auto"/>
        </w:rPr>
      </w:pPr>
    </w:p>
    <w:p>
      <w:pPr>
        <w:ind w:left="8" w:right="60" w:firstLine="418"/>
        <w:spacing w:after="0" w:line="263" w:lineRule="auto"/>
        <w:tabs>
          <w:tab w:leader="none" w:pos="642"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transfer of shares of Common Stock or any security convertible into or exercisable or exchangeable for Common Stock pledged in a bona fide transaction to third parties as collateral to secure obligations pursuant to lending or other arrangements in effect as of the date hereof between such third parties (or their affiliates or designees) and the undersigned and/or its affiliates or any similar arrangement relating to a financing arrangement for the benefit of the undersigned and/or its affiliates,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pledges or similar arrangements under this clause (j), any such pledgee or other party shall, upon foreclosure on the pledged securities, sign and deliver a lock-up agreement substantially in the form of this agreement, and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further that no filing under the Exchange Act, or any other public filing or disclosure, of such transfer by or on behalf of the undersigned,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required or shall be voluntarily made during the Restricted Period.</w:t>
      </w:r>
    </w:p>
    <w:p>
      <w:pPr>
        <w:spacing w:after="0" w:line="173" w:lineRule="exact"/>
        <w:rPr>
          <w:sz w:val="20"/>
          <w:szCs w:val="20"/>
          <w:color w:val="auto"/>
        </w:rPr>
      </w:pPr>
    </w:p>
    <w:p>
      <w:pPr>
        <w:jc w:val="center"/>
        <w:ind w:right="452"/>
        <w:spacing w:after="0" w:line="267" w:lineRule="auto"/>
        <w:rPr>
          <w:sz w:val="20"/>
          <w:szCs w:val="20"/>
          <w:color w:val="auto"/>
        </w:rPr>
      </w:pPr>
      <w:r>
        <w:rPr>
          <w:rFonts w:ascii="Times New Roman" w:cs="Times New Roman" w:eastAsia="Times New Roman" w:hAnsi="Times New Roman"/>
          <w:sz w:val="17"/>
          <w:szCs w:val="17"/>
          <w:color w:val="auto"/>
        </w:rPr>
        <w:t>As used herein, (i) “immediate family member” means a child, stepchild, grandchild, parent, stepparent, grandparent, spouse, sibling, mother-in-law, father-in-law, son-in-law, daughter-in-law, brother-in-law, or sister-in-law, including adoptive relationships, of the undersigned and</w:t>
      </w:r>
    </w:p>
    <w:p>
      <w:pPr>
        <w:spacing w:after="0" w:line="1" w:lineRule="exact"/>
        <w:rPr>
          <w:sz w:val="20"/>
          <w:szCs w:val="20"/>
          <w:color w:val="auto"/>
        </w:rPr>
      </w:pPr>
    </w:p>
    <w:p>
      <w:pPr>
        <w:ind w:left="8" w:hanging="8"/>
        <w:spacing w:after="0" w:line="262" w:lineRule="auto"/>
        <w:tabs>
          <w:tab w:leader="none" w:pos="264"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number of outstanding voting securities of the Company (or the surviving entity) and 50% of the voting control of the outstanding voting securities of the Company (or the surviving entity).</w:t>
      </w:r>
    </w:p>
    <w:p>
      <w:pPr>
        <w:spacing w:after="0" w:line="174" w:lineRule="exact"/>
        <w:rPr>
          <w:sz w:val="20"/>
          <w:szCs w:val="20"/>
          <w:color w:val="auto"/>
        </w:rPr>
      </w:pPr>
    </w:p>
    <w:p>
      <w:pPr>
        <w:ind w:left="8" w:right="220" w:firstLine="426"/>
        <w:spacing w:after="0" w:line="263" w:lineRule="auto"/>
        <w:rPr>
          <w:sz w:val="20"/>
          <w:szCs w:val="20"/>
          <w:color w:val="auto"/>
        </w:rPr>
      </w:pPr>
      <w:r>
        <w:rPr>
          <w:rFonts w:ascii="Times New Roman" w:cs="Times New Roman" w:eastAsia="Times New Roman" w:hAnsi="Times New Roman"/>
          <w:sz w:val="17"/>
          <w:szCs w:val="17"/>
          <w:color w:val="auto"/>
        </w:rPr>
        <w:t>In addition, the undersigned agrees that, without the prior written consent of Morgan Stanley &amp; Co. LLC and J.P. Morgan Securities LLC on behalf of the Underwriters, it will not, during the Restricted Period, make any demand for or exercise any right with respect to, the registration of any shares of Common Stock or any security convertible into or exercisable or exchangeable for Common Stock. The undersigned agrees that, except as otherwise explicitly provided hereby, to the extent that the terms of this agreement conflict with or are in any way inconsistent with any prior investor rights agreement (including that certain Eleventh Amended and Restated Investors’ Rights Agreement by and among the Company and the parties thereto, dated as of October 11, 2023, as it may be amended from time to time (the “</w:t>
      </w:r>
      <w:r>
        <w:rPr>
          <w:rFonts w:ascii="Times New Roman" w:cs="Times New Roman" w:eastAsia="Times New Roman" w:hAnsi="Times New Roman"/>
          <w:sz w:val="17"/>
          <w:szCs w:val="17"/>
          <w:b w:val="1"/>
          <w:bCs w:val="1"/>
          <w:color w:val="auto"/>
        </w:rPr>
        <w:t>IRA</w:t>
      </w:r>
      <w:r>
        <w:rPr>
          <w:rFonts w:ascii="Times New Roman" w:cs="Times New Roman" w:eastAsia="Times New Roman" w:hAnsi="Times New Roman"/>
          <w:sz w:val="17"/>
          <w:szCs w:val="17"/>
          <w:color w:val="auto"/>
        </w:rPr>
        <w:t>”)), prior registration rights agreement, prior market standoff agreement or any other prior lock-up or similar prior</w:t>
      </w:r>
    </w:p>
    <w:p>
      <w:pPr>
        <w:spacing w:after="0" w:line="10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0648"/>
          </w:cols>
          <w:pgMar w:left="612" w:top="264" w:right="639" w:bottom="1440" w:gutter="0" w:footer="0" w:header="0"/>
        </w:sectPr>
      </w:pPr>
    </w:p>
    <w:bookmarkStart w:id="374" w:name="page375"/>
    <w:bookmarkEnd w:id="374"/>
    <w:p>
      <w:pPr>
        <w:ind w:right="20"/>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agreement to which the undersigned and the Company may be a party, this agreement supersedes such prior agreement. The undersigned hereby waives any and all notice requirements and rights with respect to the registration of securities pursuant to any agreement, understanding or anything otherwise setting forth the terms of any security of the Company held by the undersigned, including any investor right agreement (including the IRA) or registration rights agreement to which the undersigned and the Company may be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waiver shall apply only to the proposed Public Offering and any other action taken by the Company in connection with the proposed Public Offering, including without limitation the filing by the Company of any registration statement on Form S-8 providing for the registration for reoffer and resale of shares of Common Stock owned by eligible securityholders of the Company during the Restricted Period.</w:t>
      </w:r>
    </w:p>
    <w:p>
      <w:pPr>
        <w:spacing w:after="0" w:line="173" w:lineRule="exact"/>
        <w:rPr>
          <w:sz w:val="20"/>
          <w:szCs w:val="20"/>
          <w:color w:val="auto"/>
        </w:rPr>
      </w:pPr>
    </w:p>
    <w:p>
      <w:pPr>
        <w:ind w:right="320" w:firstLine="426"/>
        <w:spacing w:after="0" w:line="295" w:lineRule="auto"/>
        <w:rPr>
          <w:sz w:val="20"/>
          <w:szCs w:val="20"/>
          <w:color w:val="auto"/>
        </w:rPr>
      </w:pPr>
      <w:r>
        <w:rPr>
          <w:rFonts w:ascii="Times New Roman" w:cs="Times New Roman" w:eastAsia="Times New Roman" w:hAnsi="Times New Roman"/>
          <w:sz w:val="17"/>
          <w:szCs w:val="17"/>
          <w:color w:val="auto"/>
        </w:rPr>
        <w:t>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47" w:lineRule="exact"/>
        <w:rPr>
          <w:sz w:val="20"/>
          <w:szCs w:val="20"/>
          <w:color w:val="auto"/>
        </w:rPr>
      </w:pPr>
    </w:p>
    <w:p>
      <w:pPr>
        <w:ind w:right="680" w:firstLine="426"/>
        <w:spacing w:after="0" w:line="295" w:lineRule="auto"/>
        <w:rPr>
          <w:sz w:val="20"/>
          <w:szCs w:val="20"/>
          <w:color w:val="auto"/>
        </w:rPr>
      </w:pPr>
      <w:r>
        <w:rPr>
          <w:rFonts w:ascii="Times New Roman" w:cs="Times New Roman" w:eastAsia="Times New Roman" w:hAnsi="Times New Roman"/>
          <w:sz w:val="17"/>
          <w:szCs w:val="17"/>
          <w:color w:val="auto"/>
        </w:rPr>
        <w:t>If the undersigned is an officer or director of the Company, the undersigned further agrees that the foregoing restrictions shall be equally applicable to any issuer-directed Shares the undersigned may purchase in the Public Offering.</w:t>
      </w:r>
    </w:p>
    <w:p>
      <w:pPr>
        <w:spacing w:after="0" w:line="147" w:lineRule="exact"/>
        <w:rPr>
          <w:sz w:val="20"/>
          <w:szCs w:val="20"/>
          <w:color w:val="auto"/>
        </w:rPr>
      </w:pPr>
    </w:p>
    <w:p>
      <w:pPr>
        <w:ind w:right="80" w:firstLine="426"/>
        <w:spacing w:after="0" w:line="261" w:lineRule="auto"/>
        <w:rPr>
          <w:sz w:val="20"/>
          <w:szCs w:val="20"/>
          <w:color w:val="auto"/>
        </w:rPr>
      </w:pPr>
      <w:r>
        <w:rPr>
          <w:rFonts w:ascii="Times New Roman" w:cs="Times New Roman" w:eastAsia="Times New Roman" w:hAnsi="Times New Roman"/>
          <w:sz w:val="17"/>
          <w:szCs w:val="17"/>
          <w:color w:val="auto"/>
        </w:rPr>
        <w:t>If the undersigned is an officer or director of the Company, (i) Morgan Stanley &amp; Co. LLC and J.P. Morgan Securities LLC on behalf of the Underwriters agree that, at least three business days before the effective date of any release or waiver of the foregoing restrictions in connection with a transfer of shares of Common Stock, they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Morgan Stanley &amp; Co. LLC and J.P. Morgan Securities LLC on behalf of the Underwriters hereunder to any such officer or director shall only be effective two business days after the publication date of such press release. The provisions of this paragraph will not apply if (a) the release or waiver is effected solely to permit a transfer not for consideration or to an immediate family member as defined in FINRA Rule 5130(i)(5) and (b) the transferee has agreed in writing to be bound by the same terms described in this agreement to the extent and for the duration that such terms remain in effect at the time of the transfer.</w:t>
      </w:r>
    </w:p>
    <w:p>
      <w:pPr>
        <w:spacing w:after="0" w:line="178"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If any stockholder of the Company holding more than 1% of the outstanding Common Stock at the time of the Triggering Release (as defined below), other than the undersigned (each, a “</w:t>
      </w:r>
      <w:r>
        <w:rPr>
          <w:rFonts w:ascii="Times New Roman" w:cs="Times New Roman" w:eastAsia="Times New Roman" w:hAnsi="Times New Roman"/>
          <w:sz w:val="17"/>
          <w:szCs w:val="17"/>
          <w:b w:val="1"/>
          <w:bCs w:val="1"/>
          <w:color w:val="auto"/>
        </w:rPr>
        <w:t>Triggering Stockholder</w:t>
      </w:r>
      <w:r>
        <w:rPr>
          <w:rFonts w:ascii="Times New Roman" w:cs="Times New Roman" w:eastAsia="Times New Roman" w:hAnsi="Times New Roman"/>
          <w:sz w:val="17"/>
          <w:szCs w:val="17"/>
          <w:color w:val="auto"/>
        </w:rPr>
        <w:t>”), is granted an early release from the restrictions described herein during the Restricted Period (each, a “</w:t>
      </w:r>
      <w:r>
        <w:rPr>
          <w:rFonts w:ascii="Times New Roman" w:cs="Times New Roman" w:eastAsia="Times New Roman" w:hAnsi="Times New Roman"/>
          <w:sz w:val="17"/>
          <w:szCs w:val="17"/>
          <w:b w:val="1"/>
          <w:bCs w:val="1"/>
          <w:color w:val="auto"/>
        </w:rPr>
        <w:t>Triggering Release</w:t>
      </w:r>
      <w:r>
        <w:rPr>
          <w:rFonts w:ascii="Times New Roman" w:cs="Times New Roman" w:eastAsia="Times New Roman" w:hAnsi="Times New Roman"/>
          <w:sz w:val="17"/>
          <w:szCs w:val="17"/>
          <w:color w:val="auto"/>
        </w:rPr>
        <w:t xml:space="preserve">”), then the undersigned shall also be granted an early release from its obligations hereunder with respect to the same percentage of the undersigned’s Common Stock as the percentage that the Common Stock being released in the Triggering Release represents with respect to the total Common Stock held by the Triggering Stockholder at the time of the Triggering Release;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the foregoing pro rata release will not apply if the aggregate number of shares of Common Stock released pursuant to all Triggering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A-5</w:t>
      </w:r>
    </w:p>
    <w:p>
      <w:pPr>
        <w:sectPr>
          <w:pgSz w:w="11900" w:h="16838" w:orient="portrait"/>
          <w:cols w:equalWidth="0" w:num="1">
            <w:col w:w="10600"/>
          </w:cols>
          <w:pgMar w:left="620" w:top="264" w:right="679" w:bottom="1440" w:gutter="0" w:footer="0" w:header="0"/>
        </w:sectPr>
      </w:pPr>
    </w:p>
    <w:bookmarkStart w:id="375" w:name="page376"/>
    <w:bookmarkEnd w:id="375"/>
    <w:p>
      <w:pPr>
        <w:ind w:right="4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Releases is less than or equal to 1% of the total number of outstanding shares of Common Stock calculated as of the date of the last such Triggering Release, (b) the foregoing pro rata release will not apply if it is effected solely to permit a transfer not for consideration and the transferee has agreed in writing to be bound by the same terms described in this agreement to the extent and for the duration that such terms remain in effect at the time of the transfer, and (c) in the case of an early release from the restrictions described herein during the Restricted Period in connection with an underwritten public offering, whether or not such offering or sale is wholly or partially a secondary offering of Common Stock (an “</w:t>
      </w:r>
      <w:r>
        <w:rPr>
          <w:rFonts w:ascii="Times New Roman" w:cs="Times New Roman" w:eastAsia="Times New Roman" w:hAnsi="Times New Roman"/>
          <w:sz w:val="17"/>
          <w:szCs w:val="17"/>
          <w:b w:val="1"/>
          <w:bCs w:val="1"/>
          <w:color w:val="auto"/>
        </w:rPr>
        <w:t>Underwritten Sale</w:t>
      </w:r>
      <w:r>
        <w:rPr>
          <w:rFonts w:ascii="Times New Roman" w:cs="Times New Roman" w:eastAsia="Times New Roman" w:hAnsi="Times New Roman"/>
          <w:sz w:val="17"/>
          <w:szCs w:val="17"/>
          <w:color w:val="auto"/>
        </w:rPr>
        <w:t xml:space="preserve">”), such early release shall only apply with respect to the undersigned’s participation in such Underwritten Sale. Notwithstanding any other provisions of this agreement, if Morgan Stanley &amp; Co. LLC and J.P. Morgan Securities LLC on behalf of the Underwriters, in their sole judgment, determine that an owner of any securities that is a natural person should be granted an early release from a lock-up agreement due to circumstances of an emergency or hardship, then the undersigned shall not have any right to be granted an early release pursuant to the terms of this paragraph. Morgan Stanley &amp; Co. LLC and J.P. Morgan Securities LLC on behalf of the Underwriters shall use commercially reasonable efforts to provide notice to the Company, and the Company shall use commercially reasonable efforts to provide notice to the undersigned, in each case, within two business days upon the occurrence of a release of a stockholder of its obligations under any lock-up agreement executed in connection with the Public Offering that gives rise to a corresponding release of the undersigned from its obligations hereunder pursuant to the terms of this paragraph;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failure to give such notice shall not give rise to any claim or liability against the Underwriters or the Company, as applicable.</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Notwithstanding anything to the contrary contained in this agreement, if the closing price per share of the Class A Stock on The Nasdaq Stock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 LLC (or such other exchange on which the Class A Stock is listed) is at least 30% greater than the initial public offering price per share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Stock set forth on the cover page of the Prospectus for (i) any ten trading days (which, for the avoidance of doubt, need not be consecutive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trading days) during the period ending on, and including, the date that the Company publicly announces its earnings for the first completed quarterly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 following the most recent period for which financial statements are included in the Prospectus (which, for this purpose, shall not include “flash”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numbers or preliminary, partial earnings) (the “</w:t>
      </w:r>
      <w:r>
        <w:rPr>
          <w:rFonts w:ascii="Times New Roman" w:cs="Times New Roman" w:eastAsia="Times New Roman" w:hAnsi="Times New Roman"/>
          <w:sz w:val="17"/>
          <w:szCs w:val="17"/>
          <w:b w:val="1"/>
          <w:bCs w:val="1"/>
          <w:color w:val="auto"/>
        </w:rPr>
        <w:t>Initial Post-Offering Earnings Release Date</w:t>
      </w:r>
      <w:r>
        <w:rPr>
          <w:rFonts w:ascii="Times New Roman" w:cs="Times New Roman" w:eastAsia="Times New Roman" w:hAnsi="Times New Roman"/>
          <w:sz w:val="17"/>
          <w:szCs w:val="17"/>
          <w:color w:val="auto"/>
        </w:rPr>
        <w:t>”) and (ii) any one trading day following the Initial Post-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Earnings Release Date, then the Restricted Period shall automatically expire on the date that is the later of (a) the date on which the conditions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in both (i) and (ii) are satisfied and (b) two trading days following the Initial Post-Offering Earnings Release Date (the later of such dates,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Early Release Date</w:t>
      </w:r>
      <w:r>
        <w:rPr>
          <w:rFonts w:ascii="Times New Roman" w:cs="Times New Roman" w:eastAsia="Times New Roman" w:hAnsi="Times New Roman"/>
          <w:sz w:val="17"/>
          <w:szCs w:val="17"/>
          <w:color w:val="auto"/>
        </w:rPr>
        <w:t>”) with respect to a number of shares equal to 30% of the aggregate shares of Common Stock subject to this agreement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Released Shares</w:t>
      </w:r>
      <w:r>
        <w:rPr>
          <w:rFonts w:ascii="Times New Roman" w:cs="Times New Roman" w:eastAsia="Times New Roman" w:hAnsi="Times New Roman"/>
          <w:sz w:val="17"/>
          <w:szCs w:val="17"/>
          <w:color w:val="auto"/>
        </w:rPr>
        <w:t>”), to the extent vested, and such Released Shares may be sold in the public market, subject to compliance with applicable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laws including, without limitation, Rule 144 under the Securities Act, and compliance with the Company’s insider trading policy then in effect,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at the commencement of the first trading day following the Early Release Date. Furthermore, in the event that the end of the Restricted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would fall during one of the Company’s quarterly blackout periods during which trading by certain of the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10620"/>
          </w:cols>
          <w:pgMar w:left="620" w:top="265" w:right="659" w:bottom="1440" w:gutter="0" w:footer="0" w:header="0"/>
        </w:sectPr>
      </w:pPr>
    </w:p>
    <w:bookmarkStart w:id="376" w:name="page377"/>
    <w:bookmarkEnd w:id="376"/>
    <w:p>
      <w:pPr>
        <w:ind w:right="2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Company’s employees in the Company’s securities would not be permitted under the Company’s insider trading policy then in effect, the Restricted Period shall automatically expire on the date that is the later of (i) ten trading days prior to the date that such blackout period begins and (ii) the 150th day after the date of the Prospectus.</w:t>
      </w:r>
    </w:p>
    <w:p>
      <w:pPr>
        <w:spacing w:after="0" w:line="162" w:lineRule="exact"/>
        <w:rPr>
          <w:sz w:val="20"/>
          <w:szCs w:val="20"/>
          <w:color w:val="auto"/>
        </w:rPr>
      </w:pPr>
    </w:p>
    <w:p>
      <w:pPr>
        <w:ind w:right="80" w:firstLine="426"/>
        <w:spacing w:after="0" w:line="276" w:lineRule="auto"/>
        <w:rPr>
          <w:sz w:val="20"/>
          <w:szCs w:val="20"/>
          <w:color w:val="auto"/>
        </w:rPr>
      </w:pPr>
      <w:r>
        <w:rPr>
          <w:rFonts w:ascii="Times New Roman" w:cs="Times New Roman" w:eastAsia="Times New Roman" w:hAnsi="Times New Roman"/>
          <w:sz w:val="17"/>
          <w:szCs w:val="17"/>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62" w:lineRule="exact"/>
        <w:rPr>
          <w:sz w:val="20"/>
          <w:szCs w:val="20"/>
          <w:color w:val="auto"/>
        </w:rPr>
      </w:pPr>
    </w:p>
    <w:p>
      <w:pPr>
        <w:ind w:right="20" w:firstLine="426"/>
        <w:spacing w:after="0" w:line="263" w:lineRule="auto"/>
        <w:rPr>
          <w:sz w:val="20"/>
          <w:szCs w:val="20"/>
          <w:color w:val="auto"/>
        </w:rPr>
      </w:pPr>
      <w:r>
        <w:rPr>
          <w:rFonts w:ascii="Times New Roman" w:cs="Times New Roman" w:eastAsia="Times New Roman" w:hAnsi="Times New Roman"/>
          <w:sz w:val="17"/>
          <w:szCs w:val="17"/>
          <w:color w:val="auto"/>
        </w:rPr>
        <w:t>The undersigned acknowledges and agrees that the Underwriters have not provided any recommendation or investment advice nor have the Underwriters solicited any action from the undersigned with respect to the Public Offering of the Class A Stock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Class A Stock at the price determined in the Public Offering, and nothing set forth in such disclosures or documentation is intended to suggest that any Underwriter is making such a recommendation.</w:t>
      </w:r>
    </w:p>
    <w:p>
      <w:pPr>
        <w:spacing w:after="0" w:line="173" w:lineRule="exact"/>
        <w:rPr>
          <w:sz w:val="20"/>
          <w:szCs w:val="20"/>
          <w:color w:val="auto"/>
        </w:rPr>
      </w:pPr>
    </w:p>
    <w:p>
      <w:pPr>
        <w:ind w:right="80" w:firstLine="426"/>
        <w:spacing w:after="0" w:line="264" w:lineRule="auto"/>
        <w:rPr>
          <w:sz w:val="20"/>
          <w:szCs w:val="20"/>
          <w:color w:val="auto"/>
        </w:rPr>
      </w:pPr>
      <w:r>
        <w:rPr>
          <w:rFonts w:ascii="Times New Roman" w:cs="Times New Roman" w:eastAsia="Times New Roman" w:hAnsi="Times New Roman"/>
          <w:sz w:val="17"/>
          <w:szCs w:val="17"/>
          <w:color w:val="auto"/>
        </w:rPr>
        <w:t>This agreement shall be terminated and the undersigned shall be released from their obligations hereunder upon the earlier of: (i) the date the Registration Statement (as defined in the Underwriting Agreement) filed with the U.S. Securities and Exchange Commission with respect to the Public Offering is withdrawn prior to the execution of the Underwriting Agreement, (ii) the date on which for any reason the Underwriting Agreement is terminated (other than the provisions thereof that survive termination) prior to payment for and delivery of the Class A Stock to be sold thereunder (other than pursuant to the Underwriters’ option to purchase additional Class A Stock) or (iii) the Company notifies the Representatives in writing prior to the execution of the Underwriting Agreement that it does not intend to proceed with the Public Offering.</w:t>
      </w:r>
    </w:p>
    <w:p>
      <w:pPr>
        <w:spacing w:after="0" w:line="173" w:lineRule="exact"/>
        <w:rPr>
          <w:sz w:val="20"/>
          <w:szCs w:val="20"/>
          <w:color w:val="auto"/>
        </w:rPr>
      </w:pPr>
    </w:p>
    <w:p>
      <w:pPr>
        <w:ind w:firstLine="426"/>
        <w:spacing w:after="0" w:line="295" w:lineRule="auto"/>
        <w:rPr>
          <w:sz w:val="20"/>
          <w:szCs w:val="20"/>
          <w:color w:val="auto"/>
        </w:rPr>
      </w:pPr>
      <w:r>
        <w:rPr>
          <w:rFonts w:ascii="Times New Roman" w:cs="Times New Roman" w:eastAsia="Times New Roman" w:hAnsi="Times New Roman"/>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7" w:lineRule="exact"/>
        <w:rPr>
          <w:sz w:val="20"/>
          <w:szCs w:val="20"/>
          <w:color w:val="auto"/>
        </w:rPr>
      </w:pPr>
    </w:p>
    <w:p>
      <w:pPr>
        <w:ind w:right="40" w:firstLine="426"/>
        <w:spacing w:after="0" w:line="295" w:lineRule="auto"/>
        <w:rPr>
          <w:sz w:val="20"/>
          <w:szCs w:val="20"/>
          <w:color w:val="auto"/>
        </w:rPr>
      </w:pPr>
      <w:r>
        <w:rPr>
          <w:rFonts w:ascii="Times New Roman" w:cs="Times New Roman" w:eastAsia="Times New Roman" w:hAnsi="Times New Roman"/>
          <w:sz w:val="17"/>
          <w:szCs w:val="17"/>
          <w:color w:val="auto"/>
        </w:rPr>
        <w:t>This agreement and any claim, controversy or dispute arising under or related to this agreement shall be governed by and construed in accordance with the laws of the State of New York.</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is an express third-party beneficiary of this agreement.</w:t>
      </w:r>
    </w:p>
    <w:p>
      <w:pPr>
        <w:spacing w:after="0" w:line="223" w:lineRule="exact"/>
        <w:rPr>
          <w:sz w:val="20"/>
          <w:szCs w:val="20"/>
          <w:color w:val="auto"/>
        </w:rPr>
      </w:pPr>
    </w:p>
    <w:p>
      <w:pPr>
        <w:ind w:right="40" w:firstLine="426"/>
        <w:spacing w:after="0" w:line="276" w:lineRule="auto"/>
        <w:rPr>
          <w:sz w:val="20"/>
          <w:szCs w:val="20"/>
          <w:color w:val="auto"/>
        </w:rPr>
      </w:pPr>
      <w:r>
        <w:rPr>
          <w:rFonts w:ascii="Times New Roman" w:cs="Times New Roman" w:eastAsia="Times New Roman" w:hAnsi="Times New Roman"/>
          <w:sz w:val="17"/>
          <w:szCs w:val="17"/>
          <w:color w:val="auto"/>
        </w:rPr>
        <w:t>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A-7</w:t>
      </w:r>
    </w:p>
    <w:p>
      <w:pPr>
        <w:sectPr>
          <w:pgSz w:w="11900" w:h="16838" w:orient="portrait"/>
          <w:cols w:equalWidth="0" w:num="1">
            <w:col w:w="10620"/>
          </w:cols>
          <w:pgMar w:left="620" w:top="264" w:right="659" w:bottom="1440" w:gutter="0" w:footer="0" w:header="0"/>
        </w:sectPr>
      </w:pPr>
    </w:p>
    <w:bookmarkStart w:id="377" w:name="page378"/>
    <w:bookmarkEnd w:id="377"/>
    <w:p>
      <w:pPr>
        <w:ind w:left="55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Very truly yours,</w:t>
      </w:r>
    </w:p>
    <w:p>
      <w:pPr>
        <w:spacing w:after="0" w:line="247"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7"/>
          <w:szCs w:val="17"/>
          <w:b w:val="1"/>
          <w:bCs w:val="1"/>
          <w:color w:val="auto"/>
        </w:rPr>
        <w:t>IF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394970</wp:posOffset>
            </wp:positionV>
            <wp:extent cx="27051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2">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153035</wp:posOffset>
            </wp:positionV>
            <wp:extent cx="27051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3">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153035</wp:posOffset>
            </wp:positionV>
            <wp:extent cx="27051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4">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(Address)</w:t>
      </w:r>
    </w:p>
    <w:p>
      <w:pPr>
        <w:spacing w:after="0" w:line="2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b w:val="1"/>
          <w:bCs w:val="1"/>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287020</wp:posOffset>
            </wp:positionV>
            <wp:extent cx="27051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5">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(Name of Entity)</w:t>
      </w:r>
    </w:p>
    <w:p>
      <w:pPr>
        <w:spacing w:after="0" w:line="2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20320</wp:posOffset>
            </wp:positionV>
            <wp:extent cx="248094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6">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2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290830</wp:posOffset>
            </wp:positionV>
            <wp:extent cx="270510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7">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(Address)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A-8</w:t>
      </w:r>
    </w:p>
    <w:p>
      <w:pPr>
        <w:sectPr>
          <w:pgSz w:w="11900" w:h="16838" w:orient="portrait"/>
          <w:cols w:equalWidth="0" w:num="1">
            <w:col w:w="9019"/>
          </w:cols>
          <w:pgMar w:left="1440" w:top="264" w:right="1440"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B</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WAIVER OF LOCK-UP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and Address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 or Director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Requesting Waiver]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Mr./Ms. [Name]:</w:t>
      </w:r>
    </w:p>
    <w:p>
      <w:pPr>
        <w:spacing w:after="0" w:line="203" w:lineRule="exact"/>
        <w:rPr>
          <w:sz w:val="20"/>
          <w:szCs w:val="20"/>
          <w:color w:val="auto"/>
        </w:rPr>
      </w:pPr>
    </w:p>
    <w:p>
      <w:pPr>
        <w:ind w:right="60" w:firstLine="426"/>
        <w:spacing w:after="0" w:line="270" w:lineRule="auto"/>
        <w:rPr>
          <w:sz w:val="20"/>
          <w:szCs w:val="20"/>
          <w:color w:val="auto"/>
        </w:rPr>
      </w:pPr>
      <w:r>
        <w:rPr>
          <w:rFonts w:ascii="Times New Roman" w:cs="Times New Roman" w:eastAsia="Times New Roman" w:hAnsi="Times New Roman"/>
          <w:sz w:val="17"/>
          <w:szCs w:val="17"/>
          <w:color w:val="auto"/>
        </w:rPr>
        <w:t>This letter is being delivered to Morgan Stanley &amp; Co. LLC (“</w:t>
      </w:r>
      <w:r>
        <w:rPr>
          <w:rFonts w:ascii="Times New Roman" w:cs="Times New Roman" w:eastAsia="Times New Roman" w:hAnsi="Times New Roman"/>
          <w:sz w:val="17"/>
          <w:szCs w:val="17"/>
          <w:b w:val="1"/>
          <w:bCs w:val="1"/>
          <w:color w:val="auto"/>
        </w:rPr>
        <w:t>Morgan Stanley</w:t>
      </w:r>
      <w:r>
        <w:rPr>
          <w:rFonts w:ascii="Times New Roman" w:cs="Times New Roman" w:eastAsia="Times New Roman" w:hAnsi="Times New Roman"/>
          <w:sz w:val="17"/>
          <w:szCs w:val="17"/>
          <w:color w:val="auto"/>
        </w:rPr>
        <w:t>”) and J.P. Morgan Securities LLC (“</w:t>
      </w:r>
      <w:r>
        <w:rPr>
          <w:rFonts w:ascii="Times New Roman" w:cs="Times New Roman" w:eastAsia="Times New Roman" w:hAnsi="Times New Roman"/>
          <w:sz w:val="17"/>
          <w:szCs w:val="17"/>
          <w:b w:val="1"/>
          <w:bCs w:val="1"/>
          <w:color w:val="auto"/>
        </w:rPr>
        <w:t>J.P. Morgan</w:t>
      </w:r>
      <w:r>
        <w:rPr>
          <w:rFonts w:ascii="Times New Roman" w:cs="Times New Roman" w:eastAsia="Times New Roman" w:hAnsi="Times New Roman"/>
          <w:sz w:val="17"/>
          <w:szCs w:val="17"/>
          <w:color w:val="auto"/>
        </w:rPr>
        <w:t>”) in connection with the offering by Tempus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of [●] shares of common stock, $[●] par value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of the Company and the lock-up agreement dated [●], 2024 (the “Lock-up Agreement”), executed by you in connection with such offering, and your request for a [waiver] [release] dated [●], 2024, with respect to [●] shares of Common Stock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300" w:firstLine="426"/>
        <w:spacing w:after="0" w:line="269" w:lineRule="auto"/>
        <w:rPr>
          <w:sz w:val="20"/>
          <w:szCs w:val="20"/>
          <w:color w:val="auto"/>
        </w:rPr>
      </w:pPr>
      <w:r>
        <w:rPr>
          <w:rFonts w:ascii="Times New Roman" w:cs="Times New Roman" w:eastAsia="Times New Roman" w:hAnsi="Times New Roman"/>
          <w:sz w:val="17"/>
          <w:szCs w:val="17"/>
          <w:color w:val="auto"/>
        </w:rPr>
        <w:t>Morgan Stanley and J.P. Morgan hereby agree to [waive] [release] the transfer restrictions set forth in the Lock-up Agreement, but only with respect to the Shares, effective [●], 2024; provided, however,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Except as expressly [waived] [released] hereby, the Lock-up Agreement shall remain in full force and effect.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ectPr>
          <w:pgSz w:w="11900" w:h="16838" w:orient="portrait"/>
          <w:cols w:equalWidth="0" w:num="1">
            <w:col w:w="10660"/>
          </w:cols>
          <w:pgMar w:left="620" w:top="262" w:right="619" w:bottom="1440" w:gutter="0" w:footer="0" w:header="0"/>
        </w:sectPr>
      </w:pPr>
    </w:p>
    <w:bookmarkStart w:id="379" w:name="page380"/>
    <w:bookmarkEnd w:id="379"/>
    <w:p>
      <w:pPr>
        <w:ind w:left="6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Very truly yours,</w:t>
      </w:r>
    </w:p>
    <w:p>
      <w:pPr>
        <w:spacing w:after="0" w:line="24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3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Acting severally on behalf of themselves</w:t>
      </w:r>
    </w:p>
    <w:p>
      <w:pPr>
        <w:spacing w:after="0" w:line="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and the several Underwriters named in</w:t>
      </w:r>
    </w:p>
    <w:p>
      <w:pPr>
        <w:spacing w:after="0" w:line="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Schedule I hereto</w:t>
      </w:r>
    </w:p>
    <w:p>
      <w:pPr>
        <w:spacing w:after="0" w:line="23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2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20320</wp:posOffset>
            </wp:positionV>
            <wp:extent cx="248094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0">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22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20320</wp:posOffset>
            </wp:positionV>
            <wp:extent cx="248094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1">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Name:</w:t>
      </w:r>
    </w:p>
    <w:p>
      <w:pPr>
        <w:spacing w:after="0" w:line="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Title: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 Company</w:t>
      </w:r>
    </w:p>
    <w:p>
      <w:pPr>
        <w:spacing w:after="0" w:line="22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Lock-up Waiver</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B-2</w:t>
      </w:r>
    </w:p>
    <w:p>
      <w:pPr>
        <w:sectPr>
          <w:pgSz w:w="11900" w:h="16838" w:orient="portrait"/>
          <w:cols w:equalWidth="0" w:num="1">
            <w:col w:w="9839"/>
          </w:cols>
          <w:pgMar w:left="620" w:top="265" w:right="1440" w:bottom="1440" w:gutter="0" w:footer="0" w:header="0"/>
        </w:sectPr>
      </w:pPr>
    </w:p>
    <w:bookmarkStart w:id="380" w:name="page381"/>
    <w:bookmarkEnd w:id="380"/>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Tempus AI,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2024</w:t>
      </w:r>
    </w:p>
    <w:p>
      <w:pPr>
        <w:spacing w:after="0" w:line="20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Tempus AI,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today that Morgan Stanley &amp; Co. LLC and J.P. Morgan Securities LLC, the lead book-running managers in the Company’s recent public sale of [●] shares of its common stock are [waiving][releasing] a lock-up restriction with respect to [●] shares of the Company’s common stock held by [certain officers or directors] [an officer or director] of the Company. The [waiver][release] will take effect on [●], 2024, and the shares may be sold on or after such date.</w:t>
      </w:r>
    </w:p>
    <w:p>
      <w:pPr>
        <w:spacing w:after="0" w:line="166" w:lineRule="exact"/>
        <w:rPr>
          <w:sz w:val="20"/>
          <w:szCs w:val="20"/>
          <w:color w:val="auto"/>
        </w:rPr>
      </w:pPr>
    </w:p>
    <w:p>
      <w:pPr>
        <w:jc w:val="both"/>
        <w:ind w:right="180"/>
        <w:spacing w:after="0" w:line="277" w:lineRule="auto"/>
        <w:rPr>
          <w:sz w:val="20"/>
          <w:szCs w:val="20"/>
          <w:color w:val="auto"/>
        </w:rPr>
      </w:pPr>
      <w:r>
        <w:rPr>
          <w:rFonts w:ascii="Times New Roman" w:cs="Times New Roman" w:eastAsia="Times New Roman" w:hAnsi="Times New Roman"/>
          <w:sz w:val="17"/>
          <w:szCs w:val="17"/>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B-3</w:t>
      </w:r>
    </w:p>
    <w:p>
      <w:pPr>
        <w:sectPr>
          <w:pgSz w:w="11900" w:h="16838" w:orient="portrait"/>
          <w:cols w:equalWidth="0" w:num="1">
            <w:col w:w="10560"/>
          </w:cols>
          <w:pgMar w:left="620" w:top="263" w:right="719" w:bottom="1440" w:gutter="0" w:footer="0" w:header="0"/>
        </w:sectPr>
      </w:pPr>
    </w:p>
    <w:bookmarkStart w:id="381" w:name="page382"/>
    <w:bookmarkEnd w:id="381"/>
    <w:p>
      <w:pPr>
        <w:ind w:left="902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21590</wp:posOffset>
            </wp:positionV>
            <wp:extent cx="6804660" cy="45389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3">
                      <a:extLst>
                        <a:ext uri="{28A0092B-C50C-407E-A947-70E740481C1C}"/>
                      </a:extLst>
                    </a:blip>
                    <a:srcRect/>
                    <a:stretch>
                      <a:fillRect/>
                    </a:stretch>
                  </pic:blipFill>
                  <pic:spPr bwMode="auto">
                    <a:xfrm>
                      <a:off x="0" y="0"/>
                      <a:ext cx="6804660" cy="4538980"/>
                    </a:xfrm>
                    <a:prstGeom prst="rect">
                      <a:avLst/>
                    </a:prstGeom>
                    <a:noFill/>
                  </pic:spPr>
                </pic:pic>
              </a:graphicData>
            </a:graphic>
          </wp:anchor>
        </w:drawing>
      </w:r>
    </w:p>
    <w:p>
      <w:pPr>
        <w:sectPr>
          <w:pgSz w:w="11900" w:h="16838" w:orient="portrait"/>
          <w:cols w:equalWidth="0" w:num="1">
            <w:col w:w="9840"/>
          </w:cols>
          <w:pgMar w:left="1440" w:top="119" w:right="619" w:bottom="1440" w:gutter="0" w:footer="0" w:header="0"/>
        </w:sectPr>
      </w:pPr>
    </w:p>
    <w:bookmarkStart w:id="382" w:name="page383"/>
    <w:bookmarkEnd w:id="382"/>
    <w:p>
      <w:pPr>
        <w:ind w:right="760" w:firstLine="42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Corporation shall furnish without charge to each stockholder who so requests a statement of the powers, designations, preferences and relative, participating, optional or other special rights of each class of stock of the Corporation or series thereof and the qualifications, limitations or restrictions of such preferences and/or rights. Such requests shall be made to the Corporation’s Secretary at the principal office of the Corporation.</w:t>
      </w:r>
    </w:p>
    <w:p>
      <w:pPr>
        <w:spacing w:after="0" w:line="162" w:lineRule="exact"/>
        <w:rPr>
          <w:sz w:val="20"/>
          <w:szCs w:val="20"/>
          <w:color w:val="auto"/>
        </w:rPr>
      </w:pPr>
    </w:p>
    <w:p>
      <w:pPr>
        <w:ind w:right="820" w:firstLine="426"/>
        <w:spacing w:after="0" w:line="295" w:lineRule="auto"/>
        <w:rPr>
          <w:sz w:val="20"/>
          <w:szCs w:val="20"/>
          <w:color w:val="auto"/>
        </w:rPr>
      </w:pPr>
      <w:r>
        <w:rPr>
          <w:rFonts w:ascii="Times New Roman" w:cs="Times New Roman" w:eastAsia="Times New Roman" w:hAnsi="Times New Roman"/>
          <w:sz w:val="17"/>
          <w:szCs w:val="17"/>
          <w:color w:val="auto"/>
        </w:rPr>
        <w:t>KEEP THIS CERTIFICATE IN A SAFE PLACE. IF IT IS LOST, STOLEN, OR DESTROYED THE CORPORATION WILL REQUIRE A BOND INDEMNITY AS A CONDITION TO THE ISSUANCE OF A REPLACEMENT CERTIFICATE.</w:t>
      </w:r>
    </w:p>
    <w:p>
      <w:pPr>
        <w:spacing w:after="0" w:line="147" w:lineRule="exact"/>
        <w:rPr>
          <w:sz w:val="20"/>
          <w:szCs w:val="20"/>
          <w:color w:val="auto"/>
        </w:rPr>
      </w:pPr>
    </w:p>
    <w:p>
      <w:pPr>
        <w:ind w:right="520" w:firstLine="426"/>
        <w:spacing w:after="0" w:line="295" w:lineRule="auto"/>
        <w:rPr>
          <w:sz w:val="20"/>
          <w:szCs w:val="20"/>
          <w:color w:val="auto"/>
        </w:rPr>
      </w:pPr>
      <w:r>
        <w:rPr>
          <w:rFonts w:ascii="Times New Roman" w:cs="Times New Roman" w:eastAsia="Times New Roman" w:hAnsi="Times New Roman"/>
          <w:sz w:val="17"/>
          <w:szCs w:val="17"/>
          <w:color w:val="auto"/>
        </w:rPr>
        <w:t>The following abbreviations, when used in the inscription on the face of this certificate, shall be construed as though they were written out in full according to applicable laws or regulations: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TEN COM</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as tenants in common</w:t>
            </w:r>
          </w:p>
        </w:tc>
        <w:tc>
          <w:tcPr>
            <w:tcW w:w="30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UNIF GIFT MIN ACT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 </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82"/>
              </w:rPr>
              <w:t> </w:t>
            </w:r>
          </w:p>
        </w:tc>
        <w:tc>
          <w:tcPr>
            <w:tcW w:w="1260" w:type="dxa"/>
            <w:vAlign w:val="bottom"/>
            <w:gridSpan w:val="6"/>
          </w:tcPr>
          <w:p>
            <w:pPr>
              <w:jc w:val="center"/>
              <w:spacing w:after="0"/>
              <w:rPr>
                <w:sz w:val="20"/>
                <w:szCs w:val="20"/>
                <w:color w:val="auto"/>
              </w:rPr>
            </w:pPr>
            <w:r>
              <w:rPr>
                <w:rFonts w:ascii="Times New Roman" w:cs="Times New Roman" w:eastAsia="Times New Roman" w:hAnsi="Times New Roman"/>
                <w:sz w:val="17"/>
                <w:szCs w:val="17"/>
                <w:color w:val="auto"/>
              </w:rPr>
              <w:t xml:space="preserve"> Custodian          </w:t>
            </w:r>
          </w:p>
        </w:tc>
        <w:tc>
          <w:tcPr>
            <w:tcW w:w="40" w:type="dxa"/>
            <w:vAlign w:val="bottom"/>
          </w:tcPr>
          <w:p>
            <w:pPr>
              <w:spacing w:after="0"/>
              <w:rPr>
                <w:sz w:val="17"/>
                <w:szCs w:val="17"/>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TEN ENT</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as tenants by the entireties</w:t>
            </w:r>
          </w:p>
        </w:tc>
        <w:tc>
          <w:tcPr>
            <w:tcW w:w="30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w w:val="71"/>
              </w:rPr>
              <w:t>    </w:t>
            </w:r>
          </w:p>
        </w:tc>
        <w:tc>
          <w:tcPr>
            <w:tcW w:w="8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xml:space="preserve">(Cust) </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 </w:t>
            </w:r>
          </w:p>
        </w:tc>
        <w:tc>
          <w:tcPr>
            <w:tcW w:w="60" w:type="dxa"/>
            <w:vAlign w:val="bottom"/>
          </w:tcPr>
          <w:p>
            <w:pPr>
              <w:spacing w:after="0"/>
              <w:rPr>
                <w:sz w:val="18"/>
                <w:szCs w:val="18"/>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 </w:t>
            </w:r>
          </w:p>
        </w:tc>
        <w:tc>
          <w:tcPr>
            <w:tcW w:w="3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 xml:space="preserve">      </w:t>
            </w: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(Minor)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JT TEN</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as joint tenants with right of</w:t>
            </w:r>
          </w:p>
        </w:tc>
        <w:tc>
          <w:tcPr>
            <w:tcW w:w="3000" w:type="dxa"/>
            <w:vAlign w:val="bottom"/>
          </w:tcPr>
          <w:p>
            <w:pPr>
              <w:spacing w:after="0"/>
              <w:rPr>
                <w:sz w:val="18"/>
                <w:szCs w:val="18"/>
                <w:color w:val="auto"/>
              </w:rPr>
            </w:pPr>
          </w:p>
        </w:tc>
        <w:tc>
          <w:tcPr>
            <w:tcW w:w="22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under Uniform Gifts to Minors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survivorship and not as</w:t>
            </w:r>
          </w:p>
        </w:tc>
        <w:tc>
          <w:tcPr>
            <w:tcW w:w="3000" w:type="dxa"/>
            <w:vAlign w:val="bottom"/>
          </w:tcPr>
          <w:p>
            <w:pPr>
              <w:spacing w:after="0"/>
              <w:rPr>
                <w:sz w:val="16"/>
                <w:szCs w:val="16"/>
                <w:color w:val="auto"/>
              </w:rPr>
            </w:pPr>
          </w:p>
        </w:tc>
        <w:tc>
          <w:tcPr>
            <w:tcW w:w="32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w w:val="72"/>
              </w:rPr>
              <w:t>Act 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w w:val="93"/>
              </w:rPr>
              <w:t> </w:t>
            </w:r>
          </w:p>
        </w:tc>
        <w:tc>
          <w:tcPr>
            <w:tcW w:w="60" w:type="dxa"/>
            <w:vAlign w:val="bottom"/>
          </w:tcPr>
          <w:p>
            <w:pPr>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38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p>
        </w:tc>
        <w:tc>
          <w:tcPr>
            <w:tcW w:w="420" w:type="dxa"/>
            <w:vAlign w:val="bottom"/>
          </w:tcPr>
          <w:p>
            <w:pPr>
              <w:ind w:left="100"/>
              <w:spacing w:after="0" w:line="189" w:lineRule="exact"/>
              <w:rPr>
                <w:sz w:val="20"/>
                <w:szCs w:val="20"/>
                <w:color w:val="auto"/>
              </w:rPr>
            </w:pPr>
            <w:r>
              <w:rPr>
                <w:rFonts w:ascii="Times New Roman" w:cs="Times New Roman" w:eastAsia="Times New Roman" w:hAnsi="Times New Roman"/>
                <w:sz w:val="17"/>
                <w:szCs w:val="17"/>
                <w:color w:val="auto"/>
              </w:rPr>
              <w:t xml:space="preserve">    </w:t>
            </w:r>
          </w:p>
        </w:tc>
        <w:tc>
          <w:tcPr>
            <w:tcW w:w="1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w w:val="93"/>
              </w:rPr>
              <w:t>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tenants in common</w:t>
            </w:r>
          </w:p>
        </w:tc>
        <w:tc>
          <w:tcPr>
            <w:tcW w:w="30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    </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7"/>
                <w:szCs w:val="17"/>
                <w:color w:val="auto"/>
                <w:w w:val="92"/>
              </w:rPr>
              <w:t>  (State)</w:t>
            </w: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10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COM PROP –</w:t>
            </w:r>
          </w:p>
        </w:tc>
        <w:tc>
          <w:tcPr>
            <w:tcW w:w="316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as community property</w:t>
            </w:r>
          </w:p>
        </w:tc>
        <w:tc>
          <w:tcPr>
            <w:tcW w:w="3000" w:type="dxa"/>
            <w:vAlign w:val="bottom"/>
          </w:tcPr>
          <w:p>
            <w:pPr>
              <w:jc w:val="right"/>
              <w:ind w:right="13"/>
              <w:spacing w:after="0" w:line="189" w:lineRule="exact"/>
              <w:rPr>
                <w:sz w:val="20"/>
                <w:szCs w:val="20"/>
                <w:color w:val="auto"/>
              </w:rPr>
            </w:pPr>
            <w:r>
              <w:rPr>
                <w:rFonts w:ascii="Times New Roman" w:cs="Times New Roman" w:eastAsia="Times New Roman" w:hAnsi="Times New Roman"/>
                <w:sz w:val="17"/>
                <w:szCs w:val="17"/>
                <w:color w:val="auto"/>
              </w:rPr>
              <w:t>UNIF TRF MIN ACT –</w:t>
            </w:r>
          </w:p>
        </w:tc>
        <w:tc>
          <w:tcPr>
            <w:tcW w:w="1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0" w:type="dxa"/>
            <w:vAlign w:val="bottom"/>
          </w:tcPr>
          <w:p>
            <w:pPr>
              <w:spacing w:after="0"/>
              <w:rPr>
                <w:sz w:val="16"/>
                <w:szCs w:val="16"/>
                <w:color w:val="auto"/>
              </w:rPr>
            </w:pPr>
          </w:p>
        </w:tc>
        <w:tc>
          <w:tcPr>
            <w:tcW w:w="1620" w:type="dxa"/>
            <w:vAlign w:val="bottom"/>
            <w:gridSpan w:val="9"/>
          </w:tcPr>
          <w:p>
            <w:pPr>
              <w:spacing w:after="0" w:line="189" w:lineRule="exact"/>
              <w:rPr>
                <w:sz w:val="20"/>
                <w:szCs w:val="20"/>
                <w:color w:val="auto"/>
              </w:rPr>
            </w:pPr>
            <w:r>
              <w:rPr>
                <w:rFonts w:ascii="Times New Roman" w:cs="Times New Roman" w:eastAsia="Times New Roman" w:hAnsi="Times New Roman"/>
                <w:sz w:val="17"/>
                <w:szCs w:val="17"/>
                <w:color w:val="auto"/>
                <w:w w:val="98"/>
              </w:rPr>
              <w:t> Custodian (until age  </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160" w:type="dxa"/>
            <w:vAlign w:val="bottom"/>
            <w:gridSpan w:val="2"/>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82"/>
              </w:rPr>
              <w:t> </w:t>
            </w:r>
          </w:p>
        </w:tc>
        <w:tc>
          <w:tcPr>
            <w:tcW w:w="6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 (Cust)</w:t>
            </w: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160" w:type="dxa"/>
            <w:vAlign w:val="bottom"/>
            <w:tcBorders>
              <w:bottom w:val="single" w:sz="8" w:color="auto"/>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180" w:type="dxa"/>
            <w:vAlign w:val="bottom"/>
            <w:tcBorders>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w w:val="82"/>
              </w:rPr>
              <w:t> </w:t>
            </w:r>
          </w:p>
        </w:tc>
        <w:tc>
          <w:tcPr>
            <w:tcW w:w="2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color w:val="auto"/>
                <w:w w:val="74"/>
              </w:rPr>
              <w:t>    </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 xml:space="preserve">   </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ind w:left="60"/>
              <w:spacing w:after="0" w:line="189" w:lineRule="exact"/>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w w:val="93"/>
              </w:rPr>
              <w:t> </w:t>
            </w:r>
          </w:p>
        </w:tc>
        <w:tc>
          <w:tcPr>
            <w:tcW w:w="1860" w:type="dxa"/>
            <w:vAlign w:val="bottom"/>
            <w:gridSpan w:val="12"/>
          </w:tcPr>
          <w:p>
            <w:pPr>
              <w:jc w:val="center"/>
              <w:ind w:right="46"/>
              <w:spacing w:after="0" w:line="189" w:lineRule="exact"/>
              <w:rPr>
                <w:sz w:val="20"/>
                <w:szCs w:val="20"/>
                <w:color w:val="auto"/>
              </w:rPr>
            </w:pPr>
            <w:r>
              <w:rPr>
                <w:rFonts w:ascii="Times New Roman" w:cs="Times New Roman" w:eastAsia="Times New Roman" w:hAnsi="Times New Roman"/>
                <w:sz w:val="17"/>
                <w:szCs w:val="17"/>
                <w:color w:val="auto"/>
              </w:rPr>
              <w:t> under Uniform Transfers</w:t>
            </w:r>
          </w:p>
        </w:tc>
      </w:tr>
      <w:tr>
        <w:trPr>
          <w:trHeight w:val="210"/>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w w:val="71"/>
              </w:rPr>
              <w:t>    </w:t>
            </w:r>
          </w:p>
        </w:tc>
        <w:tc>
          <w:tcPr>
            <w:tcW w:w="80" w:type="dxa"/>
            <w:vAlign w:val="bottom"/>
          </w:tcPr>
          <w:p>
            <w:pPr>
              <w:spacing w:after="0"/>
              <w:rPr>
                <w:sz w:val="18"/>
                <w:szCs w:val="18"/>
                <w:color w:val="auto"/>
              </w:rPr>
            </w:pPr>
          </w:p>
        </w:tc>
        <w:tc>
          <w:tcPr>
            <w:tcW w:w="72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w w:val="96"/>
              </w:rPr>
              <w:t>  (Minor)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20" w:type="dxa"/>
            <w:vAlign w:val="bottom"/>
            <w:gridSpan w:val="8"/>
          </w:tcPr>
          <w:p>
            <w:pPr>
              <w:spacing w:after="0" w:line="189" w:lineRule="exact"/>
              <w:rPr>
                <w:sz w:val="20"/>
                <w:szCs w:val="20"/>
                <w:color w:val="auto"/>
              </w:rPr>
            </w:pPr>
            <w:r>
              <w:rPr>
                <w:rFonts w:ascii="Times New Roman" w:cs="Times New Roman" w:eastAsia="Times New Roman" w:hAnsi="Times New Roman"/>
                <w:sz w:val="17"/>
                <w:szCs w:val="17"/>
                <w:color w:val="auto"/>
                <w:w w:val="88"/>
              </w:rPr>
              <w:t>to Minors Act 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38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7"/>
                <w:szCs w:val="17"/>
                <w:color w:val="auto"/>
              </w:rPr>
              <w:t xml:space="preserve">    </w:t>
            </w:r>
          </w:p>
        </w:tc>
        <w:tc>
          <w:tcPr>
            <w:tcW w:w="42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auto"/>
              </w:rPr>
              <w:t xml:space="preserve">       </w:t>
            </w:r>
          </w:p>
        </w:tc>
        <w:tc>
          <w:tcPr>
            <w:tcW w:w="40" w:type="dxa"/>
            <w:vAlign w:val="bottom"/>
          </w:tcPr>
          <w:p>
            <w:pPr>
              <w:spacing w:after="0"/>
              <w:rPr>
                <w:sz w:val="16"/>
                <w:szCs w:val="16"/>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 xml:space="preserve">(State) </w:t>
            </w: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center"/>
              <w:ind w:right="33"/>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60" w:type="dxa"/>
            <w:vAlign w:val="bottom"/>
            <w:tcBorders>
              <w:top w:val="single" w:sz="8" w:color="auto"/>
            </w:tcBorders>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 </w:t>
            </w:r>
          </w:p>
        </w:tc>
      </w:tr>
    </w:tbl>
    <w:p>
      <w:pPr>
        <w:spacing w:after="0" w:line="19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Additional abbreviations may also be used though not in the above list.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7"/>
          </w:tcPr>
          <w:p>
            <w:pPr>
              <w:ind w:left="100"/>
              <w:spacing w:after="0"/>
              <w:rPr>
                <w:sz w:val="20"/>
                <w:szCs w:val="20"/>
                <w:color w:val="auto"/>
              </w:rPr>
            </w:pPr>
            <w:r>
              <w:rPr>
                <w:rFonts w:ascii="Times New Roman" w:cs="Times New Roman" w:eastAsia="Times New Roman" w:hAnsi="Times New Roman"/>
                <w:sz w:val="17"/>
                <w:szCs w:val="17"/>
                <w:color w:val="auto"/>
                <w:w w:val="98"/>
              </w:rPr>
              <w:t>FOR VALUE RECEIVED,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1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tcPr>
          <w:p>
            <w:pPr>
              <w:spacing w:after="0"/>
              <w:rPr>
                <w:sz w:val="17"/>
                <w:szCs w:val="17"/>
                <w:color w:val="auto"/>
              </w:rPr>
            </w:pPr>
          </w:p>
        </w:tc>
        <w:tc>
          <w:tcPr>
            <w:tcW w:w="33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xml:space="preserve">                                                       </w:t>
            </w:r>
          </w:p>
        </w:tc>
        <w:tc>
          <w:tcPr>
            <w:tcW w:w="3820" w:type="dxa"/>
            <w:vAlign w:val="bottom"/>
            <w:gridSpan w:val="19"/>
          </w:tcPr>
          <w:p>
            <w:pPr>
              <w:ind w:left="60"/>
              <w:spacing w:after="0"/>
              <w:rPr>
                <w:sz w:val="20"/>
                <w:szCs w:val="20"/>
                <w:color w:val="auto"/>
              </w:rPr>
            </w:pPr>
            <w:r>
              <w:rPr>
                <w:rFonts w:ascii="Times New Roman" w:cs="Times New Roman" w:eastAsia="Times New Roman" w:hAnsi="Times New Roman"/>
                <w:sz w:val="17"/>
                <w:szCs w:val="17"/>
                <w:color w:val="auto"/>
              </w:rPr>
              <w:t>hereby sell(s), assign(s) and transfer(s) unto</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45"/>
        </w:trPr>
        <w:tc>
          <w:tcPr>
            <w:tcW w:w="3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PLEASE INSERT SOCIAL SECURITY OR OTHER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7"/>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gridSpan w:val="14"/>
          </w:tcPr>
          <w:p>
            <w:pPr>
              <w:ind w:left="20"/>
              <w:spacing w:after="0"/>
              <w:rPr>
                <w:sz w:val="20"/>
                <w:szCs w:val="20"/>
                <w:color w:val="auto"/>
              </w:rPr>
            </w:pPr>
            <w:r>
              <w:rPr>
                <w:rFonts w:ascii="Times New Roman" w:cs="Times New Roman" w:eastAsia="Times New Roman" w:hAnsi="Times New Roman"/>
                <w:sz w:val="17"/>
                <w:szCs w:val="17"/>
                <w:color w:val="auto"/>
              </w:rPr>
              <w:t>IDENTIFYING NUMBER OF ASSIGNEE</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53"/>
        </w:trPr>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607"/>
        </w:trPr>
        <w:tc>
          <w:tcPr>
            <w:tcW w:w="1780" w:type="dxa"/>
            <w:vAlign w:val="bottom"/>
            <w:tcBorders>
              <w:left w:val="single" w:sz="8" w:color="auto"/>
              <w:bottom w:val="single" w:sz="8" w:color="auto"/>
            </w:tcBorders>
            <w:gridSpan w:val="4"/>
          </w:tcPr>
          <w:p>
            <w:pPr>
              <w:ind w:left="140"/>
              <w:spacing w:after="0"/>
              <w:rPr>
                <w:sz w:val="20"/>
                <w:szCs w:val="20"/>
                <w:color w:val="auto"/>
              </w:rPr>
            </w:pPr>
            <w:r>
              <w:rPr>
                <w:rFonts w:ascii="Times New Roman" w:cs="Times New Roman" w:eastAsia="Times New Roman" w:hAnsi="Times New Roman"/>
                <w:sz w:val="52"/>
                <w:szCs w:val="52"/>
                <w:color w:val="auto"/>
              </w:rPr>
              <w:t> </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4"/>
        </w:trPr>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4"/>
          </w:tcPr>
          <w:p>
            <w:pPr>
              <w:spacing w:after="0"/>
              <w:rPr>
                <w:sz w:val="22"/>
                <w:szCs w:val="22"/>
                <w:color w:val="auto"/>
              </w:rPr>
            </w:pPr>
          </w:p>
        </w:tc>
        <w:tc>
          <w:tcPr>
            <w:tcW w:w="660" w:type="dxa"/>
            <w:vAlign w:val="bottom"/>
            <w:tcBorders>
              <w:bottom w:val="single" w:sz="8" w:color="auto"/>
            </w:tcBorders>
            <w:gridSpan w:val="5"/>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4"/>
          </w:tcPr>
          <w:p>
            <w:pPr>
              <w:spacing w:after="0"/>
              <w:rPr>
                <w:sz w:val="22"/>
                <w:szCs w:val="22"/>
                <w:color w:val="auto"/>
              </w:rPr>
            </w:pPr>
          </w:p>
        </w:tc>
        <w:tc>
          <w:tcPr>
            <w:tcW w:w="2960" w:type="dxa"/>
            <w:vAlign w:val="bottom"/>
            <w:tcBorders>
              <w:bottom w:val="single" w:sz="8" w:color="auto"/>
            </w:tcBorders>
            <w:gridSpan w:val="13"/>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28"/>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80" w:type="dxa"/>
            <w:vAlign w:val="bottom"/>
            <w:gridSpan w:val="27"/>
          </w:tcPr>
          <w:p>
            <w:pPr>
              <w:ind w:left="80"/>
              <w:spacing w:after="0"/>
              <w:rPr>
                <w:sz w:val="20"/>
                <w:szCs w:val="20"/>
                <w:color w:val="auto"/>
              </w:rPr>
            </w:pPr>
            <w:r>
              <w:rPr>
                <w:rFonts w:ascii="Times New Roman" w:cs="Times New Roman" w:eastAsia="Times New Roman" w:hAnsi="Times New Roman"/>
                <w:sz w:val="17"/>
                <w:szCs w:val="17"/>
                <w:color w:val="auto"/>
              </w:rPr>
              <w:t>(PLEASE PRINT OR TYPEWRITE NAME AND ADDRESS, INCLUDING ZIP CODE, OF ASSIGNEE)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7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ind w:left="1620"/>
              <w:spacing w:after="0"/>
              <w:rPr>
                <w:sz w:val="20"/>
                <w:szCs w:val="20"/>
                <w:color w:val="auto"/>
              </w:rPr>
            </w:pPr>
            <w:r>
              <w:rPr>
                <w:rFonts w:ascii="Times New Roman" w:cs="Times New Roman" w:eastAsia="Times New Roman" w:hAnsi="Times New Roman"/>
                <w:sz w:val="21"/>
                <w:szCs w:val="21"/>
                <w:color w:val="auto"/>
              </w:rPr>
              <w:t> </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ind w:left="1620"/>
              <w:spacing w:after="0"/>
              <w:rPr>
                <w:sz w:val="20"/>
                <w:szCs w:val="20"/>
                <w:color w:val="auto"/>
              </w:rPr>
            </w:pPr>
            <w:r>
              <w:rPr>
                <w:rFonts w:ascii="Times New Roman" w:cs="Times New Roman" w:eastAsia="Times New Roman" w:hAnsi="Times New Roman"/>
                <w:sz w:val="21"/>
                <w:szCs w:val="21"/>
                <w:color w:val="auto"/>
              </w:rPr>
              <w:t> </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387"/>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xml:space="preserve">    </w:t>
            </w:r>
          </w:p>
        </w:tc>
        <w:tc>
          <w:tcPr>
            <w:tcW w:w="6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xml:space="preserve">    </w:t>
            </w:r>
          </w:p>
        </w:tc>
        <w:tc>
          <w:tcPr>
            <w:tcW w:w="20" w:type="dxa"/>
            <w:vAlign w:val="bottom"/>
          </w:tcPr>
          <w:p>
            <w:pPr>
              <w:spacing w:after="0"/>
              <w:rPr>
                <w:sz w:val="24"/>
                <w:szCs w:val="24"/>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tcPr>
          <w:p>
            <w:pPr>
              <w:ind w:left="40"/>
              <w:spacing w:after="0"/>
              <w:rPr>
                <w:sz w:val="20"/>
                <w:szCs w:val="20"/>
                <w:color w:val="auto"/>
              </w:rPr>
            </w:pPr>
            <w:r>
              <w:rPr>
                <w:rFonts w:ascii="Times New Roman" w:cs="Times New Roman" w:eastAsia="Times New Roman" w:hAnsi="Times New Roman"/>
                <w:sz w:val="2"/>
                <w:szCs w:val="2"/>
                <w:color w:val="auto"/>
                <w:w w:val="97"/>
              </w:rPr>
              <w:t> </w:t>
            </w: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              sha</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780" w:type="dxa"/>
            <w:vAlign w:val="bottom"/>
            <w:gridSpan w:val="11"/>
            <w:shd w:val="clear" w:color="auto" w:fill="000000"/>
          </w:tcPr>
          <w:p>
            <w:pPr>
              <w:spacing w:after="0" w:line="20" w:lineRule="exact"/>
              <w:rPr>
                <w:sz w:val="1"/>
                <w:szCs w:val="1"/>
                <w:color w:val="auto"/>
              </w:rPr>
            </w:pPr>
          </w:p>
        </w:tc>
        <w:tc>
          <w:tcPr>
            <w:tcW w:w="3280" w:type="dxa"/>
            <w:vAlign w:val="bottom"/>
            <w:gridSpan w:val="4"/>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8"/>
        </w:trPr>
        <w:tc>
          <w:tcPr>
            <w:tcW w:w="722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of the capital stock represented by within Certificate, and do hereby irrevocably constitute and appoint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79"/>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xml:space="preserve">    </w:t>
            </w:r>
          </w:p>
        </w:tc>
        <w:tc>
          <w:tcPr>
            <w:tcW w:w="6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xml:space="preserve">    </w:t>
            </w:r>
          </w:p>
        </w:tc>
        <w:tc>
          <w:tcPr>
            <w:tcW w:w="20" w:type="dxa"/>
            <w:vAlign w:val="bottom"/>
          </w:tcPr>
          <w:p>
            <w:pPr>
              <w:spacing w:after="0"/>
              <w:rPr>
                <w:sz w:val="24"/>
                <w:szCs w:val="24"/>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 </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 xml:space="preserve">  attorney-in-f</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780" w:type="dxa"/>
            <w:vAlign w:val="bottom"/>
            <w:gridSpan w:val="11"/>
            <w:shd w:val="clear" w:color="auto" w:fill="000000"/>
          </w:tcPr>
          <w:p>
            <w:pPr>
              <w:spacing w:after="0" w:line="20" w:lineRule="exact"/>
              <w:rPr>
                <w:sz w:val="1"/>
                <w:szCs w:val="1"/>
                <w:color w:val="auto"/>
              </w:rPr>
            </w:pPr>
          </w:p>
        </w:tc>
        <w:tc>
          <w:tcPr>
            <w:tcW w:w="3280" w:type="dxa"/>
            <w:vAlign w:val="bottom"/>
            <w:gridSpan w:val="4"/>
            <w:shd w:val="clear" w:color="auto" w:fill="000000"/>
          </w:tcPr>
          <w:p>
            <w:pPr>
              <w:spacing w:after="0" w:line="20" w:lineRule="exact"/>
              <w:rPr>
                <w:sz w:val="1"/>
                <w:szCs w:val="1"/>
                <w:color w:val="auto"/>
              </w:rPr>
            </w:pPr>
          </w:p>
        </w:tc>
        <w:tc>
          <w:tcPr>
            <w:tcW w:w="2080" w:type="dxa"/>
            <w:vAlign w:val="bottom"/>
            <w:gridSpan w:val="8"/>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8"/>
        </w:trPr>
        <w:tc>
          <w:tcPr>
            <w:tcW w:w="858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to transfer the said stock on the books of the within named Corporation with full power of the substitution in the premises.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18"/>
        </w:trPr>
        <w:tc>
          <w:tcPr>
            <w:tcW w:w="1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Dated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w w:val="82"/>
              </w:rPr>
              <w:t> </w:t>
            </w:r>
          </w:p>
        </w:tc>
        <w:tc>
          <w:tcPr>
            <w:tcW w:w="20" w:type="dxa"/>
            <w:vAlign w:val="bottom"/>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44"/>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X</w:t>
            </w: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333"/>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X</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04"/>
        </w:trPr>
        <w:tc>
          <w:tcPr>
            <w:tcW w:w="1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Signature(s) Guaranteed: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NOTICE:</w:t>
            </w:r>
          </w:p>
        </w:tc>
        <w:tc>
          <w:tcPr>
            <w:tcW w:w="80" w:type="dxa"/>
            <w:vAlign w:val="bottom"/>
          </w:tcPr>
          <w:p>
            <w:pPr>
              <w:spacing w:after="0"/>
              <w:rPr>
                <w:sz w:val="17"/>
                <w:szCs w:val="17"/>
                <w:color w:val="auto"/>
              </w:rPr>
            </w:pPr>
          </w:p>
        </w:tc>
        <w:tc>
          <w:tcPr>
            <w:tcW w:w="7160" w:type="dxa"/>
            <w:vAlign w:val="bottom"/>
            <w:gridSpan w:val="21"/>
          </w:tcPr>
          <w:p>
            <w:pPr>
              <w:ind w:left="40"/>
              <w:spacing w:after="0"/>
              <w:rPr>
                <w:sz w:val="20"/>
                <w:szCs w:val="20"/>
                <w:color w:val="auto"/>
              </w:rPr>
            </w:pPr>
            <w:r>
              <w:rPr>
                <w:rFonts w:ascii="Times New Roman" w:cs="Times New Roman" w:eastAsia="Times New Roman" w:hAnsi="Times New Roman"/>
                <w:sz w:val="17"/>
                <w:szCs w:val="17"/>
                <w:color w:val="auto"/>
              </w:rPr>
              <w:t>THE SIGNATURE TO THIS ASSIGNMENT MUST CORRESPOND WITH THE NAME AS</w:t>
            </w:r>
          </w:p>
        </w:tc>
      </w:tr>
      <w:tr>
        <w:trPr>
          <w:trHeight w:val="209"/>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160" w:type="dxa"/>
            <w:vAlign w:val="bottom"/>
            <w:gridSpan w:val="21"/>
          </w:tcPr>
          <w:p>
            <w:pPr>
              <w:ind w:left="40"/>
              <w:spacing w:after="0"/>
              <w:rPr>
                <w:sz w:val="20"/>
                <w:szCs w:val="20"/>
                <w:color w:val="auto"/>
              </w:rPr>
            </w:pPr>
            <w:r>
              <w:rPr>
                <w:rFonts w:ascii="Times New Roman" w:cs="Times New Roman" w:eastAsia="Times New Roman" w:hAnsi="Times New Roman"/>
                <w:sz w:val="17"/>
                <w:szCs w:val="17"/>
                <w:color w:val="auto"/>
              </w:rPr>
              <w:t>WRITTEN UPON THE FACE OF THE CERTIFICATE IN EVERY PARTICULAR, WITHOUT</w:t>
            </w:r>
          </w:p>
        </w:tc>
      </w:tr>
      <w:tr>
        <w:trPr>
          <w:trHeight w:val="227"/>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gridSpan w:val="14"/>
          </w:tcPr>
          <w:p>
            <w:pPr>
              <w:ind w:left="40"/>
              <w:spacing w:after="0"/>
              <w:rPr>
                <w:sz w:val="20"/>
                <w:szCs w:val="20"/>
                <w:color w:val="auto"/>
              </w:rPr>
            </w:pPr>
            <w:r>
              <w:rPr>
                <w:rFonts w:ascii="Times New Roman" w:cs="Times New Roman" w:eastAsia="Times New Roman" w:hAnsi="Times New Roman"/>
                <w:sz w:val="17"/>
                <w:szCs w:val="17"/>
                <w:color w:val="auto"/>
              </w:rPr>
              <w:t>ALTERATION OR ENLARGEMENT OR ANY CHANGE WHATSOEVER.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05"/>
        </w:trPr>
        <w:tc>
          <w:tcPr>
            <w:tcW w:w="17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By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82"/>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38" w:lineRule="exact"/>
        <w:rPr>
          <w:sz w:val="20"/>
          <w:szCs w:val="20"/>
          <w:color w:val="auto"/>
        </w:rPr>
      </w:pPr>
    </w:p>
    <w:p>
      <w:pPr>
        <w:ind w:right="4700"/>
        <w:spacing w:after="0" w:line="264" w:lineRule="auto"/>
        <w:rPr>
          <w:sz w:val="20"/>
          <w:szCs w:val="20"/>
          <w:color w:val="auto"/>
        </w:rPr>
      </w:pPr>
      <w:r>
        <w:rPr>
          <w:rFonts w:ascii="Times New Roman" w:cs="Times New Roman" w:eastAsia="Times New Roman" w:hAnsi="Times New Roman"/>
          <w:sz w:val="17"/>
          <w:szCs w:val="17"/>
          <w:color w:val="auto"/>
        </w:rPr>
        <w:t>THE SIGNATURE(S) SHOULD BE GUARANTEED BY AN ELIGIBLE GUARANTOR INSTITUTION, (BANKS, STOCKBROKERS, SAVINGS AND LOAN ASSOCIATIONS AND CREDIT UNIONS WITH MEMBERSHIP IN AN APPROVED SIGNATURE GUARANTEE MEDALLION PROGRAM), PURSUANT TO S.E.C. RULE 17Ad-15. GUARANTEES BY A NOTARY PUBLIC ARE NOT ACCEPTABLE. SIGNATURE GUARANTEES MUST NOT BE DATED.</w:t>
      </w:r>
    </w:p>
    <w:p>
      <w:pPr>
        <w:sectPr>
          <w:pgSz w:w="11900" w:h="16838" w:orient="portrait"/>
          <w:cols w:equalWidth="0" w:num="1">
            <w:col w:w="11040"/>
          </w:cols>
          <w:pgMar w:left="620" w:top="265" w:right="239" w:bottom="1440" w:gutter="0" w:footer="0" w:header="0"/>
        </w:sectPr>
      </w:pPr>
    </w:p>
    <w:bookmarkStart w:id="383" w:name="page384"/>
    <w:bookmarkEnd w:id="383"/>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1103630" cy="3651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5">
                      <a:extLst>
                        <a:ext uri="{28A0092B-C50C-407E-A947-70E740481C1C}"/>
                      </a:extLst>
                    </a:blip>
                    <a:srcRect/>
                    <a:stretch>
                      <a:fillRect/>
                    </a:stretch>
                  </pic:blipFill>
                  <pic:spPr bwMode="auto">
                    <a:xfrm>
                      <a:off x="0" y="0"/>
                      <a:ext cx="1103630" cy="36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Christina T. Roupas</w:t>
      </w:r>
    </w:p>
    <w:p>
      <w:pPr>
        <w:spacing w:after="0" w:line="32" w:lineRule="exact"/>
        <w:rPr>
          <w:sz w:val="20"/>
          <w:szCs w:val="20"/>
          <w:color w:val="auto"/>
        </w:rPr>
      </w:pPr>
    </w:p>
    <w:p>
      <w:pPr>
        <w:ind w:left="8" w:right="9160" w:hanging="8"/>
        <w:spacing w:after="0" w:line="273" w:lineRule="auto"/>
        <w:tabs>
          <w:tab w:leader="none" w:pos="19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+1 312 881 6670 croupas@cooley.com</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June 5, 2024</w:t>
      </w:r>
    </w:p>
    <w:p>
      <w:pPr>
        <w:spacing w:after="0" w:line="2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Tempus AI, Inc.</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600 West Chicago Avenue, Suite 510</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Chicago, Illinois 60654</w:t>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9" w:lineRule="exact"/>
        <w:rPr>
          <w:sz w:val="20"/>
          <w:szCs w:val="20"/>
          <w:color w:val="auto"/>
        </w:rPr>
      </w:pPr>
    </w:p>
    <w:p>
      <w:pPr>
        <w:ind w:left="8" w:right="100"/>
        <w:spacing w:after="0" w:line="267" w:lineRule="auto"/>
        <w:rPr>
          <w:sz w:val="20"/>
          <w:szCs w:val="20"/>
          <w:color w:val="auto"/>
        </w:rPr>
      </w:pPr>
      <w:r>
        <w:rPr>
          <w:rFonts w:ascii="Times New Roman" w:cs="Times New Roman" w:eastAsia="Times New Roman" w:hAnsi="Times New Roman"/>
          <w:sz w:val="17"/>
          <w:szCs w:val="17"/>
          <w:color w:val="auto"/>
        </w:rPr>
        <w:t>We have acted as counsel to Tempus AI,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filing by the Company of a Registration Statement (333-279558) on Form S-1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including a related prospectus included in the Registration Statement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covering an underwritten public offering of up to 12,765,000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the Company’s Class A common stock, par value $0.0001 per share, including 1,665,000 Shares that may be sold by the Company upon the exercise of an option to purchase additional Shares granted to the underwriters.</w:t>
      </w:r>
    </w:p>
    <w:p>
      <w:pPr>
        <w:spacing w:after="0" w:line="171" w:lineRule="exact"/>
        <w:rPr>
          <w:sz w:val="20"/>
          <w:szCs w:val="20"/>
          <w:color w:val="auto"/>
        </w:rPr>
      </w:pPr>
    </w:p>
    <w:p>
      <w:pPr>
        <w:ind w:left="8" w:right="60"/>
        <w:spacing w:after="0" w:line="264" w:lineRule="auto"/>
        <w:rPr>
          <w:sz w:val="20"/>
          <w:szCs w:val="20"/>
          <w:color w:val="auto"/>
        </w:rPr>
      </w:pPr>
      <w:r>
        <w:rPr>
          <w:rFonts w:ascii="Times New Roman" w:cs="Times New Roman" w:eastAsia="Times New Roman" w:hAnsi="Times New Roman"/>
          <w:sz w:val="17"/>
          <w:szCs w:val="17"/>
          <w:color w:val="auto"/>
        </w:rPr>
        <w:t>In connection with this opinion, we have (i) examined and relied upon (a) the Registration Statement and the Prospectus, (b) the Company’s certificate of incorporation and bylaws, each as currently in effect, (c) the forms of the Company’s Amended and Restated Certificate of Incorporation and Amended and Restated Bylaws, filed as Exhibits 3.2 and 3.4 to the Registration Statement, respectively, each of which is to be in effect in connection with the closing of the offering contemplated by the Registration Statement, and (d) such other records, documents, opinions, certificates, memoranda and instruments as in our judgment are necessary or appropriate to enable us to render the opinion expressed below and (ii) assumed that the Shares will be sold at a price established by the board of directors of the Company or a duly authorized committee thereof.</w:t>
      </w:r>
    </w:p>
    <w:p>
      <w:pPr>
        <w:spacing w:after="0" w:line="173" w:lineRule="exact"/>
        <w:rPr>
          <w:sz w:val="20"/>
          <w:szCs w:val="20"/>
          <w:color w:val="auto"/>
        </w:rPr>
      </w:pPr>
    </w:p>
    <w:p>
      <w:pPr>
        <w:ind w:left="8" w:right="100"/>
        <w:spacing w:after="0" w:line="269" w:lineRule="auto"/>
        <w:rPr>
          <w:sz w:val="20"/>
          <w:szCs w:val="20"/>
          <w:color w:val="auto"/>
        </w:rPr>
      </w:pPr>
      <w:r>
        <w:rPr>
          <w:rFonts w:ascii="Times New Roman" w:cs="Times New Roman" w:eastAsia="Times New Roman" w:hAnsi="Times New Roman"/>
          <w:sz w:val="17"/>
          <w:szCs w:val="17"/>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69" w:lineRule="exact"/>
        <w:rPr>
          <w:sz w:val="20"/>
          <w:szCs w:val="20"/>
          <w:color w:val="auto"/>
        </w:rPr>
      </w:pPr>
    </w:p>
    <w:p>
      <w:pPr>
        <w:ind w:left="8" w:right="100"/>
        <w:spacing w:after="0" w:line="276" w:lineRule="auto"/>
        <w:rPr>
          <w:sz w:val="20"/>
          <w:szCs w:val="20"/>
          <w:color w:val="auto"/>
        </w:rPr>
      </w:pPr>
      <w:r>
        <w:rPr>
          <w:rFonts w:ascii="Times New Roman" w:cs="Times New Roman" w:eastAsia="Times New Roman" w:hAnsi="Times New Roman"/>
          <w:sz w:val="17"/>
          <w:szCs w:val="17"/>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62" w:lineRule="exact"/>
        <w:rPr>
          <w:sz w:val="20"/>
          <w:szCs w:val="20"/>
          <w:color w:val="auto"/>
        </w:rPr>
      </w:pPr>
    </w:p>
    <w:p>
      <w:pPr>
        <w:ind w:left="8" w:right="80"/>
        <w:spacing w:after="0" w:line="295" w:lineRule="auto"/>
        <w:rPr>
          <w:sz w:val="20"/>
          <w:szCs w:val="20"/>
          <w:color w:val="auto"/>
        </w:rPr>
      </w:pPr>
      <w:r>
        <w:rPr>
          <w:rFonts w:ascii="Times New Roman" w:cs="Times New Roman" w:eastAsia="Times New Roman" w:hAnsi="Times New Roman"/>
          <w:sz w:val="17"/>
          <w:szCs w:val="17"/>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1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COOLEY LLP   110 N. WACKER DRIVE   SUITE 4200   CHICAGO, IL   60606</w:t>
      </w:r>
    </w:p>
    <w:p>
      <w:pPr>
        <w:spacing w:after="0" w:line="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T: (312) 881-6500  F: (312) 881-6598  COOLEY.COM</w:t>
      </w:r>
    </w:p>
    <w:p>
      <w:pPr>
        <w:sectPr>
          <w:pgSz w:w="11900" w:h="16838" w:orient="portrait"/>
          <w:cols w:equalWidth="0" w:num="1">
            <w:col w:w="10668"/>
          </w:cols>
          <w:pgMar w:left="612" w:top="118" w:right="61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page">
              <wp:posOffset>388620</wp:posOffset>
            </wp:positionH>
            <wp:positionV relativeFrom="page">
              <wp:posOffset>180340</wp:posOffset>
            </wp:positionV>
            <wp:extent cx="1103630" cy="36512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7">
                      <a:clrChange>
                        <a:clrFrom>
                          <a:srgbClr val="FFFFFF"/>
                        </a:clrFrom>
                        <a:clrTo>
                          <a:srgbClr val="FFFFFF">
                            <a:alpha val="0"/>
                          </a:srgbClr>
                        </a:clrTo>
                      </a:clrChange>
                      <a:extLst>
                        <a:ext uri="{28A0092B-C50C-407E-A947-70E740481C1C}"/>
                      </a:extLst>
                    </a:blip>
                    <a:srcRect/>
                    <a:stretch>
                      <a:fillRect/>
                    </a:stretch>
                  </pic:blipFill>
                  <pic:spPr bwMode="auto">
                    <a:xfrm>
                      <a:off x="0" y="0"/>
                      <a:ext cx="1103630" cy="365125"/>
                    </a:xfrm>
                    <a:prstGeom prst="rect">
                      <a:avLst/>
                    </a:prstGeom>
                    <a:noFill/>
                  </pic:spPr>
                </pic:pic>
              </a:graphicData>
            </a:graphic>
          </wp:anchor>
        </w:drawing>
        <w:t>Tempus AI,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13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378"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7"/>
          <w:szCs w:val="17"/>
          <w:color w:val="auto"/>
        </w:rPr>
        <w:t>We consent to the reference to our firm under the caption “Legal Matters” in the Prospectus included in the Registration Statement and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Cooley LLP</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20320</wp:posOffset>
            </wp:positionV>
            <wp:extent cx="248094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8">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Christina T. Roupas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COOLEY LLP   110 N. WACKER DRIVE   SUITE 4200   CHICAGO, IL   60606</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 (312) 881-6500  F: (312) 881-6598  COOLEY.COM</w:t>
      </w:r>
    </w:p>
    <w:p>
      <w:pPr>
        <w:sectPr>
          <w:pgSz w:w="11900" w:h="16838" w:orient="portrait"/>
          <w:cols w:equalWidth="0" w:num="1">
            <w:col w:w="10620"/>
          </w:cols>
          <w:pgMar w:left="620" w:top="1049" w:right="659"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7"/>
          <w:szCs w:val="17"/>
          <w:b w:val="1"/>
          <w:bCs w:val="1"/>
          <w:color w:val="auto"/>
        </w:rPr>
        <w:t xml:space="preserve"> AI,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7"/>
          <w:szCs w:val="17"/>
          <w:b w:val="1"/>
          <w:bCs w:val="1"/>
          <w:color w:val="auto"/>
        </w:rPr>
        <w:t>.</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2024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7"/>
          <w:szCs w:val="17"/>
          <w:b w:val="1"/>
          <w:bCs w:val="1"/>
          <w:color w:val="auto"/>
        </w:rPr>
        <w:t>: F</w:t>
      </w:r>
      <w:r>
        <w:rPr>
          <w:rFonts w:ascii="Times New Roman" w:cs="Times New Roman" w:eastAsia="Times New Roman" w:hAnsi="Times New Roman"/>
          <w:sz w:val="14"/>
          <w:szCs w:val="14"/>
          <w:b w:val="1"/>
          <w:bCs w:val="1"/>
          <w:color w:val="auto"/>
        </w:rPr>
        <w:t>EBRUARY</w:t>
      </w:r>
      <w:r>
        <w:rPr>
          <w:rFonts w:ascii="Times New Roman" w:cs="Times New Roman" w:eastAsia="Times New Roman" w:hAnsi="Times New Roman"/>
          <w:sz w:val="17"/>
          <w:szCs w:val="17"/>
          <w:b w:val="1"/>
          <w:bCs w:val="1"/>
          <w:color w:val="auto"/>
        </w:rPr>
        <w:t xml:space="preserve"> 1, 2024</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7"/>
          <w:szCs w:val="17"/>
          <w:b w:val="1"/>
          <w:bCs w:val="1"/>
          <w:color w:val="auto"/>
        </w:rPr>
        <w:t>: April 11, 2024</w:t>
      </w:r>
    </w:p>
    <w:p>
      <w:pPr>
        <w:spacing w:after="0" w:line="229" w:lineRule="exact"/>
        <w:rPr>
          <w:sz w:val="20"/>
          <w:szCs w:val="20"/>
          <w:color w:val="auto"/>
        </w:rPr>
      </w:pPr>
    </w:p>
    <w:p>
      <w:pPr>
        <w:ind w:left="428" w:hanging="428"/>
        <w:spacing w:after="0"/>
        <w:tabs>
          <w:tab w:leader="none" w:pos="428" w:val="left"/>
        </w:tabs>
        <w:numPr>
          <w:ilvl w:val="0"/>
          <w:numId w:val="1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Successor to and Continuation of Prior Plan</w:t>
      </w:r>
      <w:r>
        <w:rPr>
          <w:rFonts w:ascii="Times New Roman" w:cs="Times New Roman" w:eastAsia="Times New Roman" w:hAnsi="Times New Roman"/>
          <w:sz w:val="17"/>
          <w:szCs w:val="17"/>
          <w:color w:val="auto"/>
        </w:rPr>
        <w:t>. The Plan is the successor to and continuation of the Prior Plan. As of the Effective Date,</w:t>
      </w:r>
    </w:p>
    <w:p>
      <w:pPr>
        <w:spacing w:after="0" w:line="34" w:lineRule="exact"/>
        <w:rPr>
          <w:sz w:val="20"/>
          <w:szCs w:val="20"/>
          <w:color w:val="auto"/>
        </w:rPr>
      </w:pPr>
    </w:p>
    <w:p>
      <w:pPr>
        <w:ind w:left="8" w:right="20" w:hanging="8"/>
        <w:spacing w:after="0" w:line="262" w:lineRule="auto"/>
        <w:tabs>
          <w:tab w:leader="none" w:pos="216"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2" w:lineRule="exact"/>
        <w:rPr>
          <w:sz w:val="20"/>
          <w:szCs w:val="20"/>
          <w:color w:val="auto"/>
        </w:rPr>
      </w:pPr>
    </w:p>
    <w:p>
      <w:pPr>
        <w:ind w:left="8" w:right="22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Plan Purpose. </w:t>
      </w:r>
      <w:r>
        <w:rPr>
          <w:rFonts w:ascii="Times New Roman" w:cs="Times New Roman" w:eastAsia="Times New Roman" w:hAnsi="Times New Roman"/>
          <w:sz w:val="17"/>
          <w:szCs w:val="17"/>
          <w:color w:val="auto"/>
        </w:rPr>
        <w:t>The Company, by means of the Plan, seeks to secure and retain the services of Employees, Directors and Consultants,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60" w:lineRule="exact"/>
        <w:rPr>
          <w:sz w:val="20"/>
          <w:szCs w:val="20"/>
          <w:color w:val="auto"/>
        </w:rPr>
      </w:pPr>
    </w:p>
    <w:p>
      <w:pPr>
        <w:ind w:left="8" w:right="26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Available Awards. </w:t>
      </w:r>
      <w:r>
        <w:rPr>
          <w:rFonts w:ascii="Times New Roman" w:cs="Times New Roman" w:eastAsia="Times New Roman" w:hAnsi="Times New Roman"/>
          <w:sz w:val="17"/>
          <w:szCs w:val="17"/>
          <w:color w:val="auto"/>
        </w:rPr>
        <w:t>The Plan provides for the grant of the following Awards: (i) Incentive Stock Options; (ii) Nonstatutory Stock Options;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(iii) SARs; (iv) Restricted Stock Awards; (v) RSU Awards; (vi) Performance Awards; and (vii) Other Awards.</w:t>
      </w:r>
    </w:p>
    <w:p>
      <w:pPr>
        <w:spacing w:after="0" w:line="142" w:lineRule="exact"/>
        <w:rPr>
          <w:sz w:val="20"/>
          <w:szCs w:val="20"/>
          <w:color w:val="auto"/>
        </w:rPr>
      </w:pPr>
    </w:p>
    <w:p>
      <w:pPr>
        <w:ind w:left="8" w:right="66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Adoption Date; Effective Date. </w:t>
      </w:r>
      <w:r>
        <w:rPr>
          <w:rFonts w:ascii="Times New Roman" w:cs="Times New Roman" w:eastAsia="Times New Roman" w:hAnsi="Times New Roman"/>
          <w:sz w:val="17"/>
          <w:szCs w:val="17"/>
          <w:color w:val="auto"/>
        </w:rPr>
        <w:t>The Plan will come into existence on the Adoption Date, but no Award may be granted prior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Effective Date.</w:t>
      </w:r>
    </w:p>
    <w:p>
      <w:pPr>
        <w:spacing w:after="0" w:line="286" w:lineRule="exact"/>
        <w:rPr>
          <w:sz w:val="20"/>
          <w:szCs w:val="20"/>
          <w:color w:val="auto"/>
        </w:rPr>
      </w:pPr>
    </w:p>
    <w:p>
      <w:pPr>
        <w:ind w:left="428" w:hanging="428"/>
        <w:spacing w:after="0"/>
        <w:tabs>
          <w:tab w:leader="none" w:pos="428" w:val="left"/>
        </w:tabs>
        <w:numPr>
          <w:ilvl w:val="0"/>
          <w:numId w:val="1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ind w:left="8" w:firstLine="426"/>
        <w:spacing w:after="0" w:line="265"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Share Reserve. </w:t>
      </w:r>
      <w:r>
        <w:rPr>
          <w:rFonts w:ascii="Times New Roman" w:cs="Times New Roman" w:eastAsia="Times New Roman" w:hAnsi="Times New Roman"/>
          <w:sz w:val="17"/>
          <w:szCs w:val="17"/>
          <w:color w:val="auto"/>
        </w:rPr>
        <w:t>Subject to adjustment in accordance with Section 2(c) and any adjustments as necessary to implement any Capitalization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Adjustments, the aggregate number of shares of Common Stock that may be issued pursuant to Awards will not exceed 7,430,000 shares, provided that such aggregate number of shares of Common Stock will automatically increase on January 1 of each year for a period of ten years commencing on January 1, 2025 and ending on (and including) January 1, 2034, in an amount equal to a number of shares of Common Stock (the “</w:t>
      </w:r>
      <w:r>
        <w:rPr>
          <w:rFonts w:ascii="Times New Roman" w:cs="Times New Roman" w:eastAsia="Times New Roman" w:hAnsi="Times New Roman"/>
          <w:sz w:val="17"/>
          <w:szCs w:val="17"/>
          <w:b w:val="1"/>
          <w:bCs w:val="1"/>
          <w:i w:val="1"/>
          <w:iCs w:val="1"/>
          <w:color w:val="auto"/>
        </w:rPr>
        <w:t>Evergreen Increase</w:t>
      </w:r>
      <w:r>
        <w:rPr>
          <w:rFonts w:ascii="Times New Roman" w:cs="Times New Roman" w:eastAsia="Times New Roman" w:hAnsi="Times New Roman"/>
          <w:sz w:val="17"/>
          <w:szCs w:val="17"/>
          <w:color w:val="auto"/>
        </w:rPr>
        <w:t>”) such that the sum of (i) the remaining number of shares available for awards under the Plan and (ii) the Evergreen Increase is equal to five percent (5%) of the total number of shares of Combined Common Stock outstanding on December 31 of the preceding year; provided, however, that the Board may act prior to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7"/>
          <w:szCs w:val="17"/>
          <w:color w:val="auto"/>
        </w:rPr>
        <w:t xml:space="preserve"> of a given year to provide that the increase for such year will be a lesser number of shares of Common Stock.</w:t>
      </w:r>
    </w:p>
    <w:p>
      <w:pPr>
        <w:spacing w:after="0" w:line="48" w:lineRule="exact"/>
        <w:rPr>
          <w:sz w:val="20"/>
          <w:szCs w:val="20"/>
          <w:color w:val="auto"/>
        </w:rPr>
      </w:pPr>
    </w:p>
    <w:p>
      <w:pPr>
        <w:ind w:left="8" w:right="4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Aggregate Incentive Stock Option Limit. </w:t>
      </w:r>
      <w:r>
        <w:rPr>
          <w:rFonts w:ascii="Times New Roman" w:cs="Times New Roman" w:eastAsia="Times New Roman" w:hAnsi="Times New Roman"/>
          <w:sz w:val="17"/>
          <w:szCs w:val="17"/>
          <w:color w:val="auto"/>
        </w:rPr>
        <w:t>Notwithstanding anything to the contrary in Section 2(a) and subject to any adjustments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necessary to implement any Capitalization Adjustments, the aggregate maximum number of shares of Common Stock that may be issued pursuant to the exercise of Incentive Stock Options is 22,290,000 shares.</w:t>
      </w:r>
    </w:p>
    <w:p>
      <w:pPr>
        <w:spacing w:after="0" w:line="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68"/>
          </w:cols>
          <w:pgMar w:left="612" w:top="119" w:right="619" w:bottom="1440" w:gutter="0" w:footer="0" w:header="0"/>
        </w:sectPr>
      </w:pPr>
    </w:p>
    <w:bookmarkStart w:id="386" w:name="page387"/>
    <w:bookmarkEnd w:id="386"/>
    <w:p>
      <w:pPr>
        <w:ind w:left="42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   Share Reserve Operation.</w:t>
      </w:r>
    </w:p>
    <w:p>
      <w:pPr>
        <w:spacing w:after="0" w:line="223" w:lineRule="exact"/>
        <w:rPr>
          <w:sz w:val="20"/>
          <w:szCs w:val="20"/>
          <w:color w:val="auto"/>
        </w:rPr>
      </w:pPr>
    </w:p>
    <w:p>
      <w:pPr>
        <w:ind w:left="8" w:right="200" w:firstLine="960"/>
        <w:spacing w:after="0" w:line="264"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Limit Applies to Common Stock Issued Pursuant to Awards. </w:t>
      </w:r>
      <w:r>
        <w:rPr>
          <w:rFonts w:ascii="Times New Roman" w:cs="Times New Roman" w:eastAsia="Times New Roman" w:hAnsi="Times New Roman"/>
          <w:sz w:val="17"/>
          <w:szCs w:val="17"/>
          <w:color w:val="auto"/>
        </w:rPr>
        <w:t>For clarity, the Share Reserve is a limit on the number of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73" w:lineRule="exact"/>
        <w:rPr>
          <w:sz w:val="20"/>
          <w:szCs w:val="20"/>
          <w:color w:val="auto"/>
        </w:rPr>
      </w:pPr>
    </w:p>
    <w:p>
      <w:pPr>
        <w:ind w:left="8" w:firstLine="960"/>
        <w:spacing w:after="0" w:line="264"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Actions that Do Not Constitute Issuance of Common Stock and Do Not Reduce Share Reserve. </w:t>
      </w:r>
      <w:r>
        <w:rPr>
          <w:rFonts w:ascii="Times New Roman" w:cs="Times New Roman" w:eastAsia="Times New Roman" w:hAnsi="Times New Roman"/>
          <w:sz w:val="17"/>
          <w:szCs w:val="17"/>
          <w:color w:val="auto"/>
        </w:rPr>
        <w:t>The following actions do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73" w:lineRule="exact"/>
        <w:rPr>
          <w:sz w:val="20"/>
          <w:szCs w:val="20"/>
          <w:color w:val="auto"/>
        </w:rPr>
      </w:pPr>
    </w:p>
    <w:p>
      <w:pPr>
        <w:ind w:left="8" w:right="20" w:firstLine="960"/>
        <w:spacing w:after="0" w:line="267"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Reversion of Previously Issued Shares of Common Stock to Share Reserve. </w:t>
      </w:r>
      <w:r>
        <w:rPr>
          <w:rFonts w:ascii="Times New Roman" w:cs="Times New Roman" w:eastAsia="Times New Roman" w:hAnsi="Times New Roman"/>
          <w:sz w:val="17"/>
          <w:szCs w:val="17"/>
          <w:color w:val="auto"/>
        </w:rPr>
        <w:t>The following shares of Common Stock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311" w:lineRule="exact"/>
        <w:rPr>
          <w:sz w:val="20"/>
          <w:szCs w:val="20"/>
          <w:color w:val="auto"/>
        </w:rPr>
      </w:pPr>
    </w:p>
    <w:p>
      <w:pPr>
        <w:ind w:left="428" w:hanging="428"/>
        <w:spacing w:after="0"/>
        <w:tabs>
          <w:tab w:leader="none" w:pos="428" w:val="left"/>
        </w:tabs>
        <w:numPr>
          <w:ilvl w:val="0"/>
          <w:numId w:val="1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Eligible Award Recipients. </w:t>
      </w:r>
      <w:r>
        <w:rPr>
          <w:rFonts w:ascii="Times New Roman" w:cs="Times New Roman" w:eastAsia="Times New Roman" w:hAnsi="Times New Roman"/>
          <w:sz w:val="17"/>
          <w:szCs w:val="17"/>
          <w:color w:val="auto"/>
        </w:rPr>
        <w:t>Subject to the terms of the Plan, Employees, Directors and Consultants are eligible to receive Awards.</w:t>
      </w:r>
    </w:p>
    <w:p>
      <w:pPr>
        <w:spacing w:after="0" w:line="2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(b)   Specific Award Limitations.</w:t>
      </w:r>
    </w:p>
    <w:p>
      <w:pPr>
        <w:spacing w:after="0" w:line="223" w:lineRule="exact"/>
        <w:rPr>
          <w:sz w:val="20"/>
          <w:szCs w:val="20"/>
          <w:color w:val="auto"/>
        </w:rPr>
      </w:pPr>
    </w:p>
    <w:p>
      <w:pPr>
        <w:jc w:val="both"/>
        <w:ind w:left="8" w:right="10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Limitations on Incentive Stock Option Recipients. </w:t>
      </w:r>
      <w:r>
        <w:rPr>
          <w:rFonts w:ascii="Times New Roman" w:cs="Times New Roman" w:eastAsia="Times New Roman" w:hAnsi="Times New Roman"/>
          <w:sz w:val="17"/>
          <w:szCs w:val="17"/>
          <w:color w:val="auto"/>
        </w:rPr>
        <w:t>Incentive Stock Options may be granted only to Employees of the Company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“parent corporation” or “subsidiary corporation” thereof (as such terms are defined in Sections 424(e) and (f) of the Code).</w:t>
      </w:r>
    </w:p>
    <w:p>
      <w:pPr>
        <w:spacing w:after="0" w:line="142" w:lineRule="exact"/>
        <w:rPr>
          <w:sz w:val="20"/>
          <w:szCs w:val="20"/>
          <w:color w:val="auto"/>
        </w:rPr>
      </w:pPr>
    </w:p>
    <w:p>
      <w:pPr>
        <w:jc w:val="both"/>
        <w:ind w:left="8" w:right="8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Incentive Stock Option $100,000 Limitation. </w:t>
      </w:r>
      <w:r>
        <w:rPr>
          <w:rFonts w:ascii="Times New Roman" w:cs="Times New Roman" w:eastAsia="Times New Roman" w:hAnsi="Times New Roman"/>
          <w:sz w:val="17"/>
          <w:szCs w:val="17"/>
          <w:color w:val="auto"/>
        </w:rPr>
        <w:t>To the extent that the aggregate Fair Market Value (determined at the time of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Common Stock with respect to which Incentive Stock Options are exercisable for the first time by any Optionholder during any calendar year (under all plans of the Company and any Affiliates) exceeds $100,000 (or such</w:t>
      </w:r>
    </w:p>
    <w:p>
      <w:pPr>
        <w:spacing w:after="0" w:line="9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48"/>
          </w:cols>
          <w:pgMar w:left="612" w:top="262" w:right="639" w:bottom="1440" w:gutter="0" w:footer="0" w:header="0"/>
        </w:sectPr>
      </w:pPr>
    </w:p>
    <w:bookmarkStart w:id="387" w:name="page388"/>
    <w:bookmarkEnd w:id="387"/>
    <w:p>
      <w:pPr>
        <w:jc w:val="both"/>
        <w:ind w:left="8"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60" w:lineRule="exact"/>
        <w:rPr>
          <w:sz w:val="20"/>
          <w:szCs w:val="20"/>
          <w:color w:val="auto"/>
        </w:rPr>
      </w:pPr>
    </w:p>
    <w:p>
      <w:pPr>
        <w:ind w:left="8" w:right="6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Limitations on Incentive Stock Options Granted to Ten Percent Stockholders. </w:t>
      </w:r>
      <w:r>
        <w:rPr>
          <w:rFonts w:ascii="Times New Roman" w:cs="Times New Roman" w:eastAsia="Times New Roman" w:hAnsi="Times New Roman"/>
          <w:sz w:val="17"/>
          <w:szCs w:val="17"/>
          <w:color w:val="auto"/>
        </w:rPr>
        <w:t>A Ten Percent Stockholder may not be granted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Incentive Stock Option unless (1) the exercise price of such Option is at least 110% of the Fair Market Value on the date of grant of such Option and (2) the Option is not exercisable after the expiration of five years from the date of grant of such Option.</w:t>
      </w:r>
    </w:p>
    <w:p>
      <w:pPr>
        <w:spacing w:after="0" w:line="160" w:lineRule="exact"/>
        <w:rPr>
          <w:sz w:val="20"/>
          <w:szCs w:val="20"/>
          <w:color w:val="auto"/>
        </w:rPr>
      </w:pPr>
    </w:p>
    <w:p>
      <w:pPr>
        <w:ind w:left="8" w:right="2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Limitations on Nonstatutory Stock Options and SARs. </w:t>
      </w:r>
      <w:r>
        <w:rPr>
          <w:rFonts w:ascii="Times New Roman" w:cs="Times New Roman" w:eastAsia="Times New Roman" w:hAnsi="Times New Roman"/>
          <w:sz w:val="17"/>
          <w:szCs w:val="17"/>
          <w:color w:val="auto"/>
        </w:rPr>
        <w:t>Nonstatutory Stock Options and SARs may not be granted to Employees,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and Consultants unless the stock underlying such Awards is treated as “service recipient stock” under Section 409A or unless such Awards otherwise comply with the requirements of Section 409A.</w:t>
      </w:r>
    </w:p>
    <w:p>
      <w:pPr>
        <w:spacing w:after="0" w:line="160" w:lineRule="exact"/>
        <w:rPr>
          <w:sz w:val="20"/>
          <w:szCs w:val="20"/>
          <w:color w:val="auto"/>
        </w:rPr>
      </w:pPr>
    </w:p>
    <w:p>
      <w:pPr>
        <w:ind w:left="8" w:right="4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Aggregate Incentive Stock Option Limit. </w:t>
      </w:r>
      <w:r>
        <w:rPr>
          <w:rFonts w:ascii="Times New Roman" w:cs="Times New Roman" w:eastAsia="Times New Roman" w:hAnsi="Times New Roman"/>
          <w:sz w:val="17"/>
          <w:szCs w:val="17"/>
          <w:color w:val="auto"/>
        </w:rPr>
        <w:t>The aggregate maximum number of shares of Common Stock that may be issued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of Incentive Stock Options is the number of shares specified in Section 2(b).</w:t>
      </w:r>
    </w:p>
    <w:p>
      <w:pPr>
        <w:spacing w:after="0" w:line="142" w:lineRule="exact"/>
        <w:rPr>
          <w:sz w:val="20"/>
          <w:szCs w:val="20"/>
          <w:color w:val="auto"/>
        </w:rPr>
      </w:pPr>
    </w:p>
    <w:p>
      <w:pPr>
        <w:ind w:left="8" w:right="20" w:firstLine="426"/>
        <w:spacing w:after="0" w:line="264"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Non-Employee Director Compensation Limit. </w:t>
      </w:r>
      <w:r>
        <w:rPr>
          <w:rFonts w:ascii="Times New Roman" w:cs="Times New Roman" w:eastAsia="Times New Roman" w:hAnsi="Times New Roman"/>
          <w:sz w:val="17"/>
          <w:szCs w:val="17"/>
          <w:color w:val="auto"/>
        </w:rPr>
        <w:t>The aggregate value of all compensation granted or paid, as applicable, to any individual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service as a Non-Employee Director with respect to any calendar year, 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317" w:lineRule="exact"/>
        <w:rPr>
          <w:sz w:val="20"/>
          <w:szCs w:val="20"/>
          <w:color w:val="auto"/>
        </w:rPr>
      </w:pPr>
    </w:p>
    <w:p>
      <w:pPr>
        <w:ind w:left="428" w:hanging="428"/>
        <w:spacing w:after="0"/>
        <w:tabs>
          <w:tab w:leader="none" w:pos="428" w:val="left"/>
        </w:tabs>
        <w:numPr>
          <w:ilvl w:val="0"/>
          <w:numId w:val="1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8" w:firstLine="426"/>
        <w:spacing w:after="0" w:line="263" w:lineRule="auto"/>
        <w:rPr>
          <w:sz w:val="20"/>
          <w:szCs w:val="20"/>
          <w:color w:val="auto"/>
        </w:rPr>
      </w:pPr>
      <w:r>
        <w:rPr>
          <w:rFonts w:ascii="Times New Roman" w:cs="Times New Roman" w:eastAsia="Times New Roman" w:hAnsi="Times New Roman"/>
          <w:sz w:val="17"/>
          <w:szCs w:val="17"/>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281" w:lineRule="exact"/>
        <w:rPr>
          <w:sz w:val="20"/>
          <w:szCs w:val="20"/>
          <w:color w:val="auto"/>
        </w:rPr>
      </w:pPr>
    </w:p>
    <w:p>
      <w:pPr>
        <w:ind w:left="8" w:right="26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Term. </w:t>
      </w:r>
      <w:r>
        <w:rPr>
          <w:rFonts w:ascii="Times New Roman" w:cs="Times New Roman" w:eastAsia="Times New Roman" w:hAnsi="Times New Roman"/>
          <w:sz w:val="17"/>
          <w:szCs w:val="17"/>
          <w:color w:val="auto"/>
        </w:rPr>
        <w:t>Subject to Section 3(b) regarding Ten Percent Stockholders, no Option or SAR will be exercisable after the expiration of ten years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the date of grant of such Award or such shorter period specified in the Award Agreement.</w:t>
      </w:r>
    </w:p>
    <w:p>
      <w:pPr>
        <w:spacing w:after="0" w:line="78"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08"/>
          </w:cols>
          <w:pgMar w:left="612" w:top="264" w:right="679" w:bottom="1440" w:gutter="0" w:footer="0" w:header="0"/>
        </w:sectPr>
      </w:pPr>
    </w:p>
    <w:bookmarkStart w:id="388" w:name="page389"/>
    <w:bookmarkEnd w:id="388"/>
    <w:p>
      <w:pPr>
        <w:ind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Exercise or Strike Price. </w:t>
      </w:r>
      <w:r>
        <w:rPr>
          <w:rFonts w:ascii="Times New Roman" w:cs="Times New Roman" w:eastAsia="Times New Roman" w:hAnsi="Times New Roman"/>
          <w:sz w:val="17"/>
          <w:szCs w:val="17"/>
          <w:color w:val="auto"/>
        </w:rPr>
        <w:t>Subject to Section 3(b) regarding Ten Percent Stockholders, the exercise or strike price of each Option or SAR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67" w:lineRule="exact"/>
        <w:rPr>
          <w:sz w:val="20"/>
          <w:szCs w:val="20"/>
          <w:color w:val="auto"/>
        </w:rPr>
      </w:pPr>
    </w:p>
    <w:p>
      <w:pPr>
        <w:ind w:right="160" w:firstLine="426"/>
        <w:spacing w:after="0" w:line="264"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Exercise Procedure and Payment of Exercise Price for Options. </w:t>
      </w:r>
      <w:r>
        <w:rPr>
          <w:rFonts w:ascii="Times New Roman" w:cs="Times New Roman" w:eastAsia="Times New Roman" w:hAnsi="Times New Roman"/>
          <w:sz w:val="17"/>
          <w:szCs w:val="17"/>
          <w:color w:val="auto"/>
        </w:rPr>
        <w:t>In order to exercise an Option, the Participant must provide notice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by cash or check, bank draft or money order payable to the Company;</w:t>
      </w:r>
    </w:p>
    <w:p>
      <w:pPr>
        <w:spacing w:after="0" w:line="223" w:lineRule="exact"/>
        <w:rPr>
          <w:sz w:val="20"/>
          <w:szCs w:val="20"/>
          <w:color w:val="auto"/>
        </w:rPr>
      </w:pPr>
    </w:p>
    <w:p>
      <w:pPr>
        <w:ind w:right="10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pursuant to a “cashless exercise” program developed under Regulation T as promulgated by the Federal Reserve Board that,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issuance of the Common Stock subject to the Option, results in either the receipt of cash (or check) by the Company or the receipt of irrevocable instructions to pay the exercise price to the Company from the sales proceeds;</w:t>
      </w:r>
    </w:p>
    <w:p>
      <w:pPr>
        <w:spacing w:after="0" w:line="160" w:lineRule="exact"/>
        <w:rPr>
          <w:sz w:val="20"/>
          <w:szCs w:val="20"/>
          <w:color w:val="auto"/>
        </w:rPr>
      </w:pPr>
    </w:p>
    <w:p>
      <w:pPr>
        <w:ind w:firstLine="960"/>
        <w:spacing w:after="0" w:line="263"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by delivery to the Company (either by actual delivery or attestation) of shares of Common Stock that are already owned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73" w:lineRule="exact"/>
        <w:rPr>
          <w:sz w:val="20"/>
          <w:szCs w:val="20"/>
          <w:color w:val="auto"/>
        </w:rPr>
      </w:pPr>
    </w:p>
    <w:p>
      <w:pPr>
        <w:ind w:right="120"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if the Option is a Nonstatutory Stock Option, by a “net exercise” arrangement pursuant to which the Company will reduce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6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7"/>
          <w:szCs w:val="17"/>
          <w:color w:val="auto"/>
        </w:rPr>
        <w:t xml:space="preserve">   in any other form of consideration that may be acceptable to the Board and permissible under Applicable Law.</w:t>
      </w:r>
    </w:p>
    <w:p>
      <w:pPr>
        <w:spacing w:after="0" w:line="1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40"/>
          </w:cols>
          <w:pgMar w:left="620" w:top="262" w:right="639" w:bottom="1440" w:gutter="0" w:footer="0" w:header="0"/>
        </w:sectPr>
      </w:pPr>
    </w:p>
    <w:bookmarkStart w:id="389" w:name="page390"/>
    <w:bookmarkEnd w:id="389"/>
    <w:p>
      <w:pPr>
        <w:ind w:right="60" w:firstLine="426"/>
        <w:spacing w:after="0" w:line="264"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Exercise Procedure and Payment of Appreciation Distribution for SARs. </w:t>
      </w:r>
      <w:r>
        <w:rPr>
          <w:rFonts w:ascii="Times New Roman" w:cs="Times New Roman" w:eastAsia="Times New Roman" w:hAnsi="Times New Roman"/>
          <w:sz w:val="17"/>
          <w:szCs w:val="17"/>
          <w:color w:val="auto"/>
        </w:rPr>
        <w:t>In order to exercise any SAR, the Participant must provide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73" w:lineRule="exact"/>
        <w:rPr>
          <w:sz w:val="20"/>
          <w:szCs w:val="20"/>
          <w:color w:val="auto"/>
        </w:rPr>
      </w:pPr>
    </w:p>
    <w:p>
      <w:pPr>
        <w:ind w:right="160"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Transferability. </w:t>
      </w:r>
      <w:r>
        <w:rPr>
          <w:rFonts w:ascii="Times New Roman" w:cs="Times New Roman" w:eastAsia="Times New Roman" w:hAnsi="Times New Roman"/>
          <w:sz w:val="17"/>
          <w:szCs w:val="17"/>
          <w:color w:val="auto"/>
        </w:rPr>
        <w:t>Options and SARs may not be transferred to third party financial institutions for value. The Board may impose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if an Option is an Incentive Stock Option, such Option may be deemed to be a Nonstatutory Stock Option as a result of such transfer:</w:t>
      </w:r>
    </w:p>
    <w:p>
      <w:pPr>
        <w:spacing w:after="0" w:line="63" w:lineRule="exact"/>
        <w:rPr>
          <w:sz w:val="20"/>
          <w:szCs w:val="20"/>
          <w:color w:val="auto"/>
        </w:rPr>
      </w:pPr>
    </w:p>
    <w:p>
      <w:pPr>
        <w:ind w:right="160" w:firstLine="960"/>
        <w:spacing w:after="0" w:line="267"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Restrictions on Transfer. </w:t>
      </w:r>
      <w:r>
        <w:rPr>
          <w:rFonts w:ascii="Times New Roman" w:cs="Times New Roman" w:eastAsia="Times New Roman" w:hAnsi="Times New Roman"/>
          <w:sz w:val="17"/>
          <w:szCs w:val="17"/>
          <w:color w:val="auto"/>
        </w:rPr>
        <w:t>An Option or SAR will not be transferable, except by will or by the laws of descent and distribution,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67" w:lineRule="exact"/>
        <w:rPr>
          <w:sz w:val="20"/>
          <w:szCs w:val="20"/>
          <w:color w:val="auto"/>
        </w:rPr>
      </w:pPr>
    </w:p>
    <w:p>
      <w:pPr>
        <w:ind w:right="32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Domestic Relations Orders. </w:t>
      </w:r>
      <w:r>
        <w:rPr>
          <w:rFonts w:ascii="Times New Roman" w:cs="Times New Roman" w:eastAsia="Times New Roman" w:hAnsi="Times New Roman"/>
          <w:sz w:val="17"/>
          <w:szCs w:val="17"/>
          <w:color w:val="auto"/>
        </w:rPr>
        <w:t>Notwithstanding the foregoing, subject to the execution of transfer documentation in a format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acceptable to the Company and subject to the approval of the Board or a duly authorized Officer, an Option or SAR may be transferred pursuant to a domestic relations order.</w:t>
      </w:r>
    </w:p>
    <w:p>
      <w:pPr>
        <w:spacing w:after="0" w:line="160" w:lineRule="exact"/>
        <w:rPr>
          <w:sz w:val="20"/>
          <w:szCs w:val="20"/>
          <w:color w:val="auto"/>
        </w:rPr>
      </w:pPr>
    </w:p>
    <w:p>
      <w:pPr>
        <w:ind w:right="10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Vesting. </w:t>
      </w:r>
      <w:r>
        <w:rPr>
          <w:rFonts w:ascii="Times New Roman" w:cs="Times New Roman" w:eastAsia="Times New Roman" w:hAnsi="Times New Roman"/>
          <w:sz w:val="17"/>
          <w:szCs w:val="17"/>
          <w:color w:val="auto"/>
        </w:rPr>
        <w:t>The Board may impose such restrictions on or conditions to the vesting and/or exercisability of an Option or SAR as determined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60"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Termination of Continuous Service for Cause. </w:t>
      </w:r>
      <w:r>
        <w:rPr>
          <w:rFonts w:ascii="Times New Roman" w:cs="Times New Roman" w:eastAsia="Times New Roman" w:hAnsi="Times New Roman"/>
          <w:sz w:val="17"/>
          <w:szCs w:val="17"/>
          <w:color w:val="auto"/>
        </w:rPr>
        <w:t>Except as explicitly otherwise provided in the Award Agreement or other written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60"/>
          </w:cols>
          <w:pgMar w:left="620" w:top="263" w:right="619" w:bottom="1440" w:gutter="0" w:footer="0" w:header="0"/>
        </w:sectPr>
      </w:pPr>
    </w:p>
    <w:bookmarkStart w:id="390" w:name="page391"/>
    <w:bookmarkEnd w:id="390"/>
    <w:p>
      <w:pPr>
        <w:ind w:left="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Post-Termination Exercise Period Following Termination of Continuous Service for Reasons Other than Cause. </w:t>
      </w:r>
      <w:r>
        <w:rPr>
          <w:rFonts w:ascii="Times New Roman" w:cs="Times New Roman" w:eastAsia="Times New Roman" w:hAnsi="Times New Roman"/>
          <w:sz w:val="17"/>
          <w:szCs w:val="17"/>
          <w:color w:val="auto"/>
        </w:rPr>
        <w:t>Subject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4(i), if a Participant’s Continuous Service terminates for any reason other than for Cause, the Participant may exercise his or her Option or SAR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vested, but only within the following period of time or, if applicable, such other period of time provided in the Award Agreement or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written agreement between a Participant and the Company or an Affiliate; provided, however, that in no event may such Award be exercised after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expiration of its maximum term (as set forth in Section 4(a)):</w:t>
      </w:r>
    </w:p>
    <w:p>
      <w:pPr>
        <w:spacing w:after="0" w:line="98" w:lineRule="exact"/>
        <w:rPr>
          <w:sz w:val="20"/>
          <w:szCs w:val="20"/>
          <w:color w:val="auto"/>
        </w:rPr>
      </w:pPr>
    </w:p>
    <w:p>
      <w:pPr>
        <w:ind w:right="20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three months following the date of such termination if such termination is a termination without Cause (other than any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due to the Participant’s Disability or death);</w:t>
      </w:r>
    </w:p>
    <w:p>
      <w:pPr>
        <w:spacing w:after="0" w:line="1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12 months following the date of such termination if such termination is due to the Participant’s Disability;</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18 months following the date of such termination if such termination is due to the Participant’s death; or</w:t>
      </w:r>
    </w:p>
    <w:p>
      <w:pPr>
        <w:spacing w:after="0" w:line="223" w:lineRule="exact"/>
        <w:rPr>
          <w:sz w:val="20"/>
          <w:szCs w:val="20"/>
          <w:color w:val="auto"/>
        </w:rPr>
      </w:pPr>
    </w:p>
    <w:p>
      <w:pPr>
        <w:ind w:right="22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18 months following the date of the Participant’s death if such death occurs following the date of such termination but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period such Award is otherwise exercisable (as provided in (i) or (ii) above).</w:t>
      </w:r>
    </w:p>
    <w:p>
      <w:pPr>
        <w:spacing w:after="0" w:line="144"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7"/>
          <w:szCs w:val="17"/>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67"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Restrictions on Exercise; Extension of Exercisability. </w:t>
      </w:r>
      <w:r>
        <w:rPr>
          <w:rFonts w:ascii="Times New Roman" w:cs="Times New Roman" w:eastAsia="Times New Roman" w:hAnsi="Times New Roman"/>
          <w:sz w:val="17"/>
          <w:szCs w:val="17"/>
          <w:color w:val="auto"/>
        </w:rPr>
        <w:t>A Participant may not exercise an Option or SAR at any time that the issuance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80"/>
          </w:cols>
          <w:pgMar w:left="620" w:top="262" w:right="699" w:bottom="1440" w:gutter="0" w:footer="0" w:header="0"/>
        </w:sectPr>
      </w:pPr>
    </w:p>
    <w:bookmarkStart w:id="391" w:name="page392"/>
    <w:bookmarkEnd w:id="391"/>
    <w:p>
      <w:pPr>
        <w:ind w:left="8" w:right="20" w:firstLine="426"/>
        <w:spacing w:after="0" w:line="26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Non-Exempt Employees. </w:t>
      </w:r>
      <w:r>
        <w:rPr>
          <w:rFonts w:ascii="Times New Roman" w:cs="Times New Roman" w:eastAsia="Times New Roman" w:hAnsi="Times New Roman"/>
          <w:sz w:val="17"/>
          <w:szCs w:val="17"/>
          <w:color w:val="auto"/>
        </w:rPr>
        <w:t>No Option or SAR, whether or not vested, granted to an Employee who is a non-exempt employee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7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Whole Shares. </w:t>
      </w:r>
      <w:r>
        <w:rPr>
          <w:rFonts w:ascii="Times New Roman" w:cs="Times New Roman" w:eastAsia="Times New Roman" w:hAnsi="Times New Roman"/>
          <w:sz w:val="17"/>
          <w:szCs w:val="17"/>
          <w:color w:val="auto"/>
        </w:rPr>
        <w:t>Options and SARs may be exercised only with respect to whole shares of Common Stock or their equivalents.</w:t>
      </w:r>
    </w:p>
    <w:p>
      <w:pPr>
        <w:spacing w:after="0" w:line="366" w:lineRule="exact"/>
        <w:rPr>
          <w:sz w:val="20"/>
          <w:szCs w:val="20"/>
          <w:color w:val="auto"/>
        </w:rPr>
      </w:pPr>
    </w:p>
    <w:p>
      <w:pPr>
        <w:ind w:left="428" w:hanging="428"/>
        <w:spacing w:after="0"/>
        <w:tabs>
          <w:tab w:leader="none" w:pos="428" w:val="left"/>
        </w:tabs>
        <w:numPr>
          <w:ilvl w:val="0"/>
          <w:numId w:val="1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jc w:val="both"/>
        <w:ind w:left="8" w:right="66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Restricted Stock Awards and RSU Awards. </w:t>
      </w:r>
      <w:r>
        <w:rPr>
          <w:rFonts w:ascii="Times New Roman" w:cs="Times New Roman" w:eastAsia="Times New Roman" w:hAnsi="Times New Roman"/>
          <w:sz w:val="17"/>
          <w:szCs w:val="17"/>
          <w:color w:val="auto"/>
        </w:rPr>
        <w:t>Each Restricted Stock Award and RSU Award will have such terms and conditions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55"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b w:val="1"/>
          <w:bCs w:val="1"/>
          <w:color w:val="auto"/>
        </w:rPr>
        <w:t>(i)   Form of Award.</w:t>
      </w:r>
    </w:p>
    <w:p>
      <w:pPr>
        <w:spacing w:after="0" w:line="223" w:lineRule="exact"/>
        <w:rPr>
          <w:sz w:val="20"/>
          <w:szCs w:val="20"/>
          <w:color w:val="auto"/>
        </w:rPr>
      </w:pPr>
    </w:p>
    <w:p>
      <w:pPr>
        <w:ind w:left="8" w:right="40" w:firstLine="1386"/>
        <w:spacing w:after="0" w:line="267" w:lineRule="auto"/>
        <w:rPr>
          <w:sz w:val="20"/>
          <w:szCs w:val="20"/>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Restricted Stock Awards: To the extent consistent with the Company’s Bylaws, at the Board’s election, shares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67" w:lineRule="exact"/>
        <w:rPr>
          <w:sz w:val="20"/>
          <w:szCs w:val="20"/>
          <w:color w:val="auto"/>
        </w:rPr>
      </w:pPr>
    </w:p>
    <w:p>
      <w:pPr>
        <w:ind w:left="8" w:firstLine="1386"/>
        <w:spacing w:after="0" w:line="264" w:lineRule="auto"/>
        <w:rPr>
          <w:sz w:val="20"/>
          <w:szCs w:val="20"/>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RSU Awards: An RSU Award represents a Participant’s right to be issued on a future date the number of shares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73"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b w:val="1"/>
          <w:bCs w:val="1"/>
          <w:color w:val="auto"/>
        </w:rPr>
        <w:t>(ii)   Consideration.</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68"/>
          </w:cols>
          <w:pgMar w:left="612" w:top="263" w:right="619" w:bottom="1440" w:gutter="0" w:footer="0" w:header="0"/>
        </w:sectPr>
      </w:pPr>
    </w:p>
    <w:bookmarkStart w:id="392" w:name="page393"/>
    <w:bookmarkEnd w:id="392"/>
    <w:p>
      <w:pPr>
        <w:ind w:right="160" w:firstLine="1386"/>
        <w:spacing w:after="0" w:line="27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w:t>
      </w:r>
      <w:r>
        <w:rPr>
          <w:rFonts w:ascii="Times New Roman" w:cs="Times New Roman" w:eastAsia="Times New Roman" w:hAnsi="Times New Roman"/>
          <w:sz w:val="17"/>
          <w:szCs w:val="17"/>
          <w:color w:val="auto"/>
        </w:rPr>
        <w:t xml:space="preserve">  Restricted Stock Awards: A Restricted Stock Award may be granted in consideration for (A) cash or check, bank draft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money order payable to the Company, (B) services to the Company or an Affiliate, or (C) any other form of consideration as the Board may determine and permissible under Applicable Law.</w:t>
      </w:r>
    </w:p>
    <w:p>
      <w:pPr>
        <w:spacing w:after="0" w:line="160" w:lineRule="exact"/>
        <w:rPr>
          <w:sz w:val="20"/>
          <w:szCs w:val="20"/>
          <w:color w:val="auto"/>
        </w:rPr>
      </w:pPr>
    </w:p>
    <w:p>
      <w:pPr>
        <w:ind w:right="40" w:firstLine="1386"/>
        <w:spacing w:after="0" w:line="264" w:lineRule="auto"/>
        <w:rPr>
          <w:sz w:val="20"/>
          <w:szCs w:val="20"/>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RSU Awards: Unless otherwise determined by the Board at the time of grant, an RSU Award will be granted in consideration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73" w:lineRule="exact"/>
        <w:rPr>
          <w:sz w:val="20"/>
          <w:szCs w:val="20"/>
          <w:color w:val="auto"/>
        </w:rPr>
      </w:pPr>
    </w:p>
    <w:p>
      <w:pPr>
        <w:ind w:right="10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Vesting. </w:t>
      </w:r>
      <w:r>
        <w:rPr>
          <w:rFonts w:ascii="Times New Roman" w:cs="Times New Roman" w:eastAsia="Times New Roman" w:hAnsi="Times New Roman"/>
          <w:sz w:val="17"/>
          <w:szCs w:val="17"/>
          <w:color w:val="auto"/>
        </w:rPr>
        <w:t>The Board may impose such restrictions on or conditions to the vesting of a Restricted Stock Award or RSU Award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60" w:lineRule="exact"/>
        <w:rPr>
          <w:sz w:val="20"/>
          <w:szCs w:val="20"/>
          <w:color w:val="auto"/>
        </w:rPr>
      </w:pPr>
    </w:p>
    <w:p>
      <w:pPr>
        <w:ind w:right="60" w:firstLine="960"/>
        <w:spacing w:after="0" w:line="262" w:lineRule="auto"/>
        <w:rPr>
          <w:sz w:val="20"/>
          <w:szCs w:val="20"/>
          <w:color w:val="auto"/>
        </w:rPr>
      </w:pP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Termination of Continuous Service. </w:t>
      </w:r>
      <w:r>
        <w:rPr>
          <w:rFonts w:ascii="Times New Roman" w:cs="Times New Roman" w:eastAsia="Times New Roman" w:hAnsi="Times New Roman"/>
          <w:sz w:val="17"/>
          <w:szCs w:val="17"/>
          <w:color w:val="auto"/>
        </w:rPr>
        <w:t>Except as otherwise provided in the Award Agreement or other written agreement between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75" w:lineRule="exact"/>
        <w:rPr>
          <w:sz w:val="20"/>
          <w:szCs w:val="20"/>
          <w:color w:val="auto"/>
        </w:rPr>
      </w:pPr>
    </w:p>
    <w:p>
      <w:pPr>
        <w:ind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Dividends and Dividend Equivalents. </w:t>
      </w:r>
      <w:r>
        <w:rPr>
          <w:rFonts w:ascii="Times New Roman" w:cs="Times New Roman" w:eastAsia="Times New Roman" w:hAnsi="Times New Roman"/>
          <w:sz w:val="17"/>
          <w:szCs w:val="17"/>
          <w:color w:val="auto"/>
        </w:rPr>
        <w:t>Dividends or dividend equivalents may be paid or credited, as applicable, with respect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Common Stock subject to a Restricted Stock Award or RSU Award, as determined by the Board and specified in the Award Agreement.</w:t>
      </w:r>
    </w:p>
    <w:p>
      <w:pPr>
        <w:spacing w:after="0" w:line="142" w:lineRule="exact"/>
        <w:rPr>
          <w:sz w:val="20"/>
          <w:szCs w:val="20"/>
          <w:color w:val="auto"/>
        </w:rPr>
      </w:pPr>
    </w:p>
    <w:p>
      <w:pPr>
        <w:ind w:right="2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Settlement of RSU Awards</w:t>
      </w:r>
      <w:r>
        <w:rPr>
          <w:rFonts w:ascii="Times New Roman" w:cs="Times New Roman" w:eastAsia="Times New Roman" w:hAnsi="Times New Roman"/>
          <w:sz w:val="17"/>
          <w:szCs w:val="17"/>
          <w:color w:val="auto"/>
        </w:rPr>
        <w:t>. An RSU Award may be settled by the issuance of shares of Common Stock or cash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60" w:lineRule="exact"/>
        <w:rPr>
          <w:sz w:val="20"/>
          <w:szCs w:val="20"/>
          <w:color w:val="auto"/>
        </w:rPr>
      </w:pPr>
    </w:p>
    <w:p>
      <w:pPr>
        <w:ind w:right="60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Performance Awards</w:t>
      </w:r>
      <w:r>
        <w:rPr>
          <w:rFonts w:ascii="Times New Roman" w:cs="Times New Roman" w:eastAsia="Times New Roman" w:hAnsi="Times New Roman"/>
          <w:sz w:val="17"/>
          <w:szCs w:val="17"/>
          <w:color w:val="auto"/>
        </w:rPr>
        <w:t>. With respect to any Performance Award, the length of any Performance Period, the Performance Goals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achieved during the Performance Period, the other terms and conditions of such Award, and the measure of whether and to what degree such Performance Goals have been attained will be determined by the Board.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20"/>
          </w:cols>
          <w:pgMar w:left="620" w:top="263" w:right="659" w:bottom="1440" w:gutter="0" w:footer="0" w:header="0"/>
        </w:sectPr>
      </w:pPr>
    </w:p>
    <w:bookmarkStart w:id="393" w:name="page394"/>
    <w:bookmarkEnd w:id="393"/>
    <w:p>
      <w:pPr>
        <w:jc w:val="both"/>
        <w:ind w:left="8" w:right="300"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Other Awards</w:t>
      </w:r>
      <w:r>
        <w:rPr>
          <w:rFonts w:ascii="Times New Roman" w:cs="Times New Roman" w:eastAsia="Times New Roman" w:hAnsi="Times New Roman"/>
          <w:sz w:val="17"/>
          <w:szCs w:val="17"/>
          <w:color w:val="auto"/>
        </w:rPr>
        <w:t>. Other forms of Awards valued in whole or in part by reference to, or otherwise based on, Common Stock, including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311" w:lineRule="exact"/>
        <w:rPr>
          <w:sz w:val="20"/>
          <w:szCs w:val="20"/>
          <w:color w:val="auto"/>
        </w:rPr>
      </w:pPr>
    </w:p>
    <w:p>
      <w:pPr>
        <w:ind w:left="428" w:hanging="428"/>
        <w:spacing w:after="0"/>
        <w:tabs>
          <w:tab w:leader="none" w:pos="428"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7"/>
          <w:szCs w:val="17"/>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ind w:left="8" w:right="180" w:firstLine="426"/>
        <w:spacing w:after="0" w:line="262"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Capitalization Adjustments</w:t>
      </w:r>
      <w:r>
        <w:rPr>
          <w:rFonts w:ascii="Times New Roman" w:cs="Times New Roman" w:eastAsia="Times New Roman" w:hAnsi="Times New Roman"/>
          <w:sz w:val="17"/>
          <w:szCs w:val="17"/>
          <w:color w:val="auto"/>
        </w:rPr>
        <w:t>. In the event of a Capitalization Adjustment, the Board shall appropriately and proportionately adjust: (i)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5" w:lineRule="exact"/>
        <w:rPr>
          <w:sz w:val="20"/>
          <w:szCs w:val="20"/>
          <w:color w:val="auto"/>
        </w:rPr>
      </w:pPr>
    </w:p>
    <w:p>
      <w:pPr>
        <w:ind w:left="8" w:firstLine="426"/>
        <w:spacing w:after="0" w:line="263"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Dissolution or Liquidation. </w:t>
      </w:r>
      <w:r>
        <w:rPr>
          <w:rFonts w:ascii="Times New Roman" w:cs="Times New Roman" w:eastAsia="Times New Roman" w:hAnsi="Times New Roman"/>
          <w:sz w:val="17"/>
          <w:szCs w:val="17"/>
          <w:color w:val="auto"/>
        </w:rPr>
        <w:t>Except as otherwise provided in the Award Agreement, in the event of a dissolution or liquidation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3" w:lineRule="exact"/>
        <w:rPr>
          <w:sz w:val="20"/>
          <w:szCs w:val="20"/>
          <w:color w:val="auto"/>
        </w:rPr>
      </w:pPr>
    </w:p>
    <w:p>
      <w:pPr>
        <w:ind w:left="8"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Corporate Transaction. </w:t>
      </w:r>
      <w:r>
        <w:rPr>
          <w:rFonts w:ascii="Times New Roman" w:cs="Times New Roman" w:eastAsia="Times New Roman" w:hAnsi="Times New Roman"/>
          <w:sz w:val="17"/>
          <w:szCs w:val="17"/>
          <w:color w:val="auto"/>
        </w:rPr>
        <w:t>The following provisions will apply to Awards in the event of a Corporate Transaction, except as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60" w:lineRule="exact"/>
        <w:rPr>
          <w:sz w:val="20"/>
          <w:szCs w:val="20"/>
          <w:color w:val="auto"/>
        </w:rPr>
      </w:pPr>
    </w:p>
    <w:p>
      <w:pPr>
        <w:ind w:left="8" w:right="48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Awards May Be Assumed. </w:t>
      </w:r>
      <w:r>
        <w:rPr>
          <w:rFonts w:ascii="Times New Roman" w:cs="Times New Roman" w:eastAsia="Times New Roman" w:hAnsi="Times New Roman"/>
          <w:sz w:val="17"/>
          <w:szCs w:val="17"/>
          <w:color w:val="auto"/>
        </w:rPr>
        <w:t>In the event of a Corporate Transaction, any surviving corporation or acquiring corporation (or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surviving or acquiring corporation’s parent company) may assume or continue any or all Awards outstanding under the Plan or may substitute</w:t>
      </w:r>
    </w:p>
    <w:p>
      <w:pPr>
        <w:spacing w:after="0" w:line="7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28"/>
          </w:cols>
          <w:pgMar w:left="612" w:top="262" w:right="659" w:bottom="1440" w:gutter="0" w:footer="0" w:header="0"/>
        </w:sectPr>
      </w:pPr>
    </w:p>
    <w:bookmarkStart w:id="394" w:name="page395"/>
    <w:bookmarkEnd w:id="394"/>
    <w:p>
      <w:pPr>
        <w:ind w:right="60"/>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71" w:lineRule="exact"/>
        <w:rPr>
          <w:sz w:val="20"/>
          <w:szCs w:val="20"/>
          <w:color w:val="auto"/>
        </w:rPr>
      </w:pPr>
    </w:p>
    <w:p>
      <w:pPr>
        <w:ind w:firstLine="960"/>
        <w:spacing w:after="0" w:line="259"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Awards Held by Current Participants. </w:t>
      </w:r>
      <w:r>
        <w:rPr>
          <w:rFonts w:ascii="Times New Roman" w:cs="Times New Roman" w:eastAsia="Times New Roman" w:hAnsi="Times New Roman"/>
          <w:sz w:val="17"/>
          <w:szCs w:val="17"/>
          <w:color w:val="auto"/>
        </w:rPr>
        <w:t>In the event of a Corporate Transaction in which the surviving corporation or acquiring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7"/>
          <w:szCs w:val="17"/>
          <w:b w:val="1"/>
          <w:bCs w:val="1"/>
          <w:i w:val="1"/>
          <w:iCs w:val="1"/>
          <w:color w:val="auto"/>
        </w:rPr>
        <w:t>Current Participants</w:t>
      </w:r>
      <w:r>
        <w:rPr>
          <w:rFonts w:ascii="Times New Roman" w:cs="Times New Roman" w:eastAsia="Times New Roman" w:hAnsi="Times New Roman"/>
          <w:sz w:val="17"/>
          <w:szCs w:val="17"/>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81" w:lineRule="exact"/>
        <w:rPr>
          <w:sz w:val="20"/>
          <w:szCs w:val="20"/>
          <w:color w:val="auto"/>
        </w:rPr>
      </w:pPr>
    </w:p>
    <w:p>
      <w:pPr>
        <w:ind w:firstLine="960"/>
        <w:spacing w:after="0" w:line="264"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Awards Held by Persons other than Current Participants. </w:t>
      </w:r>
      <w:r>
        <w:rPr>
          <w:rFonts w:ascii="Times New Roman" w:cs="Times New Roman" w:eastAsia="Times New Roman" w:hAnsi="Times New Roman"/>
          <w:sz w:val="17"/>
          <w:szCs w:val="17"/>
          <w:color w:val="auto"/>
        </w:rPr>
        <w:t>In the event of a Corporate Transaction in which the surviving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73" w:lineRule="exact"/>
        <w:rPr>
          <w:sz w:val="20"/>
          <w:szCs w:val="20"/>
          <w:color w:val="auto"/>
        </w:rPr>
      </w:pPr>
    </w:p>
    <w:p>
      <w:pPr>
        <w:ind w:right="36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Payment for Awards in Lieu of Exercise. </w:t>
      </w:r>
      <w:r>
        <w:rPr>
          <w:rFonts w:ascii="Times New Roman" w:cs="Times New Roman" w:eastAsia="Times New Roman" w:hAnsi="Times New Roman"/>
          <w:sz w:val="17"/>
          <w:szCs w:val="17"/>
          <w:color w:val="auto"/>
        </w:rPr>
        <w:t>Notwithstanding the foregoing, in the event an Award will terminate if not exercised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the effective time of a</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60"/>
          </w:cols>
          <w:pgMar w:left="620" w:top="265" w:right="619" w:bottom="1440" w:gutter="0" w:footer="0" w:header="0"/>
        </w:sectPr>
      </w:pPr>
    </w:p>
    <w:bookmarkStart w:id="395" w:name="page396"/>
    <w:bookmarkEnd w:id="395"/>
    <w:p>
      <w:pPr>
        <w:ind w:left="8" w:right="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67" w:lineRule="exact"/>
        <w:rPr>
          <w:sz w:val="20"/>
          <w:szCs w:val="20"/>
          <w:color w:val="auto"/>
        </w:rPr>
      </w:pPr>
    </w:p>
    <w:p>
      <w:pPr>
        <w:ind w:left="8" w:firstLine="426"/>
        <w:spacing w:after="0" w:line="270"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Appointment of Stockholder Representative. </w:t>
      </w:r>
      <w:r>
        <w:rPr>
          <w:rFonts w:ascii="Times New Roman" w:cs="Times New Roman" w:eastAsia="Times New Roman" w:hAnsi="Times New Roman"/>
          <w:sz w:val="17"/>
          <w:szCs w:val="17"/>
          <w:color w:val="auto"/>
        </w:rPr>
        <w:t>As a condition to the receipt of an Award under this Plan, a Participant will be deemed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66" w:lineRule="exact"/>
        <w:rPr>
          <w:sz w:val="20"/>
          <w:szCs w:val="20"/>
          <w:color w:val="auto"/>
        </w:rPr>
      </w:pPr>
    </w:p>
    <w:p>
      <w:pPr>
        <w:ind w:left="8" w:right="40" w:firstLine="426"/>
        <w:spacing w:after="0" w:line="263"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 Restriction on Right to Undertake Transactions. </w:t>
      </w:r>
      <w:r>
        <w:rPr>
          <w:rFonts w:ascii="Times New Roman" w:cs="Times New Roman" w:eastAsia="Times New Roman" w:hAnsi="Times New Roman"/>
          <w:sz w:val="17"/>
          <w:szCs w:val="17"/>
          <w:color w:val="auto"/>
        </w:rPr>
        <w:t>The grant of any Award under the Plan and the issuance of shares pursuant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317" w:lineRule="exact"/>
        <w:rPr>
          <w:sz w:val="20"/>
          <w:szCs w:val="20"/>
          <w:color w:val="auto"/>
        </w:rPr>
      </w:pPr>
    </w:p>
    <w:p>
      <w:pPr>
        <w:ind w:left="428" w:hanging="428"/>
        <w:spacing w:after="0"/>
        <w:tabs>
          <w:tab w:leader="none" w:pos="428"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ind w:left="8" w:right="70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Administration by Board. </w:t>
      </w:r>
      <w:r>
        <w:rPr>
          <w:rFonts w:ascii="Times New Roman" w:cs="Times New Roman" w:eastAsia="Times New Roman" w:hAnsi="Times New Roman"/>
          <w:sz w:val="17"/>
          <w:szCs w:val="17"/>
          <w:color w:val="auto"/>
        </w:rPr>
        <w:t>The Board will administer the Plan unless and until the Board delegates administration of the Plan to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or Committees, as provided in subsection (c) below.</w:t>
      </w:r>
    </w:p>
    <w:p>
      <w:pPr>
        <w:spacing w:after="0" w:line="14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Powers of Board. </w:t>
      </w:r>
      <w:r>
        <w:rPr>
          <w:rFonts w:ascii="Times New Roman" w:cs="Times New Roman" w:eastAsia="Times New Roman" w:hAnsi="Times New Roman"/>
          <w:sz w:val="17"/>
          <w:szCs w:val="17"/>
          <w:color w:val="auto"/>
        </w:rPr>
        <w:t>The Board will have the power, subject to, and within the limitations of, the express provisions of the Plan:</w:t>
      </w:r>
    </w:p>
    <w:p>
      <w:pPr>
        <w:spacing w:after="0" w:line="118" w:lineRule="exact"/>
        <w:rPr>
          <w:sz w:val="20"/>
          <w:szCs w:val="20"/>
          <w:color w:val="auto"/>
        </w:rPr>
      </w:pPr>
    </w:p>
    <w:p>
      <w:pPr>
        <w:ind w:left="8" w:firstLine="960"/>
        <w:spacing w:after="0" w:line="264"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To determine from time to time (1) which of the persons eligible under the Plan will be granted Awards; (2) when and how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w:t>
      </w:r>
    </w:p>
    <w:p>
      <w:pPr>
        <w:spacing w:after="0" w:line="2" w:lineRule="exact"/>
        <w:rPr>
          <w:sz w:val="20"/>
          <w:szCs w:val="20"/>
          <w:color w:val="auto"/>
        </w:rPr>
      </w:pPr>
    </w:p>
    <w:p>
      <w:pPr>
        <w:jc w:val="both"/>
        <w:ind w:left="8" w:right="60" w:hanging="8"/>
        <w:spacing w:after="0" w:line="265" w:lineRule="auto"/>
        <w:tabs>
          <w:tab w:leader="none" w:pos="25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69" w:lineRule="exact"/>
        <w:rPr>
          <w:sz w:val="20"/>
          <w:szCs w:val="20"/>
          <w:color w:val="auto"/>
        </w:rPr>
      </w:pPr>
    </w:p>
    <w:p>
      <w:pPr>
        <w:ind w:left="8" w:right="42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To construe and interpret the Plan and Awards granted under it, and to establish, amend and revoke rules and regulations for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administration. The Board, in the</w:t>
      </w:r>
    </w:p>
    <w:p>
      <w:pPr>
        <w:spacing w:after="0" w:line="7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08"/>
          </w:cols>
          <w:pgMar w:left="612" w:top="265" w:right="679" w:bottom="1440" w:gutter="0" w:footer="0" w:header="0"/>
        </w:sectPr>
      </w:pPr>
    </w:p>
    <w:bookmarkStart w:id="396" w:name="page397"/>
    <w:bookmarkEnd w:id="396"/>
    <w:p>
      <w:pPr>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exercise of this power, may correct any defect, omission or inconsistency in the Plan or in any Award Agreement, in a manner and to the extent it deems necessary or expedient to make the Plan or Award fully effective.</w:t>
      </w:r>
    </w:p>
    <w:p>
      <w:pPr>
        <w:spacing w:after="0" w:line="1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To settle all controversies regarding the Plan and Awards granted under it.</w:t>
      </w:r>
    </w:p>
    <w:p>
      <w:pPr>
        <w:spacing w:after="0" w:line="223" w:lineRule="exact"/>
        <w:rPr>
          <w:sz w:val="20"/>
          <w:szCs w:val="20"/>
          <w:color w:val="auto"/>
        </w:rPr>
      </w:pPr>
    </w:p>
    <w:p>
      <w:pPr>
        <w:ind w:right="28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To accelerate the time at which an Award may first be exercised or the time during which an Award or any part thereof will vest,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the provisions in the Award Agreement stating the time at which it may first be exercised or the time during which it will vest.</w:t>
      </w:r>
    </w:p>
    <w:p>
      <w:pPr>
        <w:spacing w:after="0" w:line="142" w:lineRule="exact"/>
        <w:rPr>
          <w:sz w:val="20"/>
          <w:szCs w:val="20"/>
          <w:color w:val="auto"/>
        </w:rPr>
      </w:pPr>
    </w:p>
    <w:p>
      <w:pPr>
        <w:ind w:right="120"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7"/>
          <w:szCs w:val="17"/>
          <w:color w:val="auto"/>
        </w:rPr>
        <w:t xml:space="preserve">  To prohibit the exercise of any Option, SAR or other exercisable Award during a period of up to 30 days prior to the consummation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66" w:lineRule="exact"/>
        <w:rPr>
          <w:sz w:val="20"/>
          <w:szCs w:val="20"/>
          <w:color w:val="auto"/>
        </w:rPr>
      </w:pPr>
    </w:p>
    <w:p>
      <w:pPr>
        <w:ind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(vi)</w:t>
      </w:r>
      <w:r>
        <w:rPr>
          <w:rFonts w:ascii="Times New Roman" w:cs="Times New Roman" w:eastAsia="Times New Roman" w:hAnsi="Times New Roman"/>
          <w:sz w:val="17"/>
          <w:szCs w:val="17"/>
          <w:color w:val="auto"/>
        </w:rPr>
        <w:t xml:space="preserve">  To suspend or terminate the Plan at any time. Suspension or termination of the Plan will not Materially Impair rights and obligations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any Award granted while the Plan is in effect except with the written consent of the affected Participant.</w:t>
      </w:r>
    </w:p>
    <w:p>
      <w:pPr>
        <w:spacing w:after="0" w:line="142" w:lineRule="exact"/>
        <w:rPr>
          <w:sz w:val="20"/>
          <w:szCs w:val="20"/>
          <w:color w:val="auto"/>
        </w:rPr>
      </w:pPr>
    </w:p>
    <w:p>
      <w:pPr>
        <w:ind w:right="40"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(vii)</w:t>
      </w:r>
      <w:r>
        <w:rPr>
          <w:rFonts w:ascii="Times New Roman" w:cs="Times New Roman" w:eastAsia="Times New Roman" w:hAnsi="Times New Roman"/>
          <w:sz w:val="17"/>
          <w:szCs w:val="17"/>
          <w:color w:val="auto"/>
        </w:rPr>
        <w:t xml:space="preserve">  To amend the Plan in any respect the Board deems necessary or advisable; provided, however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stockholder approval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6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(viii)</w:t>
      </w:r>
      <w:r>
        <w:rPr>
          <w:rFonts w:ascii="Times New Roman" w:cs="Times New Roman" w:eastAsia="Times New Roman" w:hAnsi="Times New Roman"/>
          <w:sz w:val="17"/>
          <w:szCs w:val="17"/>
          <w:color w:val="auto"/>
        </w:rPr>
        <w:t xml:space="preserve">   To submit any amendment to the Plan for stockholder approval.</w:t>
      </w:r>
    </w:p>
    <w:p>
      <w:pPr>
        <w:spacing w:after="0" w:line="223" w:lineRule="exact"/>
        <w:rPr>
          <w:sz w:val="20"/>
          <w:szCs w:val="20"/>
          <w:color w:val="auto"/>
        </w:rPr>
      </w:pPr>
    </w:p>
    <w:p>
      <w:pPr>
        <w:ind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(ix)</w:t>
      </w:r>
      <w:r>
        <w:rPr>
          <w:rFonts w:ascii="Times New Roman" w:cs="Times New Roman" w:eastAsia="Times New Roman" w:hAnsi="Times New Roman"/>
          <w:sz w:val="17"/>
          <w:szCs w:val="17"/>
          <w:color w:val="auto"/>
        </w:rPr>
        <w:t xml:space="preserve">  To approve forms of Award Agreements for use under the Plan and to amend the terms of any one or more Awards, including, but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 be Materially Impaired by any such amendment unless (1) the Company requests the consent of the affected Participant, and (2) such Participant consents in writing.</w:t>
      </w:r>
    </w:p>
    <w:p>
      <w:pPr>
        <w:spacing w:after="0" w:line="166" w:lineRule="exact"/>
        <w:rPr>
          <w:sz w:val="20"/>
          <w:szCs w:val="20"/>
          <w:color w:val="auto"/>
        </w:rPr>
      </w:pPr>
    </w:p>
    <w:p>
      <w:pPr>
        <w:ind w:right="6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 xml:space="preserve">  Generally, to exercise such powers and to perform such acts as the Board deems necessary or expedient to promote the best interests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and that are not in conflict with the provisions of the Plan or Awards.</w:t>
      </w:r>
    </w:p>
    <w:p>
      <w:pPr>
        <w:spacing w:after="0" w:line="142" w:lineRule="exact"/>
        <w:rPr>
          <w:sz w:val="20"/>
          <w:szCs w:val="20"/>
          <w:color w:val="auto"/>
        </w:rPr>
      </w:pPr>
    </w:p>
    <w:p>
      <w:pPr>
        <w:ind w:right="140"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(xi)</w:t>
      </w:r>
      <w:r>
        <w:rPr>
          <w:rFonts w:ascii="Times New Roman" w:cs="Times New Roman" w:eastAsia="Times New Roman" w:hAnsi="Times New Roman"/>
          <w:sz w:val="17"/>
          <w:szCs w:val="17"/>
          <w:color w:val="auto"/>
        </w:rPr>
        <w:t xml:space="preserve">  To adopt such procedures and sub-plans as are necessary or appropriate to permit and facilitate participation in the Plan by, or take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600"/>
          </w:cols>
          <w:pgMar w:left="620" w:top="265" w:right="679" w:bottom="1440" w:gutter="0" w:footer="0" w:header="0"/>
        </w:sectPr>
      </w:pPr>
    </w:p>
    <w:bookmarkStart w:id="397" w:name="page398"/>
    <w:bookmarkEnd w:id="397"/>
    <w:p>
      <w:pPr>
        <w:ind w:right="80" w:firstLine="960"/>
        <w:spacing w:after="0" w:line="26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(xii)</w:t>
      </w:r>
      <w:r>
        <w:rPr>
          <w:rFonts w:ascii="Times New Roman" w:cs="Times New Roman" w:eastAsia="Times New Roman" w:hAnsi="Times New Roman"/>
          <w:sz w:val="17"/>
          <w:szCs w:val="17"/>
          <w:color w:val="auto"/>
        </w:rPr>
        <w:t xml:space="preserve">  To effect, at any time and from time to time, subject to the consent of any Participant whose Award is Materially Impaired by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(c)   Delegation to Committee.</w:t>
      </w:r>
    </w:p>
    <w:p>
      <w:pPr>
        <w:spacing w:after="0" w:line="118" w:lineRule="exact"/>
        <w:rPr>
          <w:sz w:val="20"/>
          <w:szCs w:val="20"/>
          <w:color w:val="auto"/>
        </w:rPr>
      </w:pPr>
    </w:p>
    <w:p>
      <w:pPr>
        <w:ind w:right="40" w:firstLine="960"/>
        <w:spacing w:after="0" w:line="262"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General. </w:t>
      </w:r>
      <w:r>
        <w:rPr>
          <w:rFonts w:ascii="Times New Roman" w:cs="Times New Roman" w:eastAsia="Times New Roman" w:hAnsi="Times New Roman"/>
          <w:sz w:val="17"/>
          <w:szCs w:val="17"/>
          <w:color w:val="auto"/>
        </w:rPr>
        <w:t>The Board may delegate some or all of the administration of the Plan to a Committee or Committees. If administration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75" w:lineRule="exact"/>
        <w:rPr>
          <w:sz w:val="20"/>
          <w:szCs w:val="20"/>
          <w:color w:val="auto"/>
        </w:rPr>
      </w:pPr>
    </w:p>
    <w:p>
      <w:pPr>
        <w:ind w:right="220"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Rule 16b-3 Compliance. </w:t>
      </w:r>
      <w:r>
        <w:rPr>
          <w:rFonts w:ascii="Times New Roman" w:cs="Times New Roman" w:eastAsia="Times New Roman" w:hAnsi="Times New Roman"/>
          <w:sz w:val="17"/>
          <w:szCs w:val="17"/>
          <w:color w:val="auto"/>
        </w:rPr>
        <w:t>To the extent an Award is intended to qualify for the exemption from Section 16(b) of the Exchange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66" w:lineRule="exact"/>
        <w:rPr>
          <w:sz w:val="20"/>
          <w:szCs w:val="20"/>
          <w:color w:val="auto"/>
        </w:rPr>
      </w:pPr>
    </w:p>
    <w:p>
      <w:pPr>
        <w:ind w:right="24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Effect of Board’s Decision. </w:t>
      </w:r>
      <w:r>
        <w:rPr>
          <w:rFonts w:ascii="Times New Roman" w:cs="Times New Roman" w:eastAsia="Times New Roman" w:hAnsi="Times New Roman"/>
          <w:sz w:val="17"/>
          <w:szCs w:val="17"/>
          <w:color w:val="auto"/>
        </w:rPr>
        <w:t>All determinations, interpretations and constructions made by the Board or any Committee in good faith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be subject to review by any person and will be final, binding and conclusive on all persons.</w:t>
      </w:r>
    </w:p>
    <w:p>
      <w:pPr>
        <w:spacing w:after="0" w:line="142"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Delegation to Other Person or Body. </w:t>
      </w:r>
      <w:r>
        <w:rPr>
          <w:rFonts w:ascii="Times New Roman" w:cs="Times New Roman" w:eastAsia="Times New Roman" w:hAnsi="Times New Roman"/>
          <w:sz w:val="17"/>
          <w:szCs w:val="17"/>
          <w:color w:val="auto"/>
        </w:rPr>
        <w:t>The Board or any Committee may delegate to one or more persons or bodies the authority to do 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 more of the following to the extent permitted by Applicable Law: (i) designate recipients, other than Officers, of Options and SARs (and, to the extent permitted by Applicable Law, other Awards), provided that no person or body may be delegated authority to grant an Award to themself; (ii) determine the number of shares subject to such Awards; and (iii) determine the terms of such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640"/>
          </w:cols>
          <w:pgMar w:left="620" w:top="262" w:right="639" w:bottom="1440" w:gutter="0" w:footer="0" w:header="0"/>
        </w:sectPr>
      </w:pPr>
    </w:p>
    <w:bookmarkStart w:id="398" w:name="page399"/>
    <w:bookmarkEnd w:id="398"/>
    <w:p>
      <w:pPr>
        <w:ind w:left="8" w:right="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spacing w:after="0" w:line="304" w:lineRule="exact"/>
        <w:rPr>
          <w:sz w:val="20"/>
          <w:szCs w:val="20"/>
          <w:color w:val="auto"/>
        </w:rPr>
      </w:pPr>
    </w:p>
    <w:p>
      <w:pPr>
        <w:ind w:left="428" w:hanging="428"/>
        <w:spacing w:after="0"/>
        <w:tabs>
          <w:tab w:leader="none" w:pos="428"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118" w:lineRule="exact"/>
        <w:rPr>
          <w:sz w:val="20"/>
          <w:szCs w:val="20"/>
          <w:color w:val="auto"/>
        </w:rPr>
      </w:pPr>
    </w:p>
    <w:p>
      <w:pPr>
        <w:ind w:left="8" w:firstLine="426"/>
        <w:spacing w:after="0" w:line="264"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Withholding Authorization. </w:t>
      </w:r>
      <w:r>
        <w:rPr>
          <w:rFonts w:ascii="Times New Roman" w:cs="Times New Roman" w:eastAsia="Times New Roman" w:hAnsi="Times New Roman"/>
          <w:sz w:val="17"/>
          <w:szCs w:val="17"/>
          <w:color w:val="auto"/>
        </w:rPr>
        <w:t>As a condition to acceptance of any Award under the Plan, a Participant authorizes withholding from payroll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73" w:lineRule="exact"/>
        <w:rPr>
          <w:sz w:val="20"/>
          <w:szCs w:val="20"/>
          <w:color w:val="auto"/>
        </w:rPr>
      </w:pPr>
    </w:p>
    <w:p>
      <w:pPr>
        <w:ind w:left="8" w:firstLine="426"/>
        <w:spacing w:after="0" w:line="264"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Satisfaction of Withholding Obligation. </w:t>
      </w:r>
      <w:r>
        <w:rPr>
          <w:rFonts w:ascii="Times New Roman" w:cs="Times New Roman" w:eastAsia="Times New Roman" w:hAnsi="Times New Roman"/>
          <w:sz w:val="17"/>
          <w:szCs w:val="17"/>
          <w:color w:val="auto"/>
        </w:rPr>
        <w:t>To the extent permitted by the terms of an Award Agreement, the Company may, in its sole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383" w:lineRule="exact"/>
        <w:rPr>
          <w:sz w:val="20"/>
          <w:szCs w:val="20"/>
          <w:color w:val="auto"/>
        </w:rPr>
      </w:pPr>
    </w:p>
    <w:p>
      <w:pPr>
        <w:ind w:left="8" w:right="100" w:firstLine="426"/>
        <w:spacing w:after="0" w:line="260"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 Obligation to Notify or Minimize Taxes; No Liability to Claims. </w:t>
      </w:r>
      <w:r>
        <w:rPr>
          <w:rFonts w:ascii="Times New Roman" w:cs="Times New Roman" w:eastAsia="Times New Roman" w:hAnsi="Times New Roman"/>
          <w:sz w:val="17"/>
          <w:szCs w:val="17"/>
          <w:color w:val="auto"/>
        </w:rPr>
        <w:t>Except as required by Applicable Law the Company has no duty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648"/>
          </w:cols>
          <w:pgMar w:left="612" w:top="264" w:right="639" w:bottom="1440" w:gutter="0" w:footer="0" w:header="0"/>
        </w:sectPr>
      </w:pPr>
    </w:p>
    <w:bookmarkStart w:id="399" w:name="page400"/>
    <w:bookmarkEnd w:id="399"/>
    <w:p>
      <w:pPr>
        <w:jc w:val="both"/>
        <w:ind w:left="8" w:right="1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60" w:lineRule="exact"/>
        <w:rPr>
          <w:sz w:val="20"/>
          <w:szCs w:val="20"/>
          <w:color w:val="auto"/>
        </w:rPr>
      </w:pPr>
    </w:p>
    <w:p>
      <w:pPr>
        <w:ind w:left="8" w:firstLine="426"/>
        <w:spacing w:after="0" w:line="270"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Withholding Indemnification. </w:t>
      </w:r>
      <w:r>
        <w:rPr>
          <w:rFonts w:ascii="Times New Roman" w:cs="Times New Roman" w:eastAsia="Times New Roman" w:hAnsi="Times New Roman"/>
          <w:sz w:val="17"/>
          <w:szCs w:val="17"/>
          <w:color w:val="auto"/>
        </w:rPr>
        <w:t>As a condition to accepting an Award under the Plan, in the event that the amount of the Company’s and/or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310" w:lineRule="exact"/>
        <w:rPr>
          <w:sz w:val="20"/>
          <w:szCs w:val="20"/>
          <w:color w:val="auto"/>
        </w:rPr>
      </w:pPr>
    </w:p>
    <w:p>
      <w:pPr>
        <w:ind w:left="428" w:hanging="428"/>
        <w:spacing w:after="0"/>
        <w:tabs>
          <w:tab w:leader="none" w:pos="428"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ind w:left="8" w:right="44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Source of Shares. </w:t>
      </w:r>
      <w:r>
        <w:rPr>
          <w:rFonts w:ascii="Times New Roman" w:cs="Times New Roman" w:eastAsia="Times New Roman" w:hAnsi="Times New Roman"/>
          <w:sz w:val="17"/>
          <w:szCs w:val="17"/>
          <w:color w:val="auto"/>
        </w:rPr>
        <w:t>The stock issuable under the Plan will be shares of authorized but unissued or reacquired Common Stock,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repurchased by the Company on the open market or otherwise.</w:t>
      </w:r>
    </w:p>
    <w:p>
      <w:pPr>
        <w:spacing w:after="0" w:line="142" w:lineRule="exact"/>
        <w:rPr>
          <w:sz w:val="20"/>
          <w:szCs w:val="20"/>
          <w:color w:val="auto"/>
        </w:rPr>
      </w:pPr>
    </w:p>
    <w:p>
      <w:pPr>
        <w:ind w:left="8" w:right="38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Use of Proceeds from Sales of Common Stock. </w:t>
      </w:r>
      <w:r>
        <w:rPr>
          <w:rFonts w:ascii="Times New Roman" w:cs="Times New Roman" w:eastAsia="Times New Roman" w:hAnsi="Times New Roman"/>
          <w:sz w:val="17"/>
          <w:szCs w:val="17"/>
          <w:color w:val="auto"/>
        </w:rPr>
        <w:t>Proceeds from the sale of shares of Common Stock pursuant to Awards will constitute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 funds of the Company.</w:t>
      </w:r>
    </w:p>
    <w:p>
      <w:pPr>
        <w:spacing w:after="0" w:line="142" w:lineRule="exact"/>
        <w:rPr>
          <w:sz w:val="20"/>
          <w:szCs w:val="20"/>
          <w:color w:val="auto"/>
        </w:rPr>
      </w:pPr>
    </w:p>
    <w:p>
      <w:pPr>
        <w:ind w:left="8" w:right="20" w:firstLine="426"/>
        <w:spacing w:after="0" w:line="263"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Corporate Action Constituting Grant of Awards. </w:t>
      </w:r>
      <w:r>
        <w:rPr>
          <w:rFonts w:ascii="Times New Roman" w:cs="Times New Roman" w:eastAsia="Times New Roman" w:hAnsi="Times New Roman"/>
          <w:sz w:val="17"/>
          <w:szCs w:val="17"/>
          <w:color w:val="auto"/>
        </w:rPr>
        <w:t>Corporate action constituting a grant by the Company of an Award to any Participant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73" w:lineRule="exact"/>
        <w:rPr>
          <w:sz w:val="20"/>
          <w:szCs w:val="20"/>
          <w:color w:val="auto"/>
        </w:rPr>
      </w:pPr>
    </w:p>
    <w:p>
      <w:pPr>
        <w:jc w:val="both"/>
        <w:ind w:left="8" w:right="4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Stockholder Rights. </w:t>
      </w:r>
      <w:r>
        <w:rPr>
          <w:rFonts w:ascii="Times New Roman" w:cs="Times New Roman" w:eastAsia="Times New Roman" w:hAnsi="Times New Roman"/>
          <w:sz w:val="17"/>
          <w:szCs w:val="17"/>
          <w:color w:val="auto"/>
        </w:rPr>
        <w:t>No Participant will be deemed to be the holder of, or to have any of the rights of a holder with respect to, any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60" w:lineRule="exact"/>
        <w:rPr>
          <w:sz w:val="20"/>
          <w:szCs w:val="20"/>
          <w:color w:val="auto"/>
        </w:rPr>
      </w:pPr>
    </w:p>
    <w:p>
      <w:pPr>
        <w:ind w:left="8" w:right="60" w:firstLine="426"/>
        <w:spacing w:after="0" w:line="264"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 Employment or Other Service Rights. </w:t>
      </w:r>
      <w:r>
        <w:rPr>
          <w:rFonts w:ascii="Times New Roman" w:cs="Times New Roman" w:eastAsia="Times New Roman" w:hAnsi="Times New Roman"/>
          <w:sz w:val="17"/>
          <w:szCs w:val="17"/>
          <w:color w:val="auto"/>
        </w:rPr>
        <w:t>Nothing in the Plan, any Award Agreement or any other instrument executed thereunder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w:t>
      </w:r>
    </w:p>
    <w:p>
      <w:pPr>
        <w:spacing w:after="0" w:line="11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648"/>
          </w:cols>
          <w:pgMar w:left="612" w:top="265" w:right="639" w:bottom="1440" w:gutter="0" w:footer="0" w:header="0"/>
        </w:sectPr>
      </w:pPr>
    </w:p>
    <w:bookmarkStart w:id="400" w:name="page401"/>
    <w:bookmarkEnd w:id="400"/>
    <w:p>
      <w:pPr>
        <w:jc w:val="both"/>
        <w:ind w:right="4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69"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Change in Time Commitment. </w:t>
      </w:r>
      <w:r>
        <w:rPr>
          <w:rFonts w:ascii="Times New Roman" w:cs="Times New Roman" w:eastAsia="Times New Roman" w:hAnsi="Times New Roman"/>
          <w:sz w:val="17"/>
          <w:szCs w:val="17"/>
          <w:color w:val="auto"/>
        </w:rPr>
        <w:t>In the event a Participant’s regular level of time commitment in the performance of his or her services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3" w:lineRule="exact"/>
        <w:rPr>
          <w:sz w:val="20"/>
          <w:szCs w:val="20"/>
          <w:color w:val="auto"/>
        </w:rPr>
      </w:pPr>
    </w:p>
    <w:p>
      <w:pPr>
        <w:ind w:right="6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Execution of Additional Documents. </w:t>
      </w:r>
      <w:r>
        <w:rPr>
          <w:rFonts w:ascii="Times New Roman" w:cs="Times New Roman" w:eastAsia="Times New Roman" w:hAnsi="Times New Roman"/>
          <w:sz w:val="17"/>
          <w:szCs w:val="17"/>
          <w:color w:val="auto"/>
        </w:rPr>
        <w:t>As a condition to accepting an Award under the Plan, the Participant agrees to execute any additional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60" w:lineRule="exact"/>
        <w:rPr>
          <w:sz w:val="20"/>
          <w:szCs w:val="20"/>
          <w:color w:val="auto"/>
        </w:rPr>
      </w:pPr>
    </w:p>
    <w:p>
      <w:pPr>
        <w:ind w:right="60" w:firstLine="426"/>
        <w:spacing w:after="0" w:line="264" w:lineRule="auto"/>
        <w:rPr>
          <w:sz w:val="20"/>
          <w:szCs w:val="20"/>
          <w:color w:val="auto"/>
        </w:rPr>
      </w:pP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Electronic Delivery and Participation. </w:t>
      </w:r>
      <w:r>
        <w:rPr>
          <w:rFonts w:ascii="Times New Roman" w:cs="Times New Roman" w:eastAsia="Times New Roman" w:hAnsi="Times New Roman"/>
          <w:sz w:val="17"/>
          <w:szCs w:val="17"/>
          <w:color w:val="auto"/>
        </w:rPr>
        <w:t>Any reference herein or in an Award Agreement to a “written” agreement or document will include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3" w:lineRule="exact"/>
        <w:rPr>
          <w:sz w:val="20"/>
          <w:szCs w:val="20"/>
          <w:color w:val="auto"/>
        </w:rPr>
      </w:pPr>
    </w:p>
    <w:p>
      <w:pPr>
        <w:ind w:firstLine="426"/>
        <w:spacing w:after="0" w:line="262"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Clawback/Recovery. </w:t>
      </w:r>
      <w:r>
        <w:rPr>
          <w:rFonts w:ascii="Times New Roman" w:cs="Times New Roman" w:eastAsia="Times New Roman" w:hAnsi="Times New Roman"/>
          <w:sz w:val="17"/>
          <w:szCs w:val="17"/>
          <w:color w:val="auto"/>
        </w:rPr>
        <w:t>All Awards granted under the Plan will be subject to recoupment in accordance with any clawback policy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640"/>
          </w:cols>
          <w:pgMar w:left="620" w:top="264" w:right="639" w:bottom="1440" w:gutter="0" w:footer="0" w:header="0"/>
        </w:sectPr>
      </w:pPr>
    </w:p>
    <w:bookmarkStart w:id="401" w:name="page402"/>
    <w:bookmarkEnd w:id="401"/>
    <w:p>
      <w:pPr>
        <w:ind w:right="220" w:firstLine="426"/>
        <w:spacing w:after="0" w:line="270"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Securities Law Compliance. </w:t>
      </w:r>
      <w:r>
        <w:rPr>
          <w:rFonts w:ascii="Times New Roman" w:cs="Times New Roman" w:eastAsia="Times New Roman" w:hAnsi="Times New Roman"/>
          <w:sz w:val="17"/>
          <w:szCs w:val="17"/>
          <w:color w:val="auto"/>
        </w:rPr>
        <w:t>A Participant will not be issued any shares in respect of an Award unless either (i) the shares are registered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66" w:lineRule="exact"/>
        <w:rPr>
          <w:sz w:val="20"/>
          <w:szCs w:val="20"/>
          <w:color w:val="auto"/>
        </w:rPr>
      </w:pPr>
    </w:p>
    <w:p>
      <w:pPr>
        <w:ind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Transfer or Assignment of Awards; Issued Shares. </w:t>
      </w:r>
      <w:r>
        <w:rPr>
          <w:rFonts w:ascii="Times New Roman" w:cs="Times New Roman" w:eastAsia="Times New Roman" w:hAnsi="Times New Roman"/>
          <w:sz w:val="17"/>
          <w:szCs w:val="17"/>
          <w:color w:val="auto"/>
        </w:rPr>
        <w:t>Except as expressly provided in the Plan or the form of Award Agreement,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67" w:lineRule="exact"/>
        <w:rPr>
          <w:sz w:val="20"/>
          <w:szCs w:val="20"/>
          <w:color w:val="auto"/>
        </w:rPr>
      </w:pPr>
    </w:p>
    <w:p>
      <w:pPr>
        <w:ind w:right="20" w:firstLine="426"/>
        <w:spacing w:after="0" w:line="270" w:lineRule="auto"/>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Effect on Other Employee Benefit Plans. </w:t>
      </w:r>
      <w:r>
        <w:rPr>
          <w:rFonts w:ascii="Times New Roman" w:cs="Times New Roman" w:eastAsia="Times New Roman" w:hAnsi="Times New Roman"/>
          <w:sz w:val="17"/>
          <w:szCs w:val="17"/>
          <w:color w:val="auto"/>
        </w:rPr>
        <w:t>The value of any Award granted under the Plan, as determined upon grant, vesting or settlement,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66" w:lineRule="exact"/>
        <w:rPr>
          <w:sz w:val="20"/>
          <w:szCs w:val="20"/>
          <w:color w:val="auto"/>
        </w:rPr>
      </w:pPr>
    </w:p>
    <w:p>
      <w:pPr>
        <w:jc w:val="both"/>
        <w:ind w:right="12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Deferrals. </w:t>
      </w:r>
      <w:r>
        <w:rPr>
          <w:rFonts w:ascii="Times New Roman" w:cs="Times New Roman" w:eastAsia="Times New Roman" w:hAnsi="Times New Roman"/>
          <w:sz w:val="17"/>
          <w:szCs w:val="17"/>
          <w:color w:val="auto"/>
        </w:rPr>
        <w:t>To the extent permitted by Applicable Law, the Board, in its sole discretion, may determine that the delivery of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60" w:lineRule="exact"/>
        <w:rPr>
          <w:sz w:val="20"/>
          <w:szCs w:val="20"/>
          <w:color w:val="auto"/>
        </w:rPr>
      </w:pPr>
    </w:p>
    <w:p>
      <w:pPr>
        <w:ind w:right="20" w:firstLine="426"/>
        <w:spacing w:after="0" w:line="260" w:lineRule="auto"/>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Section 409A. </w:t>
      </w:r>
      <w:r>
        <w:rPr>
          <w:rFonts w:ascii="Times New Roman" w:cs="Times New Roman" w:eastAsia="Times New Roman" w:hAnsi="Times New Roman"/>
          <w:sz w:val="17"/>
          <w:szCs w:val="17"/>
          <w:color w:val="auto"/>
        </w:rPr>
        <w:t>Unless otherwise expressly provided for in an Award Agreement, the Plan and Award Agreements will be interpreted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20"/>
          </w:cols>
          <w:pgMar w:left="620" w:top="262" w:right="659" w:bottom="1440" w:gutter="0" w:footer="0" w:header="0"/>
        </w:sectPr>
      </w:pPr>
    </w:p>
    <w:bookmarkStart w:id="402" w:name="page403"/>
    <w:bookmarkEnd w:id="402"/>
    <w:p>
      <w:pPr>
        <w:ind w:left="8" w:right="20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a manner that complies with Section 409A, and any amounts so deferred will be paid in a lump sum on the day after such six month period elapses, with the balance paid thereafter on the original schedule.</w:t>
      </w:r>
    </w:p>
    <w:p>
      <w:pPr>
        <w:spacing w:after="0" w:line="145" w:lineRule="exact"/>
        <w:rPr>
          <w:sz w:val="20"/>
          <w:szCs w:val="20"/>
          <w:color w:val="auto"/>
        </w:rPr>
      </w:pPr>
    </w:p>
    <w:p>
      <w:pPr>
        <w:ind w:left="8"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Plan and any controversy arising out of or relating to this Plan shall be governed by, and construed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internal laws of the State of Delaware, without regard to conflict of law principles that would result in any application of any law other than the law of the State of Delaware.</w:t>
      </w:r>
    </w:p>
    <w:p>
      <w:pPr>
        <w:spacing w:after="0" w:line="303" w:lineRule="exact"/>
        <w:rPr>
          <w:sz w:val="20"/>
          <w:szCs w:val="20"/>
          <w:color w:val="auto"/>
        </w:rPr>
      </w:pPr>
    </w:p>
    <w:p>
      <w:pPr>
        <w:ind w:left="428" w:hanging="428"/>
        <w:spacing w:after="0"/>
        <w:tabs>
          <w:tab w:leader="none" w:pos="428" w:val="left"/>
        </w:tabs>
        <w:numPr>
          <w:ilvl w:val="0"/>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8" w:right="40" w:firstLine="426"/>
        <w:spacing w:after="0" w:line="262" w:lineRule="auto"/>
        <w:rPr>
          <w:sz w:val="20"/>
          <w:szCs w:val="20"/>
          <w:color w:val="auto"/>
        </w:rPr>
      </w:pPr>
      <w:r>
        <w:rPr>
          <w:rFonts w:ascii="Times New Roman" w:cs="Times New Roman" w:eastAsia="Times New Roman" w:hAnsi="Times New Roman"/>
          <w:sz w:val="17"/>
          <w:szCs w:val="17"/>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316" w:lineRule="exact"/>
        <w:rPr>
          <w:sz w:val="20"/>
          <w:szCs w:val="20"/>
          <w:color w:val="auto"/>
        </w:rPr>
      </w:pPr>
    </w:p>
    <w:p>
      <w:pPr>
        <w:ind w:left="428" w:hanging="428"/>
        <w:spacing w:after="0"/>
        <w:tabs>
          <w:tab w:leader="none" w:pos="428" w:val="left"/>
        </w:tabs>
        <w:numPr>
          <w:ilvl w:val="0"/>
          <w:numId w:val="1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7"/>
          <w:szCs w:val="17"/>
          <w:b w:val="1"/>
          <w:bCs w:val="1"/>
          <w:color w:val="auto"/>
        </w:rPr>
        <w:t xml:space="preserve"> 409A.</w:t>
      </w:r>
    </w:p>
    <w:p>
      <w:pPr>
        <w:spacing w:after="0" w:line="118" w:lineRule="exact"/>
        <w:rPr>
          <w:sz w:val="20"/>
          <w:szCs w:val="20"/>
          <w:color w:val="auto"/>
        </w:rPr>
      </w:pPr>
    </w:p>
    <w:p>
      <w:pPr>
        <w:ind w:left="8" w:right="16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Application. </w:t>
      </w:r>
      <w:r>
        <w:rPr>
          <w:rFonts w:ascii="Times New Roman" w:cs="Times New Roman" w:eastAsia="Times New Roman" w:hAnsi="Times New Roman"/>
          <w:sz w:val="17"/>
          <w:szCs w:val="17"/>
          <w:color w:val="auto"/>
        </w:rPr>
        <w:t>Unless the provisions of this Section of the Plan are expressly superseded by the provisions in the form of Award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provisions of this Section shall apply and shall supersede anything to the contrary set forth in the Award Agreement for a Non-Exempt Award.</w:t>
      </w:r>
    </w:p>
    <w:p>
      <w:pPr>
        <w:spacing w:after="0" w:line="142" w:lineRule="exact"/>
        <w:rPr>
          <w:sz w:val="20"/>
          <w:szCs w:val="20"/>
          <w:color w:val="auto"/>
        </w:rPr>
      </w:pPr>
    </w:p>
    <w:p>
      <w:pPr>
        <w:ind w:left="8" w:right="16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Non-Exempt Awards Subject to Non-Exempt Severance Arrangements. </w:t>
      </w:r>
      <w:r>
        <w:rPr>
          <w:rFonts w:ascii="Times New Roman" w:cs="Times New Roman" w:eastAsia="Times New Roman" w:hAnsi="Times New Roman"/>
          <w:sz w:val="17"/>
          <w:szCs w:val="17"/>
          <w:color w:val="auto"/>
        </w:rPr>
        <w:t>To the extent a Non-Exempt Award is subject to Section 409A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due to application of a Non-Exempt Severance Arrangement, the following provisions of this subsection (b) apply.</w:t>
      </w:r>
    </w:p>
    <w:p>
      <w:pPr>
        <w:spacing w:after="0" w:line="142" w:lineRule="exact"/>
        <w:rPr>
          <w:sz w:val="20"/>
          <w:szCs w:val="20"/>
          <w:color w:val="auto"/>
        </w:rPr>
      </w:pPr>
    </w:p>
    <w:p>
      <w:pPr>
        <w:ind w:left="8" w:right="80" w:firstLine="960"/>
        <w:spacing w:after="0" w:line="237"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If the Non-Exempt Award vests in the ordinary course during the Participant’s Continuous Service in accordance with the vesting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7"/>
          <w:szCs w:val="17"/>
          <w:color w:val="auto"/>
        </w:rPr>
        <w:t xml:space="preserve"> of the calendar year that includes the applicable vesting date, or (ii)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day that follows the applicable vesting date.</w:t>
      </w:r>
    </w:p>
    <w:p>
      <w:pPr>
        <w:spacing w:after="0" w:line="69" w:lineRule="exact"/>
        <w:rPr>
          <w:sz w:val="20"/>
          <w:szCs w:val="20"/>
          <w:color w:val="auto"/>
        </w:rPr>
      </w:pPr>
    </w:p>
    <w:p>
      <w:pPr>
        <w:ind w:left="8" w:right="240"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If vesting of the Non-Exempt Award accelerates under the terms of a Non-Exempt Severance Arrangement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w:t>
      </w:r>
    </w:p>
    <w:p>
      <w:pPr>
        <w:spacing w:after="0" w:line="1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648"/>
          </w:cols>
          <w:pgMar w:left="612" w:top="264" w:right="639" w:bottom="1440" w:gutter="0" w:footer="0" w:header="0"/>
        </w:sectPr>
      </w:pPr>
    </w:p>
    <w:bookmarkStart w:id="403" w:name="page404"/>
    <w:bookmarkEnd w:id="403"/>
    <w:p>
      <w:pPr>
        <w:ind w:left="8" w:right="60"/>
        <w:spacing w:after="0" w:line="23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Arrangement, but in no event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7"/>
          <w:szCs w:val="17"/>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91" w:lineRule="exact"/>
        <w:rPr>
          <w:sz w:val="20"/>
          <w:szCs w:val="20"/>
          <w:color w:val="auto"/>
        </w:rPr>
      </w:pPr>
    </w:p>
    <w:p>
      <w:pPr>
        <w:ind w:left="8" w:right="80" w:firstLine="960"/>
        <w:spacing w:after="0" w:line="263"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If vesting of a Non-Exempt Award accelerates under the terms of a Non-Exempt Severance Arrangement in connection with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7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Treatment of Non-Exempt Awards Upon a Corporate Transaction for Employees and Consultants. </w:t>
      </w:r>
      <w:r>
        <w:rPr>
          <w:rFonts w:ascii="Times New Roman" w:cs="Times New Roman" w:eastAsia="Times New Roman" w:hAnsi="Times New Roman"/>
          <w:sz w:val="17"/>
          <w:szCs w:val="17"/>
          <w:color w:val="auto"/>
        </w:rPr>
        <w:t>The provisions of this subsection</w:t>
      </w:r>
    </w:p>
    <w:p>
      <w:pPr>
        <w:spacing w:after="0" w:line="34" w:lineRule="exact"/>
        <w:rPr>
          <w:sz w:val="20"/>
          <w:szCs w:val="20"/>
          <w:color w:val="auto"/>
        </w:rPr>
      </w:pPr>
    </w:p>
    <w:p>
      <w:pPr>
        <w:ind w:left="8" w:right="180" w:hanging="8"/>
        <w:spacing w:after="0" w:line="265" w:lineRule="auto"/>
        <w:tabs>
          <w:tab w:leader="none" w:pos="24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69"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Vested Non-Exempt Awards. </w:t>
      </w:r>
      <w:r>
        <w:rPr>
          <w:rFonts w:ascii="Times New Roman" w:cs="Times New Roman" w:eastAsia="Times New Roman" w:hAnsi="Times New Roman"/>
          <w:sz w:val="17"/>
          <w:szCs w:val="17"/>
          <w:color w:val="auto"/>
        </w:rPr>
        <w:t>The following provisions shall apply to any Vested Non-Exempt Award in connection with a</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Corporate Transaction:</w:t>
      </w:r>
    </w:p>
    <w:p>
      <w:pPr>
        <w:spacing w:after="0" w:line="98" w:lineRule="exact"/>
        <w:rPr>
          <w:sz w:val="20"/>
          <w:szCs w:val="20"/>
          <w:color w:val="auto"/>
        </w:rPr>
      </w:pPr>
    </w:p>
    <w:p>
      <w:pPr>
        <w:ind w:left="8" w:firstLine="1386"/>
        <w:spacing w:after="0" w:line="267" w:lineRule="auto"/>
        <w:rPr>
          <w:sz w:val="20"/>
          <w:szCs w:val="20"/>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If the Corporate Transaction is also a Section 409A Change in Control then the Acquiring Entity may not assume, continue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67" w:lineRule="exact"/>
        <w:rPr>
          <w:sz w:val="20"/>
          <w:szCs w:val="20"/>
          <w:color w:val="auto"/>
        </w:rPr>
      </w:pPr>
    </w:p>
    <w:p>
      <w:pPr>
        <w:ind w:left="8" w:right="140" w:firstLine="1386"/>
        <w:spacing w:after="0" w:line="264" w:lineRule="auto"/>
        <w:rPr>
          <w:sz w:val="20"/>
          <w:szCs w:val="20"/>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If the Corporate Transaction is not also a Section 409A Change in Control, then the Acquiring Entity must either assume,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48"/>
          </w:cols>
          <w:pgMar w:left="612" w:top="264" w:right="639" w:bottom="1440" w:gutter="0" w:footer="0" w:header="0"/>
        </w:sectPr>
      </w:pPr>
    </w:p>
    <w:bookmarkStart w:id="404" w:name="page405"/>
    <w:bookmarkEnd w:id="404"/>
    <w:p>
      <w:pPr>
        <w:ind w:right="56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Unvested Non-Exempt Awards. </w:t>
      </w:r>
      <w:r>
        <w:rPr>
          <w:rFonts w:ascii="Times New Roman" w:cs="Times New Roman" w:eastAsia="Times New Roman" w:hAnsi="Times New Roman"/>
          <w:sz w:val="17"/>
          <w:szCs w:val="17"/>
          <w:color w:val="auto"/>
        </w:rPr>
        <w:t>The following provisions shall apply to any Unvested Non-Exempt Award unless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pursuant to subsection (e) of this Section.</w:t>
      </w:r>
    </w:p>
    <w:p>
      <w:pPr>
        <w:spacing w:after="0" w:line="142" w:lineRule="exact"/>
        <w:rPr>
          <w:sz w:val="20"/>
          <w:szCs w:val="20"/>
          <w:color w:val="auto"/>
        </w:rPr>
      </w:pPr>
    </w:p>
    <w:p>
      <w:pPr>
        <w:ind w:right="100" w:firstLine="1386"/>
        <w:spacing w:after="0" w:line="263" w:lineRule="auto"/>
        <w:rPr>
          <w:sz w:val="20"/>
          <w:szCs w:val="20"/>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In the event of a Corporate Transaction, the Acquiring Entity shall assume, continue or substitute any Unvested Non-Exempt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73" w:lineRule="exact"/>
        <w:rPr>
          <w:sz w:val="20"/>
          <w:szCs w:val="20"/>
          <w:color w:val="auto"/>
        </w:rPr>
      </w:pPr>
    </w:p>
    <w:p>
      <w:pPr>
        <w:ind w:firstLine="1386"/>
        <w:spacing w:after="0" w:line="262" w:lineRule="auto"/>
        <w:rPr>
          <w:sz w:val="20"/>
          <w:szCs w:val="20"/>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If the Acquiring Entity will not assume, substitute or continue any Unvested Non-Exempt Award in connection with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75" w:lineRule="exact"/>
        <w:rPr>
          <w:sz w:val="20"/>
          <w:szCs w:val="20"/>
          <w:color w:val="auto"/>
        </w:rPr>
      </w:pPr>
    </w:p>
    <w:p>
      <w:pPr>
        <w:ind w:right="300" w:firstLine="1386"/>
        <w:spacing w:after="0" w:line="298" w:lineRule="auto"/>
        <w:rPr>
          <w:sz w:val="20"/>
          <w:szCs w:val="20"/>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The foregoing treatment shall apply with respect to all Unvested Non-Exempt Awards upon any Corporate Transaction,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regardless of whether or not such Corporate Transaction is also a Section 409A Change in Control.</w:t>
      </w:r>
    </w:p>
    <w:p>
      <w:pPr>
        <w:spacing w:after="0" w:line="142" w:lineRule="exact"/>
        <w:rPr>
          <w:sz w:val="20"/>
          <w:szCs w:val="20"/>
          <w:color w:val="auto"/>
        </w:rPr>
      </w:pPr>
    </w:p>
    <w:p>
      <w:pPr>
        <w:jc w:val="both"/>
        <w:ind w:right="46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Treatment of Non-Exempt Awards Upon a Corporate Transaction for Non-Employee Directors. </w:t>
      </w:r>
      <w:r>
        <w:rPr>
          <w:rFonts w:ascii="Times New Roman" w:cs="Times New Roman" w:eastAsia="Times New Roman" w:hAnsi="Times New Roman"/>
          <w:sz w:val="17"/>
          <w:szCs w:val="17"/>
          <w:color w:val="auto"/>
        </w:rPr>
        <w:t>The following provisions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60" w:lineRule="exact"/>
        <w:rPr>
          <w:sz w:val="20"/>
          <w:szCs w:val="20"/>
          <w:color w:val="auto"/>
        </w:rPr>
      </w:pPr>
    </w:p>
    <w:p>
      <w:pPr>
        <w:ind w:right="200" w:firstLine="960"/>
        <w:spacing w:after="0" w:line="267"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If the Corporate Transaction is also a Section 409A Change in Control then the Acquiring Entity may not assume, continue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660"/>
          </w:cols>
          <w:pgMar w:left="620" w:top="263" w:right="619" w:bottom="1440" w:gutter="0" w:footer="0" w:header="0"/>
        </w:sectPr>
      </w:pPr>
    </w:p>
    <w:bookmarkStart w:id="405" w:name="page406"/>
    <w:bookmarkEnd w:id="405"/>
    <w:p>
      <w:pPr>
        <w:ind w:right="20" w:firstLine="960"/>
        <w:spacing w:after="0" w:line="26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(ii)</w:t>
      </w:r>
      <w:r>
        <w:rPr>
          <w:rFonts w:ascii="Times New Roman" w:cs="Times New Roman" w:eastAsia="Times New Roman" w:hAnsi="Times New Roman"/>
          <w:sz w:val="17"/>
          <w:szCs w:val="17"/>
          <w:color w:val="auto"/>
        </w:rPr>
        <w:t xml:space="preserve">  If the Corporate Transaction is not also a Section 409A Change in Control, then the Acquiring Entity must either assume, continue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73" w:lineRule="exact"/>
        <w:rPr>
          <w:sz w:val="20"/>
          <w:szCs w:val="20"/>
          <w:color w:val="auto"/>
        </w:rPr>
      </w:pPr>
    </w:p>
    <w:p>
      <w:pPr>
        <w:ind w:right="16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If the RSU Award is a Non-Exempt Award, then the provisions in this Section 11(e) shall apply and supersede anything to the contrary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set forth in the Plan or the Award Agreement with respect to the permitted treatment of such Non-Exempt Award:</w:t>
      </w:r>
    </w:p>
    <w:p>
      <w:pPr>
        <w:spacing w:after="0" w:line="37" w:lineRule="exact"/>
        <w:rPr>
          <w:sz w:val="20"/>
          <w:szCs w:val="20"/>
          <w:color w:val="auto"/>
        </w:rPr>
      </w:pPr>
    </w:p>
    <w:p>
      <w:pPr>
        <w:ind w:right="22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Any exercise by the Board of discretion to accelerate the vesting of a Non-Exempt Award shall not result in any acceleration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scheduled issuance dates for the shares in respect of the Non-Exempt Award unless earlier issuance of the shares upon the applicable vesting dates would be in compliance with the requirements of Section 409A.</w:t>
      </w:r>
    </w:p>
    <w:p>
      <w:pPr>
        <w:spacing w:after="0" w:line="160" w:lineRule="exact"/>
        <w:rPr>
          <w:sz w:val="20"/>
          <w:szCs w:val="20"/>
          <w:color w:val="auto"/>
        </w:rPr>
      </w:pPr>
    </w:p>
    <w:p>
      <w:pPr>
        <w:ind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The Company explicitly reserves the right to earlier settle any Non-Exempt Award to the extent permitted and in compliance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of Section 409A, including pursuant to any of the exemptions available in Treasury Regulations Section 1.409A-3(j)(4)(ix).</w:t>
      </w:r>
    </w:p>
    <w:p>
      <w:pPr>
        <w:spacing w:after="0" w:line="142" w:lineRule="exact"/>
        <w:rPr>
          <w:sz w:val="20"/>
          <w:szCs w:val="20"/>
          <w:color w:val="auto"/>
        </w:rPr>
      </w:pPr>
    </w:p>
    <w:p>
      <w:pPr>
        <w:ind w:firstLine="960"/>
        <w:spacing w:after="0" w:line="262"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To the extent the terms of any Non-Exempt Award provide that it will be settled upon a Change in Control or Corporate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75" w:lineRule="exact"/>
        <w:rPr>
          <w:sz w:val="20"/>
          <w:szCs w:val="20"/>
          <w:color w:val="auto"/>
        </w:rPr>
      </w:pPr>
    </w:p>
    <w:p>
      <w:pPr>
        <w:ind w:right="6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The provisions in this subsection (e) for delivery of the shares in respect of the settlement of an RSU Award that is a Non-Exempt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640"/>
          </w:cols>
          <w:pgMar w:left="620" w:top="263" w:right="639" w:bottom="1440" w:gutter="0" w:footer="0" w:header="0"/>
        </w:sectPr>
      </w:pPr>
    </w:p>
    <w:bookmarkStart w:id="406" w:name="page407"/>
    <w:bookmarkEnd w:id="406"/>
    <w:p>
      <w:pPr>
        <w:ind w:left="428" w:hanging="428"/>
        <w:spacing w:after="0"/>
        <w:tabs>
          <w:tab w:leader="none" w:pos="428" w:val="left"/>
        </w:tabs>
        <w:numPr>
          <w:ilvl w:val="0"/>
          <w:numId w:val="1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8" w:firstLine="426"/>
        <w:spacing w:after="0" w:line="269" w:lineRule="auto"/>
        <w:rPr>
          <w:sz w:val="20"/>
          <w:szCs w:val="20"/>
          <w:color w:val="auto"/>
        </w:rPr>
      </w:pPr>
      <w:r>
        <w:rPr>
          <w:rFonts w:ascii="Times New Roman" w:cs="Times New Roman" w:eastAsia="Times New Roman" w:hAnsi="Times New Roman"/>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311" w:lineRule="exact"/>
        <w:rPr>
          <w:sz w:val="20"/>
          <w:szCs w:val="20"/>
          <w:color w:val="auto"/>
        </w:rPr>
      </w:pPr>
    </w:p>
    <w:p>
      <w:pPr>
        <w:ind w:left="428" w:hanging="428"/>
        <w:spacing w:after="0"/>
        <w:tabs>
          <w:tab w:leader="none" w:pos="428" w:val="left"/>
        </w:tabs>
        <w:numPr>
          <w:ilvl w:val="0"/>
          <w:numId w:val="1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The Board may suspend or terminate the Plan at any time. No Incentive Stock Options may be granted after the tenth anniversary of the earlier of:</w:t>
      </w:r>
    </w:p>
    <w:p>
      <w:pPr>
        <w:spacing w:after="0" w:line="32" w:lineRule="exact"/>
        <w:rPr>
          <w:sz w:val="20"/>
          <w:szCs w:val="20"/>
          <w:color w:val="auto"/>
        </w:rPr>
      </w:pPr>
    </w:p>
    <w:p>
      <w:pPr>
        <w:ind w:left="8" w:right="120" w:hanging="8"/>
        <w:spacing w:after="0" w:line="273" w:lineRule="auto"/>
        <w:tabs>
          <w:tab w:leader="none" w:pos="216"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Date, or (ii) the date the Plan is approved by the Company’s stockholders. No Awards may be granted under the Plan while the Plan is suspended or after it is terminated.</w:t>
      </w:r>
    </w:p>
    <w:p>
      <w:pPr>
        <w:spacing w:after="0" w:line="9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628"/>
          </w:cols>
          <w:pgMar w:left="612" w:top="263" w:right="659" w:bottom="1440" w:gutter="0" w:footer="0" w:header="0"/>
        </w:sectPr>
      </w:pPr>
    </w:p>
    <w:bookmarkStart w:id="407" w:name="page408"/>
    <w:bookmarkEnd w:id="407"/>
    <w:p>
      <w:pPr>
        <w:ind w:left="428" w:hanging="428"/>
        <w:spacing w:after="0"/>
        <w:tabs>
          <w:tab w:leader="none" w:pos="428" w:val="left"/>
        </w:tabs>
        <w:numPr>
          <w:ilvl w:val="0"/>
          <w:numId w:val="1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As used in the Plan, the following definitions apply to the capitalized terms indicated below:</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Acquiring Entity</w:t>
      </w:r>
      <w:r>
        <w:rPr>
          <w:rFonts w:ascii="Times New Roman" w:cs="Times New Roman" w:eastAsia="Times New Roman" w:hAnsi="Times New Roman"/>
          <w:sz w:val="17"/>
          <w:szCs w:val="17"/>
          <w:color w:val="auto"/>
        </w:rPr>
        <w:t>” means the surviving or acquiring corporation (or its parent company) in connection with a Corporate Transaction.</w:t>
      </w:r>
    </w:p>
    <w:p>
      <w:pPr>
        <w:spacing w:after="0" w:line="2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Adoption Date</w:t>
      </w:r>
      <w:r>
        <w:rPr>
          <w:rFonts w:ascii="Times New Roman" w:cs="Times New Roman" w:eastAsia="Times New Roman" w:hAnsi="Times New Roman"/>
          <w:sz w:val="17"/>
          <w:szCs w:val="17"/>
          <w:color w:val="auto"/>
        </w:rPr>
        <w:t>” means the date the Plan is first approved by the Board or Compensation Committee.</w:t>
      </w:r>
    </w:p>
    <w:p>
      <w:pPr>
        <w:spacing w:after="0" w:line="223" w:lineRule="exact"/>
        <w:rPr>
          <w:sz w:val="20"/>
          <w:szCs w:val="20"/>
          <w:color w:val="auto"/>
        </w:rPr>
      </w:pPr>
    </w:p>
    <w:p>
      <w:pPr>
        <w:ind w:left="8" w:right="340" w:firstLine="426"/>
        <w:spacing w:after="0" w:line="278"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at the time of determination, any “parent” or “subsidiary” of the Company as such terms are defined in Rule 405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promulgated under the Securities Act. The Board may determine the time or times at which “parent” or “subsidiary” status is determined within the foregoing definition.</w:t>
      </w:r>
    </w:p>
    <w:p>
      <w:pPr>
        <w:spacing w:after="0" w:line="157" w:lineRule="exact"/>
        <w:rPr>
          <w:sz w:val="20"/>
          <w:szCs w:val="20"/>
          <w:color w:val="auto"/>
        </w:rPr>
      </w:pPr>
    </w:p>
    <w:p>
      <w:pPr>
        <w:ind w:left="8" w:firstLine="426"/>
        <w:spacing w:after="0" w:line="269"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Applicable Law</w:t>
      </w:r>
      <w:r>
        <w:rPr>
          <w:rFonts w:ascii="Times New Roman" w:cs="Times New Roman" w:eastAsia="Times New Roman" w:hAnsi="Times New Roman"/>
          <w:sz w:val="17"/>
          <w:szCs w:val="17"/>
          <w:color w:val="auto"/>
        </w:rPr>
        <w:t>” means any applicable securities, federal, state, foreign, material local or municipal or other law, statute, constitution,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378" w:lineRule="exact"/>
        <w:rPr>
          <w:sz w:val="20"/>
          <w:szCs w:val="20"/>
          <w:color w:val="auto"/>
        </w:rPr>
      </w:pPr>
    </w:p>
    <w:p>
      <w:pPr>
        <w:ind w:left="8" w:right="18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Award</w:t>
      </w:r>
      <w:r>
        <w:rPr>
          <w:rFonts w:ascii="Times New Roman" w:cs="Times New Roman" w:eastAsia="Times New Roman" w:hAnsi="Times New Roman"/>
          <w:sz w:val="17"/>
          <w:szCs w:val="17"/>
          <w:color w:val="auto"/>
        </w:rPr>
        <w:t>” means any right to receive Common Stock, cash or other property granted under the Plan (including an Incentive Stock Option,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Nonstatutory Stock Option, a Restricted Stock Award, an RSU Award, a SAR, a Performance Award or any Other Award).</w:t>
      </w:r>
    </w:p>
    <w:p>
      <w:pPr>
        <w:spacing w:after="0" w:line="139" w:lineRule="exact"/>
        <w:rPr>
          <w:sz w:val="20"/>
          <w:szCs w:val="20"/>
          <w:color w:val="auto"/>
        </w:rPr>
      </w:pPr>
    </w:p>
    <w:p>
      <w:pPr>
        <w:ind w:left="8" w:right="20" w:firstLine="426"/>
        <w:spacing w:after="0" w:line="278" w:lineRule="auto"/>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means a written or electronic agreement between the Company and a Participant evidencing the terms and conditions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57" w:lineRule="exact"/>
        <w:rPr>
          <w:sz w:val="20"/>
          <w:szCs w:val="20"/>
          <w:color w:val="auto"/>
        </w:rPr>
      </w:pPr>
    </w:p>
    <w:p>
      <w:pPr>
        <w:ind w:left="8" w:right="60" w:firstLine="426"/>
        <w:spacing w:after="0" w:line="278" w:lineRule="auto"/>
        <w:rPr>
          <w:sz w:val="20"/>
          <w:szCs w:val="20"/>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 (or its designee). Any decision or determination made by the Board shall be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decision or determination that is made in the sole discretion of the Board (or its designee), and such decision or determination shall be final and binding on all Participants.</w:t>
      </w:r>
    </w:p>
    <w:p>
      <w:pPr>
        <w:spacing w:after="0" w:line="157" w:lineRule="exact"/>
        <w:rPr>
          <w:sz w:val="20"/>
          <w:szCs w:val="20"/>
          <w:color w:val="auto"/>
        </w:rPr>
      </w:pPr>
    </w:p>
    <w:p>
      <w:pPr>
        <w:ind w:left="8" w:right="60" w:firstLine="426"/>
        <w:spacing w:after="0" w:line="264" w:lineRule="auto"/>
        <w:rPr>
          <w:sz w:val="20"/>
          <w:szCs w:val="20"/>
          <w:color w:val="auto"/>
        </w:rPr>
      </w:pP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06"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28"/>
          </w:cols>
          <w:pgMar w:left="612" w:top="262" w:right="659" w:bottom="1440" w:gutter="0" w:footer="0" w:header="0"/>
        </w:sectPr>
      </w:pPr>
    </w:p>
    <w:bookmarkStart w:id="408" w:name="page409"/>
    <w:bookmarkEnd w:id="408"/>
    <w:p>
      <w:pPr>
        <w:ind w:firstLine="426"/>
        <w:spacing w:after="0" w:line="260"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has the meaning ascribed to such term in any written agreement between a Participant and the Company defining such term and,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4" w:lineRule="exact"/>
        <w:rPr>
          <w:sz w:val="20"/>
          <w:szCs w:val="20"/>
          <w:color w:val="auto"/>
        </w:rPr>
      </w:pPr>
    </w:p>
    <w:p>
      <w:pPr>
        <w:ind w:right="14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Change in Control</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Change of Control</w:t>
      </w:r>
      <w:r>
        <w:rPr>
          <w:rFonts w:ascii="Times New Roman" w:cs="Times New Roman" w:eastAsia="Times New Roman" w:hAnsi="Times New Roman"/>
          <w:sz w:val="17"/>
          <w:szCs w:val="17"/>
          <w:color w:val="auto"/>
        </w:rPr>
        <w:t>” means the occurrence, in a single transaction or in a series of related transactions, of any 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more of the following events:</w:t>
      </w:r>
    </w:p>
    <w:p>
      <w:pPr>
        <w:spacing w:after="0" w:line="36" w:lineRule="exact"/>
        <w:rPr>
          <w:sz w:val="20"/>
          <w:szCs w:val="20"/>
          <w:color w:val="auto"/>
        </w:rPr>
      </w:pPr>
    </w:p>
    <w:p>
      <w:pPr>
        <w:ind w:firstLine="960"/>
        <w:spacing w:after="0" w:line="260"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any Exchange Act Person becomes the Owner, directly or indirectly, of securities of the Company representing more than 50%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7"/>
          <w:szCs w:val="17"/>
          <w:i w:val="1"/>
          <w:iCs w:val="1"/>
          <w:color w:val="auto"/>
        </w:rPr>
        <w:t>Subject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640"/>
          </w:cols>
          <w:pgMar w:left="620" w:top="261" w:right="639" w:bottom="1440" w:gutter="0" w:footer="0" w:header="0"/>
        </w:sectPr>
      </w:pPr>
    </w:p>
    <w:bookmarkStart w:id="409" w:name="page410"/>
    <w:bookmarkEnd w:id="409"/>
    <w:p>
      <w:pPr>
        <w:ind w:right="40" w:firstLine="960"/>
        <w:spacing w:after="0" w:line="264"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(ii)</w:t>
      </w:r>
      <w:r>
        <w:rPr>
          <w:rFonts w:ascii="Times New Roman" w:cs="Times New Roman" w:eastAsia="Times New Roman" w:hAnsi="Times New Roman"/>
          <w:sz w:val="17"/>
          <w:szCs w:val="17"/>
          <w:color w:val="auto"/>
        </w:rPr>
        <w:t xml:space="preserve">  there is consummated a merger, consolidation or similar transaction involving (directly or indirectly) the Company and, immediately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73" w:lineRule="exact"/>
        <w:rPr>
          <w:sz w:val="20"/>
          <w:szCs w:val="20"/>
          <w:color w:val="auto"/>
        </w:rPr>
      </w:pPr>
    </w:p>
    <w:p>
      <w:pPr>
        <w:ind w:right="140" w:firstLine="960"/>
        <w:spacing w:after="0" w:line="267"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there is consummated a sale, lease, exclusive license or other disposition of all or substantially all of the consolidated assets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65" w:lineRule="exact"/>
        <w:rPr>
          <w:sz w:val="20"/>
          <w:szCs w:val="20"/>
          <w:color w:val="auto"/>
        </w:rPr>
      </w:pPr>
    </w:p>
    <w:p>
      <w:pPr>
        <w:ind w:right="120" w:firstLine="960"/>
        <w:spacing w:after="0" w:line="271" w:lineRule="auto"/>
        <w:rPr>
          <w:sz w:val="20"/>
          <w:szCs w:val="20"/>
          <w:color w:val="auto"/>
        </w:rPr>
      </w:pP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individuals who, on the date the Plan is adopted by the Board, are members of the Board (the “</w:t>
      </w:r>
      <w:r>
        <w:rPr>
          <w:rFonts w:ascii="Times New Roman" w:cs="Times New Roman" w:eastAsia="Times New Roman" w:hAnsi="Times New Roman"/>
          <w:sz w:val="17"/>
          <w:szCs w:val="17"/>
          <w:b w:val="1"/>
          <w:bCs w:val="1"/>
          <w:i w:val="1"/>
          <w:iCs w:val="1"/>
          <w:color w:val="auto"/>
        </w:rPr>
        <w:t>Incumbent Board</w:t>
      </w:r>
      <w:r>
        <w:rPr>
          <w:rFonts w:ascii="Times New Roman" w:cs="Times New Roman" w:eastAsia="Times New Roman" w:hAnsi="Times New Roman"/>
          <w:sz w:val="17"/>
          <w:szCs w:val="17"/>
          <w:color w:val="auto"/>
        </w:rPr>
        <w:t>”) cease for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67" w:lineRule="exact"/>
        <w:rPr>
          <w:sz w:val="20"/>
          <w:szCs w:val="20"/>
          <w:color w:val="auto"/>
        </w:rPr>
      </w:pPr>
    </w:p>
    <w:p>
      <w:pPr>
        <w:ind w:right="20" w:firstLine="426"/>
        <w:spacing w:after="0" w:line="263" w:lineRule="auto"/>
        <w:rPr>
          <w:sz w:val="20"/>
          <w:szCs w:val="20"/>
          <w:color w:val="auto"/>
        </w:rPr>
      </w:pPr>
      <w:r>
        <w:rPr>
          <w:rFonts w:ascii="Times New Roman" w:cs="Times New Roman" w:eastAsia="Times New Roman" w:hAnsi="Times New Roman"/>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including any applicable regulations and guidance thereunder.</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Combined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common stock of the Company of all classes.</w:t>
      </w:r>
    </w:p>
    <w:p>
      <w:pPr>
        <w:spacing w:after="0" w:line="223" w:lineRule="exact"/>
        <w:rPr>
          <w:sz w:val="20"/>
          <w:szCs w:val="20"/>
          <w:color w:val="auto"/>
        </w:rPr>
      </w:pPr>
    </w:p>
    <w:p>
      <w:pPr>
        <w:ind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means the Compensation Committee and any other committee of one or more Directors to whom authority has been delegated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Board or Compensation Committee in accordance with the Plan.</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620"/>
          </w:cols>
          <w:pgMar w:left="620" w:top="263" w:right="659" w:bottom="1440" w:gutter="0" w:footer="0" w:header="0"/>
        </w:sectPr>
      </w:pPr>
    </w:p>
    <w:bookmarkStart w:id="410" w:name="page411"/>
    <w:bookmarkEnd w:id="410"/>
    <w:p>
      <w:pPr>
        <w:ind w:left="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Class A common stock of the Company.</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Tempus AI, Inc., a Delaware corporation.</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Compensation Committee</w:t>
      </w:r>
      <w:r>
        <w:rPr>
          <w:rFonts w:ascii="Times New Roman" w:cs="Times New Roman" w:eastAsia="Times New Roman" w:hAnsi="Times New Roman"/>
          <w:sz w:val="17"/>
          <w:szCs w:val="17"/>
          <w:color w:val="auto"/>
        </w:rPr>
        <w:t>” means the Compensation Committee of the Board.</w:t>
      </w:r>
    </w:p>
    <w:p>
      <w:pPr>
        <w:spacing w:after="0" w:line="223" w:lineRule="exact"/>
        <w:rPr>
          <w:sz w:val="20"/>
          <w:szCs w:val="20"/>
          <w:color w:val="auto"/>
        </w:rPr>
      </w:pPr>
    </w:p>
    <w:p>
      <w:pPr>
        <w:ind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 means any person, including an advisor, who is (i) engaged by the Company or an Affiliate to render consulting or advisory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67" w:lineRule="exact"/>
        <w:rPr>
          <w:sz w:val="20"/>
          <w:szCs w:val="20"/>
          <w:color w:val="auto"/>
        </w:rPr>
      </w:pPr>
    </w:p>
    <w:p>
      <w:pPr>
        <w:ind w:right="20" w:firstLine="426"/>
        <w:spacing w:after="0" w:line="259" w:lineRule="auto"/>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Continuous Service</w:t>
      </w:r>
      <w:r>
        <w:rPr>
          <w:rFonts w:ascii="Times New Roman" w:cs="Times New Roman" w:eastAsia="Times New Roman" w:hAnsi="Times New Roman"/>
          <w:sz w:val="17"/>
          <w:szCs w:val="17"/>
          <w:color w:val="auto"/>
        </w:rPr>
        <w:t>” means that the Participant’s service with the Company or an Affiliate, whether as an Employee, Director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1" w:lineRule="exact"/>
        <w:rPr>
          <w:sz w:val="20"/>
          <w:szCs w:val="20"/>
          <w:color w:val="auto"/>
        </w:rPr>
      </w:pPr>
    </w:p>
    <w:p>
      <w:pPr>
        <w:ind w:right="22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means the consummation, in a single transaction or in a series of related transactions, of any one or more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events:</w:t>
      </w:r>
    </w:p>
    <w:p>
      <w:pPr>
        <w:spacing w:after="0" w:line="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a sale or other disposition of all or substantially all, as determined by the Board, of the consolidated assets of the Company and its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w:t>
      </w:r>
    </w:p>
    <w:p>
      <w:pPr>
        <w:spacing w:after="0" w:line="20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a sale or other disposition of at least 50% of the outstanding securities of the Company;</w:t>
      </w:r>
    </w:p>
    <w:p>
      <w:pPr>
        <w:spacing w:after="0" w:line="1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580"/>
          </w:cols>
          <w:pgMar w:left="620" w:top="261" w:right="699" w:bottom="1440" w:gutter="0" w:footer="0" w:header="0"/>
        </w:sectPr>
      </w:pPr>
    </w:p>
    <w:bookmarkStart w:id="411" w:name="page412"/>
    <w:bookmarkEnd w:id="411"/>
    <w:p>
      <w:pPr>
        <w:ind w:left="9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(iii)</w:t>
      </w:r>
      <w:r>
        <w:rPr>
          <w:rFonts w:ascii="Times New Roman" w:cs="Times New Roman" w:eastAsia="Times New Roman" w:hAnsi="Times New Roman"/>
          <w:sz w:val="17"/>
          <w:szCs w:val="17"/>
          <w:color w:val="auto"/>
        </w:rPr>
        <w:t xml:space="preserve">   a merger, consolidation or similar transaction following which the Company is not the surviving corporation; or</w:t>
      </w:r>
    </w:p>
    <w:p>
      <w:pPr>
        <w:spacing w:after="0" w:line="223" w:lineRule="exact"/>
        <w:rPr>
          <w:sz w:val="20"/>
          <w:szCs w:val="20"/>
          <w:color w:val="auto"/>
        </w:rPr>
      </w:pPr>
    </w:p>
    <w:p>
      <w:pPr>
        <w:ind w:right="12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a merger, consolidation or similar transaction following which the Company is the surviving corporation but the shares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2"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color w:val="auto"/>
        </w:rPr>
        <w:t>” means a member of the Board.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determine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determined</w:t>
      </w:r>
      <w:r>
        <w:rPr>
          <w:rFonts w:ascii="Times New Roman" w:cs="Times New Roman" w:eastAsia="Times New Roman" w:hAnsi="Times New Roman"/>
          <w:sz w:val="17"/>
          <w:szCs w:val="17"/>
          <w:color w:val="auto"/>
        </w:rPr>
        <w:t>” means as determined by the Board or the Committee (or its designee) in its sole discretion.</w:t>
      </w:r>
    </w:p>
    <w:p>
      <w:pPr>
        <w:spacing w:after="0" w:line="223" w:lineRule="exact"/>
        <w:rPr>
          <w:sz w:val="20"/>
          <w:szCs w:val="20"/>
          <w:color w:val="auto"/>
        </w:rPr>
      </w:pPr>
    </w:p>
    <w:p>
      <w:pPr>
        <w:ind w:right="360" w:firstLine="426"/>
        <w:spacing w:after="0" w:line="271" w:lineRule="auto"/>
        <w:rPr>
          <w:sz w:val="20"/>
          <w:szCs w:val="20"/>
          <w:color w:val="auto"/>
        </w:rPr>
      </w:pP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with respect to a Participant, such Participant is unable to engage in any substantial gainful activity by reason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63" w:lineRule="exact"/>
        <w:rPr>
          <w:sz w:val="20"/>
          <w:szCs w:val="20"/>
          <w:color w:val="auto"/>
        </w:rPr>
      </w:pPr>
    </w:p>
    <w:p>
      <w:pPr>
        <w:ind w:right="18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color w:val="auto"/>
        </w:rPr>
        <w:t>” means immediately prior to the IPO Date, provided that this Plan is approved by the Company’s stockholders prior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IPO Date.</w:t>
      </w:r>
    </w:p>
    <w:p>
      <w:pPr>
        <w:spacing w:after="0" w:line="139" w:lineRule="exact"/>
        <w:rPr>
          <w:sz w:val="20"/>
          <w:szCs w:val="20"/>
          <w:color w:val="auto"/>
        </w:rPr>
      </w:pPr>
    </w:p>
    <w:p>
      <w:pPr>
        <w:ind w:right="2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person employed by the Company or an Affiliate. However, service solely as a Director, or payment of a fee for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will not cause a Director to be considered an “Employee” for purposes of the Plan.</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Employer</w:t>
      </w:r>
      <w:r>
        <w:rPr>
          <w:rFonts w:ascii="Times New Roman" w:cs="Times New Roman" w:eastAsia="Times New Roman" w:hAnsi="Times New Roman"/>
          <w:sz w:val="17"/>
          <w:szCs w:val="17"/>
          <w:color w:val="auto"/>
        </w:rPr>
        <w:t>” means the Company or the Affiliate of the Company that employs the Participant.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(z)</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Entity</w:t>
      </w:r>
      <w:r>
        <w:rPr>
          <w:rFonts w:ascii="Times New Roman" w:cs="Times New Roman" w:eastAsia="Times New Roman" w:hAnsi="Times New Roman"/>
          <w:sz w:val="17"/>
          <w:szCs w:val="17"/>
          <w:color w:val="auto"/>
        </w:rPr>
        <w:t>” means a corporation, partnership, limited liability company or other entity.</w:t>
      </w:r>
    </w:p>
    <w:p>
      <w:pPr>
        <w:spacing w:after="0" w:line="223" w:lineRule="exact"/>
        <w:rPr>
          <w:sz w:val="20"/>
          <w:szCs w:val="20"/>
          <w:color w:val="auto"/>
        </w:rPr>
      </w:pPr>
    </w:p>
    <w:p>
      <w:pPr>
        <w:jc w:val="center"/>
        <w:ind w:right="380"/>
        <w:spacing w:after="0" w:line="358" w:lineRule="auto"/>
        <w:rPr>
          <w:sz w:val="20"/>
          <w:szCs w:val="20"/>
          <w:color w:val="auto"/>
        </w:rPr>
      </w:pPr>
      <w:r>
        <w:rPr>
          <w:rFonts w:ascii="Times New Roman" w:cs="Times New Roman" w:eastAsia="Times New Roman" w:hAnsi="Times New Roman"/>
          <w:sz w:val="17"/>
          <w:szCs w:val="17"/>
          <w:b w:val="1"/>
          <w:bCs w:val="1"/>
          <w:color w:val="auto"/>
        </w:rPr>
        <w:t>(aa)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27</w:t>
      </w:r>
    </w:p>
    <w:p>
      <w:pPr>
        <w:sectPr>
          <w:pgSz w:w="11900" w:h="16838" w:orient="portrait"/>
          <w:cols w:equalWidth="0" w:num="1">
            <w:col w:w="10660"/>
          </w:cols>
          <w:pgMar w:left="620" w:top="262" w:right="619" w:bottom="1440" w:gutter="0" w:footer="0" w:header="0"/>
        </w:sectPr>
      </w:pPr>
    </w:p>
    <w:bookmarkStart w:id="412" w:name="page413"/>
    <w:bookmarkEnd w:id="412"/>
    <w:p>
      <w:pPr>
        <w:ind w:right="20" w:firstLine="426"/>
        <w:spacing w:after="0" w:line="26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Exchange Act Person</w:t>
      </w:r>
      <w:r>
        <w:rPr>
          <w:rFonts w:ascii="Times New Roman" w:cs="Times New Roman" w:eastAsia="Times New Roman" w:hAnsi="Times New Roman"/>
          <w:sz w:val="17"/>
          <w:szCs w:val="17"/>
          <w:color w:val="auto"/>
        </w:rPr>
        <w:t>” means any natural person, Entity or “group” (within the meaning of Section 13(d) or 14(d) of the Exchange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382" w:lineRule="exact"/>
        <w:rPr>
          <w:sz w:val="20"/>
          <w:szCs w:val="20"/>
          <w:color w:val="auto"/>
        </w:rPr>
      </w:pPr>
    </w:p>
    <w:p>
      <w:pPr>
        <w:ind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(cc)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means, as of any date, unless otherwise determined by the Board, the value of the Common Stock (as determined on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 share or aggregate basis, as applicable) determined as follows:</w:t>
      </w:r>
    </w:p>
    <w:p>
      <w:pPr>
        <w:spacing w:after="0" w:line="36" w:lineRule="exact"/>
        <w:rPr>
          <w:sz w:val="20"/>
          <w:szCs w:val="20"/>
          <w:color w:val="auto"/>
        </w:rPr>
      </w:pPr>
    </w:p>
    <w:p>
      <w:pPr>
        <w:ind w:right="14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If the Common Stock is listed on any established stock exchange or traded on any established market, the Fair Market Value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closing sales price for such stock as quoted on such exchange or market (or the exchange or market with the greatest volume of trading in the Common Stock) on the date of determination, as reported in a source the Board deems reliable.</w:t>
      </w:r>
    </w:p>
    <w:p>
      <w:pPr>
        <w:spacing w:after="0" w:line="160" w:lineRule="exact"/>
        <w:rPr>
          <w:sz w:val="20"/>
          <w:szCs w:val="20"/>
          <w:color w:val="auto"/>
        </w:rPr>
      </w:pPr>
    </w:p>
    <w:p>
      <w:pPr>
        <w:ind w:right="16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If there is no closing sales price for the Common Stock on the date of determination, then the Fair Market Value will be the closing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selling price on the last preceding date for which such quotation exists.</w:t>
      </w:r>
    </w:p>
    <w:p>
      <w:pPr>
        <w:spacing w:after="0" w:line="142" w:lineRule="exact"/>
        <w:rPr>
          <w:sz w:val="20"/>
          <w:szCs w:val="20"/>
          <w:color w:val="auto"/>
        </w:rPr>
      </w:pPr>
    </w:p>
    <w:p>
      <w:pPr>
        <w:ind w:right="440" w:firstLine="960"/>
        <w:spacing w:after="0" w:line="298"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In the absence of such markets for the Common Stock, or if otherwise determined by the Board, the Fair Market Value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in good faith and in a manner that complies with Sections 409A and 422 of the Code.</w:t>
      </w:r>
    </w:p>
    <w:p>
      <w:pPr>
        <w:spacing w:after="0" w:line="140" w:lineRule="exact"/>
        <w:rPr>
          <w:sz w:val="20"/>
          <w:szCs w:val="20"/>
          <w:color w:val="auto"/>
        </w:rPr>
      </w:pPr>
    </w:p>
    <w:p>
      <w:pPr>
        <w:ind w:firstLine="426"/>
        <w:spacing w:after="0" w:line="265" w:lineRule="auto"/>
        <w:rPr>
          <w:sz w:val="20"/>
          <w:szCs w:val="20"/>
          <w:color w:val="auto"/>
        </w:rPr>
      </w:pPr>
      <w:r>
        <w:rPr>
          <w:rFonts w:ascii="Times New Roman" w:cs="Times New Roman" w:eastAsia="Times New Roman" w:hAnsi="Times New Roman"/>
          <w:sz w:val="17"/>
          <w:szCs w:val="17"/>
          <w:b w:val="1"/>
          <w:bCs w:val="1"/>
          <w:color w:val="auto"/>
        </w:rPr>
        <w:t>(dd)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Governmental Body</w:t>
      </w:r>
      <w:r>
        <w:rPr>
          <w:rFonts w:ascii="Times New Roman" w:cs="Times New Roman" w:eastAsia="Times New Roman" w:hAnsi="Times New Roman"/>
          <w:sz w:val="17"/>
          <w:szCs w:val="17"/>
          <w:color w:val="auto"/>
        </w:rPr>
        <w:t>” means any: (i) nation, state, commonwealth, province, territory, county, municipality, district or other jurisdiction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69" w:lineRule="exact"/>
        <w:rPr>
          <w:sz w:val="20"/>
          <w:szCs w:val="20"/>
          <w:color w:val="auto"/>
        </w:rPr>
      </w:pPr>
    </w:p>
    <w:p>
      <w:pPr>
        <w:ind w:right="100" w:firstLine="426"/>
        <w:spacing w:after="0" w:line="278" w:lineRule="auto"/>
        <w:rPr>
          <w:sz w:val="20"/>
          <w:szCs w:val="20"/>
          <w:color w:val="auto"/>
        </w:rPr>
      </w:pPr>
      <w:r>
        <w:rPr>
          <w:rFonts w:ascii="Times New Roman" w:cs="Times New Roman" w:eastAsia="Times New Roman" w:hAnsi="Times New Roman"/>
          <w:sz w:val="17"/>
          <w:szCs w:val="17"/>
          <w:b w:val="1"/>
          <w:bCs w:val="1"/>
          <w:color w:val="auto"/>
        </w:rPr>
        <w:t>(ee)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means the notice provided to a Participant that he or she has been granted an Award under the Plan and which includes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620"/>
          </w:cols>
          <w:pgMar w:left="620" w:top="260" w:right="659" w:bottom="1440" w:gutter="0" w:footer="0" w:header="0"/>
        </w:sectPr>
      </w:pPr>
    </w:p>
    <w:bookmarkStart w:id="413" w:name="page414"/>
    <w:bookmarkEnd w:id="413"/>
    <w:p>
      <w:pPr>
        <w:ind w:right="26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Incentive Stock Option</w:t>
      </w:r>
      <w:r>
        <w:rPr>
          <w:rFonts w:ascii="Times New Roman" w:cs="Times New Roman" w:eastAsia="Times New Roman" w:hAnsi="Times New Roman"/>
          <w:sz w:val="17"/>
          <w:szCs w:val="17"/>
          <w:color w:val="auto"/>
        </w:rPr>
        <w:t>” means an option granted pursuant to Section 4 of the Plan that is intended to be, and qualifies as, an “incentive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option” within the meaning of Section 422 of the Code.</w:t>
      </w:r>
    </w:p>
    <w:p>
      <w:pPr>
        <w:spacing w:after="0" w:line="139" w:lineRule="exact"/>
        <w:rPr>
          <w:sz w:val="20"/>
          <w:szCs w:val="20"/>
          <w:color w:val="auto"/>
        </w:rPr>
      </w:pPr>
    </w:p>
    <w:p>
      <w:pPr>
        <w:ind w:right="56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(gg)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IPO Date</w:t>
      </w:r>
      <w:r>
        <w:rPr>
          <w:rFonts w:ascii="Times New Roman" w:cs="Times New Roman" w:eastAsia="Times New Roman" w:hAnsi="Times New Roman"/>
          <w:sz w:val="17"/>
          <w:szCs w:val="17"/>
          <w:color w:val="auto"/>
        </w:rPr>
        <w:t>” means the date of the underwriting agreement between the Company and the underwriter(s) managing the initial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offering of the Common Stock, pursuant to which the Common Stock is priced for the initial public offering.</w:t>
      </w:r>
    </w:p>
    <w:p>
      <w:pPr>
        <w:spacing w:after="0" w:line="139" w:lineRule="exact"/>
        <w:rPr>
          <w:sz w:val="20"/>
          <w:szCs w:val="20"/>
          <w:color w:val="auto"/>
        </w:rPr>
      </w:pPr>
    </w:p>
    <w:p>
      <w:pPr>
        <w:ind w:right="100" w:firstLine="426"/>
        <w:spacing w:after="0" w:line="262" w:lineRule="auto"/>
        <w:rPr>
          <w:sz w:val="20"/>
          <w:szCs w:val="20"/>
          <w:color w:val="auto"/>
        </w:rPr>
      </w:pPr>
      <w:r>
        <w:rPr>
          <w:rFonts w:ascii="Times New Roman" w:cs="Times New Roman" w:eastAsia="Times New Roman" w:hAnsi="Times New Roman"/>
          <w:sz w:val="17"/>
          <w:szCs w:val="17"/>
          <w:b w:val="1"/>
          <w:bCs w:val="1"/>
          <w:color w:val="auto"/>
        </w:rPr>
        <w:t>(hh)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Materially Impair</w:t>
      </w:r>
      <w:r>
        <w:rPr>
          <w:rFonts w:ascii="Times New Roman" w:cs="Times New Roman" w:eastAsia="Times New Roman" w:hAnsi="Times New Roman"/>
          <w:sz w:val="17"/>
          <w:szCs w:val="17"/>
          <w:color w:val="auto"/>
        </w:rPr>
        <w:t>” means any amendment to the terms of the Award that materially adversely affects the Participant’s rights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75" w:lineRule="exact"/>
        <w:rPr>
          <w:sz w:val="20"/>
          <w:szCs w:val="20"/>
          <w:color w:val="auto"/>
        </w:rPr>
      </w:pPr>
    </w:p>
    <w:p>
      <w:pPr>
        <w:ind w:right="140" w:firstLine="426"/>
        <w:spacing w:after="0" w:line="265"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an Affiliate, does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69" w:lineRule="exact"/>
        <w:rPr>
          <w:sz w:val="20"/>
          <w:szCs w:val="20"/>
          <w:color w:val="auto"/>
        </w:rPr>
      </w:pPr>
    </w:p>
    <w:p>
      <w:pPr>
        <w:ind w:firstLine="426"/>
        <w:spacing w:after="0" w:line="278" w:lineRule="auto"/>
        <w:rPr>
          <w:sz w:val="20"/>
          <w:szCs w:val="20"/>
          <w:color w:val="auto"/>
        </w:rPr>
      </w:pPr>
      <w:r>
        <w:rPr>
          <w:rFonts w:ascii="Times New Roman" w:cs="Times New Roman" w:eastAsia="Times New Roman" w:hAnsi="Times New Roman"/>
          <w:sz w:val="17"/>
          <w:szCs w:val="17"/>
          <w:b w:val="1"/>
          <w:bCs w:val="1"/>
          <w:color w:val="auto"/>
        </w:rPr>
        <w:t>(jj)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Non-Exempt Award</w:t>
      </w:r>
      <w:r>
        <w:rPr>
          <w:rFonts w:ascii="Times New Roman" w:cs="Times New Roman" w:eastAsia="Times New Roman" w:hAnsi="Times New Roman"/>
          <w:sz w:val="17"/>
          <w:szCs w:val="17"/>
          <w:color w:val="auto"/>
        </w:rPr>
        <w:t>” means any Award that is subject to, and not exempt from, Section 409A, including as the result of (i) a deferral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issuance of the shares subject to the Award which is elected by the Participant or imposed by the Company, or (ii) the terms of any Non-Exempt Severance Agreement.</w:t>
      </w:r>
    </w:p>
    <w:p>
      <w:pPr>
        <w:spacing w:after="0" w:line="157" w:lineRule="exact"/>
        <w:rPr>
          <w:sz w:val="20"/>
          <w:szCs w:val="20"/>
          <w:color w:val="auto"/>
        </w:rPr>
      </w:pPr>
    </w:p>
    <w:p>
      <w:pPr>
        <w:ind w:right="42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(kk)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Non-Exempt Director Award</w:t>
      </w:r>
      <w:r>
        <w:rPr>
          <w:rFonts w:ascii="Times New Roman" w:cs="Times New Roman" w:eastAsia="Times New Roman" w:hAnsi="Times New Roman"/>
          <w:sz w:val="17"/>
          <w:szCs w:val="17"/>
          <w:color w:val="auto"/>
        </w:rPr>
        <w:t>” means a Non-Exempt Award granted to a Participant who was a Director but not an Employee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grant date.</w:t>
      </w:r>
    </w:p>
    <w:p>
      <w:pPr>
        <w:spacing w:after="0" w:line="139" w:lineRule="exact"/>
        <w:rPr>
          <w:sz w:val="20"/>
          <w:szCs w:val="20"/>
          <w:color w:val="auto"/>
        </w:rPr>
      </w:pPr>
    </w:p>
    <w:p>
      <w:pPr>
        <w:ind w:right="40"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Non-Exempt Severance Arrangement</w:t>
      </w:r>
      <w:r>
        <w:rPr>
          <w:rFonts w:ascii="Times New Roman" w:cs="Times New Roman" w:eastAsia="Times New Roman" w:hAnsi="Times New Roman"/>
          <w:sz w:val="17"/>
          <w:szCs w:val="17"/>
          <w:color w:val="auto"/>
        </w:rPr>
        <w:t>” means a severance arrangement or other agreement between the Participant and the Company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7"/>
          <w:szCs w:val="17"/>
          <w:b w:val="1"/>
          <w:bCs w:val="1"/>
          <w:i w:val="1"/>
          <w:iCs w:val="1"/>
          <w:color w:val="auto"/>
        </w:rPr>
        <w:t>Separation from Service</w:t>
      </w:r>
      <w:r>
        <w:rPr>
          <w:rFonts w:ascii="Times New Roman" w:cs="Times New Roman" w:eastAsia="Times New Roman" w:hAnsi="Times New Roman"/>
          <w:sz w:val="17"/>
          <w:szCs w:val="17"/>
          <w:color w:val="auto"/>
        </w:rPr>
        <w:t>”) and such severance benefit does not satisfy the requirements for an exemption from application of Section 409A provided under Treasury Regulations Section 1.409A-1(b)(4), 1.409A-1(b)(9) or otherwise.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620"/>
          </w:cols>
          <w:pgMar w:left="620" w:top="261" w:right="659" w:bottom="1440" w:gutter="0" w:footer="0" w:header="0"/>
        </w:sectPr>
      </w:pPr>
    </w:p>
    <w:bookmarkStart w:id="414" w:name="page415"/>
    <w:bookmarkEnd w:id="414"/>
    <w:p>
      <w:pPr>
        <w:ind w:right="38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Nonstatutory Stock Option</w:t>
      </w:r>
      <w:r>
        <w:rPr>
          <w:rFonts w:ascii="Times New Roman" w:cs="Times New Roman" w:eastAsia="Times New Roman" w:hAnsi="Times New Roman"/>
          <w:sz w:val="17"/>
          <w:szCs w:val="17"/>
          <w:color w:val="auto"/>
        </w:rPr>
        <w:t>” means any option granted pursuant to Section 4 of the Plan that does not qualify as an Incentive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(nn)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a person who is an officer of the Company within the meaning of Section 16 of the Exchange Act.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(oo)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means an Incentive Stock Option or a Nonstatutory Stock Option to purchase shares of Common Stock granted pursuant to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w:t>
      </w:r>
    </w:p>
    <w:p>
      <w:pPr>
        <w:spacing w:after="0" w:line="201" w:lineRule="exact"/>
        <w:rPr>
          <w:sz w:val="20"/>
          <w:szCs w:val="20"/>
          <w:color w:val="auto"/>
        </w:rPr>
      </w:pPr>
    </w:p>
    <w:p>
      <w:pPr>
        <w:ind w:right="180" w:firstLine="426"/>
        <w:spacing w:after="0" w:line="271" w:lineRule="auto"/>
        <w:rPr>
          <w:sz w:val="20"/>
          <w:szCs w:val="20"/>
          <w:color w:val="auto"/>
        </w:rPr>
      </w:pPr>
      <w:r>
        <w:rPr>
          <w:rFonts w:ascii="Times New Roman" w:cs="Times New Roman" w:eastAsia="Times New Roman" w:hAnsi="Times New Roman"/>
          <w:sz w:val="17"/>
          <w:szCs w:val="17"/>
          <w:b w:val="1"/>
          <w:bCs w:val="1"/>
          <w:color w:val="auto"/>
        </w:rPr>
        <w:t>(pp)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Option Agreement</w:t>
      </w:r>
      <w:r>
        <w:rPr>
          <w:rFonts w:ascii="Times New Roman" w:cs="Times New Roman" w:eastAsia="Times New Roman" w:hAnsi="Times New Roman"/>
          <w:sz w:val="17"/>
          <w:szCs w:val="17"/>
          <w:color w:val="auto"/>
        </w:rPr>
        <w:t>” means a written or electronic agreement between the Company and the Optionholder evidencing the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63" w:lineRule="exact"/>
        <w:rPr>
          <w:sz w:val="20"/>
          <w:szCs w:val="20"/>
          <w:color w:val="auto"/>
        </w:rPr>
      </w:pPr>
    </w:p>
    <w:p>
      <w:pPr>
        <w:ind w:right="50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(qq)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Optionholder</w:t>
      </w:r>
      <w:r>
        <w:rPr>
          <w:rFonts w:ascii="Times New Roman" w:cs="Times New Roman" w:eastAsia="Times New Roman" w:hAnsi="Times New Roman"/>
          <w:sz w:val="17"/>
          <w:szCs w:val="17"/>
          <w:color w:val="auto"/>
        </w:rPr>
        <w:t>” means a person to whom an Option is granted pursuant to the Plan or, if applicable, such other person who holds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outstanding Option.</w:t>
      </w:r>
    </w:p>
    <w:p>
      <w:pPr>
        <w:spacing w:after="0" w:line="139" w:lineRule="exact"/>
        <w:rPr>
          <w:sz w:val="20"/>
          <w:szCs w:val="20"/>
          <w:color w:val="auto"/>
        </w:rPr>
      </w:pPr>
    </w:p>
    <w:p>
      <w:pPr>
        <w:ind w:right="220" w:firstLine="426"/>
        <w:spacing w:after="0" w:line="278" w:lineRule="auto"/>
        <w:rPr>
          <w:sz w:val="20"/>
          <w:szCs w:val="20"/>
          <w:color w:val="auto"/>
        </w:rPr>
      </w:pPr>
      <w:r>
        <w:rPr>
          <w:rFonts w:ascii="Times New Roman" w:cs="Times New Roman" w:eastAsia="Times New Roman" w:hAnsi="Times New Roman"/>
          <w:sz w:val="17"/>
          <w:szCs w:val="17"/>
          <w:b w:val="1"/>
          <w:bCs w:val="1"/>
          <w:color w:val="auto"/>
        </w:rPr>
        <w:t>(rr)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Other Award</w:t>
      </w:r>
      <w:r>
        <w:rPr>
          <w:rFonts w:ascii="Times New Roman" w:cs="Times New Roman" w:eastAsia="Times New Roman" w:hAnsi="Times New Roman"/>
          <w:sz w:val="17"/>
          <w:szCs w:val="17"/>
          <w:color w:val="auto"/>
        </w:rPr>
        <w:t>” means an award valued in whole or in part by reference to, or otherwise based on, Common Stock, including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57" w:lineRule="exact"/>
        <w:rPr>
          <w:sz w:val="20"/>
          <w:szCs w:val="20"/>
          <w:color w:val="auto"/>
        </w:rPr>
      </w:pPr>
    </w:p>
    <w:p>
      <w:pPr>
        <w:ind w:right="12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Other Award Agreement</w:t>
      </w:r>
      <w:r>
        <w:rPr>
          <w:rFonts w:ascii="Times New Roman" w:cs="Times New Roman" w:eastAsia="Times New Roman" w:hAnsi="Times New Roman"/>
          <w:sz w:val="17"/>
          <w:szCs w:val="17"/>
          <w:color w:val="auto"/>
        </w:rPr>
        <w:t>” means a written or electronic agreement between the Company and a holder of an Other Award evidencing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and conditions of an Other Award grant. Each Other Award Agreement will be subject to the terms and conditions of the Plan.</w:t>
      </w:r>
    </w:p>
    <w:p>
      <w:pPr>
        <w:spacing w:after="0" w:line="139" w:lineRule="exact"/>
        <w:rPr>
          <w:sz w:val="20"/>
          <w:szCs w:val="20"/>
          <w:color w:val="auto"/>
        </w:rPr>
      </w:pPr>
    </w:p>
    <w:p>
      <w:pPr>
        <w:ind w:firstLine="426"/>
        <w:spacing w:after="0" w:line="278" w:lineRule="auto"/>
        <w:rPr>
          <w:sz w:val="20"/>
          <w:szCs w:val="20"/>
          <w:color w:val="auto"/>
        </w:rPr>
      </w:pPr>
      <w:r>
        <w:rPr>
          <w:rFonts w:ascii="Times New Roman" w:cs="Times New Roman" w:eastAsia="Times New Roman" w:hAnsi="Times New Roman"/>
          <w:sz w:val="17"/>
          <w:szCs w:val="17"/>
          <w:b w:val="1"/>
          <w:bCs w:val="1"/>
          <w:color w:val="auto"/>
        </w:rPr>
        <w:t>(tt)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Own,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Ownership</w:t>
      </w:r>
      <w:r>
        <w:rPr>
          <w:rFonts w:ascii="Times New Roman" w:cs="Times New Roman" w:eastAsia="Times New Roman" w:hAnsi="Times New Roman"/>
          <w:sz w:val="17"/>
          <w:szCs w:val="17"/>
          <w:color w:val="auto"/>
        </w:rPr>
        <w:t>” means that a person or Entity will be deemed to “Own,” to have “Owned,” to be the “Owner”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7" w:lineRule="exact"/>
        <w:rPr>
          <w:sz w:val="20"/>
          <w:szCs w:val="20"/>
          <w:color w:val="auto"/>
        </w:rPr>
      </w:pPr>
    </w:p>
    <w:p>
      <w:pPr>
        <w:ind w:right="18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(uu)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an Employee, Director or Consultant to whom an Award is granted pursuant to the Plan or, if applicable, such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who holds an outstanding Award.</w:t>
      </w:r>
    </w:p>
    <w:p>
      <w:pPr>
        <w:spacing w:after="0" w:line="139" w:lineRule="exact"/>
        <w:rPr>
          <w:sz w:val="20"/>
          <w:szCs w:val="20"/>
          <w:color w:val="auto"/>
        </w:rPr>
      </w:pPr>
    </w:p>
    <w:p>
      <w:pPr>
        <w:ind w:right="60"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(vv)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means an Award that may vest or may be exercised or a cash award that may vest or become earned and paid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600"/>
          </w:cols>
          <w:pgMar w:left="620" w:top="260" w:right="679" w:bottom="1440" w:gutter="0" w:footer="0" w:header="0"/>
        </w:sectPr>
      </w:pPr>
    </w:p>
    <w:bookmarkStart w:id="415" w:name="page416"/>
    <w:bookmarkEnd w:id="415"/>
    <w:p>
      <w:pPr>
        <w:ind w:left="8" w:firstLine="426"/>
        <w:spacing w:after="0" w:line="25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Performance Criteria</w:t>
      </w:r>
      <w:r>
        <w:rPr>
          <w:rFonts w:ascii="Times New Roman" w:cs="Times New Roman" w:eastAsia="Times New Roman" w:hAnsi="Times New Roman"/>
          <w:sz w:val="17"/>
          <w:szCs w:val="17"/>
          <w:color w:val="auto"/>
        </w:rPr>
        <w:t>” means one or more criteria that the Board will select for purposes of establishing the Performance Goals for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79" w:lineRule="exact"/>
        <w:rPr>
          <w:sz w:val="20"/>
          <w:szCs w:val="20"/>
          <w:color w:val="auto"/>
        </w:rPr>
      </w:pPr>
    </w:p>
    <w:p>
      <w:pPr>
        <w:ind w:left="8" w:firstLine="426"/>
        <w:spacing w:after="0" w:line="259" w:lineRule="auto"/>
        <w:rPr>
          <w:sz w:val="20"/>
          <w:szCs w:val="20"/>
          <w:color w:val="auto"/>
        </w:rPr>
      </w:pPr>
      <w:r>
        <w:rPr>
          <w:rFonts w:ascii="Times New Roman" w:cs="Times New Roman" w:eastAsia="Times New Roman" w:hAnsi="Times New Roman"/>
          <w:sz w:val="17"/>
          <w:szCs w:val="17"/>
          <w:b w:val="1"/>
          <w:bCs w:val="1"/>
          <w:color w:val="auto"/>
        </w:rPr>
        <w:t>(xx)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means, for a Performance Period, one or more goals established by the Board for the Performance Period based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3" w:lineRule="exact"/>
        <w:rPr>
          <w:sz w:val="20"/>
          <w:szCs w:val="20"/>
          <w:color w:val="auto"/>
        </w:rPr>
      </w:pPr>
    </w:p>
    <w:p>
      <w:pPr>
        <w:ind w:left="8" w:right="520" w:hanging="8"/>
        <w:spacing w:after="0" w:line="273" w:lineRule="auto"/>
        <w:tabs>
          <w:tab w:leader="none" w:pos="255"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exclude the effect of any change in the outstanding shares of common stock of the Company by reason of any stock dividend or split, stock repurchase, reorganization, recapitalization, merger, consolidation, spin-off,</w:t>
      </w:r>
    </w:p>
    <w:p>
      <w:pPr>
        <w:spacing w:after="0" w:line="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648"/>
          </w:cols>
          <w:pgMar w:left="612" w:top="260" w:right="639" w:bottom="1440" w:gutter="0" w:footer="0" w:header="0"/>
        </w:sectPr>
      </w:pPr>
    </w:p>
    <w:bookmarkStart w:id="416" w:name="page417"/>
    <w:bookmarkEnd w:id="416"/>
    <w:p>
      <w:pPr>
        <w:ind w:left="8"/>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combination or exchange of shares or other similar corporate change, or any distributions to common stockholders other than regular cash dividends;</w:t>
      </w:r>
    </w:p>
    <w:p>
      <w:pPr>
        <w:spacing w:after="0" w:line="32" w:lineRule="exact"/>
        <w:rPr>
          <w:sz w:val="20"/>
          <w:szCs w:val="20"/>
          <w:color w:val="auto"/>
        </w:rPr>
      </w:pPr>
    </w:p>
    <w:p>
      <w:pPr>
        <w:ind w:left="8" w:right="60" w:hanging="8"/>
        <w:spacing w:after="0" w:line="259" w:lineRule="auto"/>
        <w:tabs>
          <w:tab w:leader="none" w:pos="25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72" w:lineRule="exact"/>
        <w:rPr>
          <w:sz w:val="20"/>
          <w:szCs w:val="20"/>
          <w:color w:val="auto"/>
        </w:rPr>
      </w:pPr>
    </w:p>
    <w:p>
      <w:pPr>
        <w:ind w:left="8" w:firstLine="426"/>
        <w:spacing w:after="0" w:line="278" w:lineRule="auto"/>
        <w:rPr>
          <w:sz w:val="20"/>
          <w:szCs w:val="20"/>
          <w:color w:val="auto"/>
        </w:rPr>
      </w:pPr>
      <w:r>
        <w:rPr>
          <w:rFonts w:ascii="Times New Roman" w:cs="Times New Roman" w:eastAsia="Times New Roman" w:hAnsi="Times New Roman"/>
          <w:sz w:val="17"/>
          <w:szCs w:val="17"/>
          <w:b w:val="1"/>
          <w:bCs w:val="1"/>
          <w:color w:val="auto"/>
        </w:rPr>
        <w:t>(yy)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Performance Period</w:t>
      </w:r>
      <w:r>
        <w:rPr>
          <w:rFonts w:ascii="Times New Roman" w:cs="Times New Roman" w:eastAsia="Times New Roman" w:hAnsi="Times New Roman"/>
          <w:sz w:val="17"/>
          <w:szCs w:val="17"/>
          <w:color w:val="auto"/>
        </w:rPr>
        <w:t>” means the period of time selected by the Board over which the attainment of one or more Performance Goals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measured for the purpose of determining a Participant’s right to vesting or exercise of an Award. Performance Periods may be of varying and overlapping duration, at the sole discretion of the Board.</w:t>
      </w:r>
    </w:p>
    <w:p>
      <w:pPr>
        <w:spacing w:after="0" w:line="15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(zz)</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Tempus AI, Inc. 2024 Equity Incentive Plan, as amended from time to time.</w:t>
      </w:r>
    </w:p>
    <w:p>
      <w:pPr>
        <w:spacing w:after="0" w:line="223" w:lineRule="exact"/>
        <w:rPr>
          <w:sz w:val="20"/>
          <w:szCs w:val="20"/>
          <w:color w:val="auto"/>
        </w:rPr>
      </w:pPr>
    </w:p>
    <w:p>
      <w:pPr>
        <w:ind w:left="8" w:right="2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(aaa)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Plan Administrator</w:t>
      </w:r>
      <w:r>
        <w:rPr>
          <w:rFonts w:ascii="Times New Roman" w:cs="Times New Roman" w:eastAsia="Times New Roman" w:hAnsi="Times New Roman"/>
          <w:sz w:val="17"/>
          <w:szCs w:val="17"/>
          <w:color w:val="auto"/>
        </w:rPr>
        <w:t>” means the person, persons, and/or third-party administrator designated by the Company to administer the day to day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operations of the Plan and the Company’s other equity incentive programs.</w:t>
      </w:r>
    </w:p>
    <w:p>
      <w:pPr>
        <w:spacing w:after="0" w:line="139" w:lineRule="exact"/>
        <w:rPr>
          <w:sz w:val="20"/>
          <w:szCs w:val="20"/>
          <w:color w:val="auto"/>
        </w:rPr>
      </w:pPr>
    </w:p>
    <w:p>
      <w:pPr>
        <w:ind w:left="8" w:right="48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(bbb)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Post-Termination Exercise Period</w:t>
      </w:r>
      <w:r>
        <w:rPr>
          <w:rFonts w:ascii="Times New Roman" w:cs="Times New Roman" w:eastAsia="Times New Roman" w:hAnsi="Times New Roman"/>
          <w:sz w:val="17"/>
          <w:szCs w:val="17"/>
          <w:color w:val="auto"/>
        </w:rPr>
        <w:t>” means the period following termination of a Participant’s Continuous Service within which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or SAR is exercisable, as specified in Section 4(h).</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(ccc)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Prior Plan</w:t>
      </w:r>
      <w:r>
        <w:rPr>
          <w:rFonts w:ascii="Times New Roman" w:cs="Times New Roman" w:eastAsia="Times New Roman" w:hAnsi="Times New Roman"/>
          <w:sz w:val="17"/>
          <w:szCs w:val="17"/>
          <w:color w:val="auto"/>
        </w:rPr>
        <w:t>” means the Third Amended and Restated Tempus Labs, Inc. 2015 Stock Plan.</w:t>
      </w:r>
    </w:p>
    <w:p>
      <w:pPr>
        <w:spacing w:after="0" w:line="223" w:lineRule="exact"/>
        <w:rPr>
          <w:sz w:val="20"/>
          <w:szCs w:val="20"/>
          <w:color w:val="auto"/>
        </w:rPr>
      </w:pPr>
    </w:p>
    <w:p>
      <w:pPr>
        <w:ind w:left="8" w:right="18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(ddd)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Restricted Stock Award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RSA</w:t>
      </w:r>
      <w:r>
        <w:rPr>
          <w:rFonts w:ascii="Times New Roman" w:cs="Times New Roman" w:eastAsia="Times New Roman" w:hAnsi="Times New Roman"/>
          <w:sz w:val="17"/>
          <w:szCs w:val="17"/>
          <w:color w:val="auto"/>
        </w:rPr>
        <w:t>” means an Award of shares of Common Stock which is granted pursuant to the terms and conditions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Section 5(a).</w:t>
      </w:r>
    </w:p>
    <w:p>
      <w:pPr>
        <w:spacing w:after="0" w:line="139" w:lineRule="exact"/>
        <w:rPr>
          <w:sz w:val="20"/>
          <w:szCs w:val="20"/>
          <w:color w:val="auto"/>
        </w:rPr>
      </w:pPr>
    </w:p>
    <w:p>
      <w:pPr>
        <w:ind w:left="8" w:right="60"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(eee)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or electronic agreement between the Company and a holder of a Restricted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6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color w:val="auto"/>
        </w:rPr>
        <w:t>(fff)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Returning Shares</w:t>
      </w:r>
      <w:r>
        <w:rPr>
          <w:rFonts w:ascii="Times New Roman" w:cs="Times New Roman" w:eastAsia="Times New Roman" w:hAnsi="Times New Roman"/>
          <w:sz w:val="17"/>
          <w:szCs w:val="17"/>
          <w:color w:val="auto"/>
        </w:rPr>
        <w:t>” means shares subject to outstanding stock awards granted under the Prior Plan and that following the Effective</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Date: (A) are not issued because such stock award or any portion thereof expires or otherwise terminates without all of the shares covered by</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668"/>
          </w:cols>
          <w:pgMar w:left="612" w:top="265" w:right="619" w:bottom="1440" w:gutter="0" w:footer="0" w:header="0"/>
        </w:sectPr>
      </w:pPr>
    </w:p>
    <w:bookmarkStart w:id="417" w:name="page418"/>
    <w:bookmarkEnd w:id="417"/>
    <w:p>
      <w:pPr>
        <w:ind w:right="2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58" w:lineRule="exact"/>
        <w:rPr>
          <w:sz w:val="20"/>
          <w:szCs w:val="20"/>
          <w:color w:val="auto"/>
        </w:rPr>
      </w:pPr>
    </w:p>
    <w:p>
      <w:pPr>
        <w:ind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(ggg)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RSU Award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RSU</w:t>
      </w:r>
      <w:r>
        <w:rPr>
          <w:rFonts w:ascii="Times New Roman" w:cs="Times New Roman" w:eastAsia="Times New Roman" w:hAnsi="Times New Roman"/>
          <w:sz w:val="17"/>
          <w:szCs w:val="17"/>
          <w:color w:val="auto"/>
        </w:rPr>
        <w:t>” means an Award of restricted stock units representing the right to receive an issuance of shares of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is granted pursuant to the terms and conditions of Section 5(a).</w:t>
      </w:r>
    </w:p>
    <w:p>
      <w:pPr>
        <w:spacing w:after="0" w:line="139" w:lineRule="exact"/>
        <w:rPr>
          <w:sz w:val="20"/>
          <w:szCs w:val="20"/>
          <w:color w:val="auto"/>
        </w:rPr>
      </w:pPr>
    </w:p>
    <w:p>
      <w:pPr>
        <w:ind w:right="160" w:firstLine="426"/>
        <w:spacing w:after="0" w:line="271" w:lineRule="auto"/>
        <w:rPr>
          <w:sz w:val="20"/>
          <w:szCs w:val="20"/>
          <w:color w:val="auto"/>
        </w:rPr>
      </w:pPr>
      <w:r>
        <w:rPr>
          <w:rFonts w:ascii="Times New Roman" w:cs="Times New Roman" w:eastAsia="Times New Roman" w:hAnsi="Times New Roman"/>
          <w:sz w:val="17"/>
          <w:szCs w:val="17"/>
          <w:b w:val="1"/>
          <w:bCs w:val="1"/>
          <w:color w:val="auto"/>
        </w:rPr>
        <w:t>(hhh)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RSU Award Agreement</w:t>
      </w:r>
      <w:r>
        <w:rPr>
          <w:rFonts w:ascii="Times New Roman" w:cs="Times New Roman" w:eastAsia="Times New Roman" w:hAnsi="Times New Roman"/>
          <w:sz w:val="17"/>
          <w:szCs w:val="17"/>
          <w:color w:val="auto"/>
        </w:rPr>
        <w:t>” means a written or electronic agreement between the Company and a holder of an RSU Award evidencing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(jjj)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Rule 405</w:t>
      </w:r>
      <w:r>
        <w:rPr>
          <w:rFonts w:ascii="Times New Roman" w:cs="Times New Roman" w:eastAsia="Times New Roman" w:hAnsi="Times New Roman"/>
          <w:sz w:val="17"/>
          <w:szCs w:val="17"/>
          <w:color w:val="auto"/>
        </w:rPr>
        <w:t>” means Rule 405 promulgated under the Securities Act.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(kkk)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means Section 409A of the Code and the regulations and other guidance thereunder.</w:t>
      </w:r>
    </w:p>
    <w:p>
      <w:pPr>
        <w:spacing w:after="0" w:line="223" w:lineRule="exact"/>
        <w:rPr>
          <w:sz w:val="20"/>
          <w:szCs w:val="20"/>
          <w:color w:val="auto"/>
        </w:rPr>
      </w:pPr>
    </w:p>
    <w:p>
      <w:pPr>
        <w:ind w:right="400" w:firstLine="426"/>
        <w:spacing w:after="0" w:line="278" w:lineRule="auto"/>
        <w:rPr>
          <w:sz w:val="20"/>
          <w:szCs w:val="20"/>
          <w:color w:val="auto"/>
        </w:rPr>
      </w:pPr>
      <w:r>
        <w:rPr>
          <w:rFonts w:ascii="Times New Roman" w:cs="Times New Roman" w:eastAsia="Times New Roman" w:hAnsi="Times New Roman"/>
          <w:sz w:val="17"/>
          <w:szCs w:val="17"/>
          <w:b w:val="1"/>
          <w:bCs w:val="1"/>
          <w:color w:val="auto"/>
        </w:rPr>
        <w:t>(lll)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Section 409A Change in Control</w:t>
      </w:r>
      <w:r>
        <w:rPr>
          <w:rFonts w:ascii="Times New Roman" w:cs="Times New Roman" w:eastAsia="Times New Roman" w:hAnsi="Times New Roman"/>
          <w:sz w:val="17"/>
          <w:szCs w:val="17"/>
          <w:color w:val="auto"/>
        </w:rPr>
        <w:t>” means a change in the ownership or effective control of the Company, or in the ownership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substantial portion of the Company’s assets, as provided in Section 409A(a)(2)(A)(v) of the Code and Treasury Regulations Section 1.409A-3(i)(5) (without regard to any alternative definition thereunder).</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(mmm)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(nnn)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Share Reserve</w:t>
      </w:r>
      <w:r>
        <w:rPr>
          <w:rFonts w:ascii="Times New Roman" w:cs="Times New Roman" w:eastAsia="Times New Roman" w:hAnsi="Times New Roman"/>
          <w:sz w:val="17"/>
          <w:szCs w:val="17"/>
          <w:color w:val="auto"/>
        </w:rPr>
        <w:t>” means the number of shares available for issuance under the Plan as set forth in Section 2(a).</w:t>
      </w:r>
    </w:p>
    <w:p>
      <w:pPr>
        <w:spacing w:after="0" w:line="223" w:lineRule="exact"/>
        <w:rPr>
          <w:sz w:val="20"/>
          <w:szCs w:val="20"/>
          <w:color w:val="auto"/>
        </w:rPr>
      </w:pPr>
    </w:p>
    <w:p>
      <w:pPr>
        <w:ind w:right="26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(ooo)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SAR</w:t>
      </w:r>
      <w:r>
        <w:rPr>
          <w:rFonts w:ascii="Times New Roman" w:cs="Times New Roman" w:eastAsia="Times New Roman" w:hAnsi="Times New Roman"/>
          <w:sz w:val="17"/>
          <w:szCs w:val="17"/>
          <w:color w:val="auto"/>
        </w:rPr>
        <w:t>” means a right to receive the appreciation on Common Stock that is granted pursuant to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conditions of Section 4.</w:t>
      </w:r>
    </w:p>
    <w:p>
      <w:pPr>
        <w:spacing w:after="0" w:line="139" w:lineRule="exact"/>
        <w:rPr>
          <w:sz w:val="20"/>
          <w:szCs w:val="20"/>
          <w:color w:val="auto"/>
        </w:rPr>
      </w:pPr>
    </w:p>
    <w:p>
      <w:pPr>
        <w:ind w:right="140" w:firstLine="426"/>
        <w:spacing w:after="0" w:line="271" w:lineRule="auto"/>
        <w:rPr>
          <w:sz w:val="20"/>
          <w:szCs w:val="20"/>
          <w:color w:val="auto"/>
        </w:rPr>
      </w:pPr>
      <w:r>
        <w:rPr>
          <w:rFonts w:ascii="Times New Roman" w:cs="Times New Roman" w:eastAsia="Times New Roman" w:hAnsi="Times New Roman"/>
          <w:sz w:val="17"/>
          <w:szCs w:val="17"/>
          <w:b w:val="1"/>
          <w:bCs w:val="1"/>
          <w:color w:val="auto"/>
        </w:rPr>
        <w:t>(ppp)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SAR Agreement</w:t>
      </w:r>
      <w:r>
        <w:rPr>
          <w:rFonts w:ascii="Times New Roman" w:cs="Times New Roman" w:eastAsia="Times New Roman" w:hAnsi="Times New Roman"/>
          <w:sz w:val="17"/>
          <w:szCs w:val="17"/>
          <w:color w:val="auto"/>
        </w:rPr>
        <w:t>” means a written or electronic agreement between the Company and a holder of a SAR evidencing the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63" w:lineRule="exact"/>
        <w:rPr>
          <w:sz w:val="20"/>
          <w:szCs w:val="20"/>
          <w:color w:val="auto"/>
        </w:rPr>
      </w:pPr>
    </w:p>
    <w:p>
      <w:pPr>
        <w:ind w:right="28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(qqq)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the Company, (i) any corporation of which more than 50% of the outstanding capital stock having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ordinary voting power to elect a majority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660"/>
          </w:cols>
          <w:pgMar w:left="620" w:top="265" w:right="619" w:bottom="1440" w:gutter="0" w:footer="0" w:header="0"/>
        </w:sectPr>
      </w:pPr>
    </w:p>
    <w:bookmarkStart w:id="418" w:name="page419"/>
    <w:bookmarkEnd w:id="418"/>
    <w:p>
      <w:pPr>
        <w:ind w:right="3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65" w:lineRule="exact"/>
        <w:rPr>
          <w:sz w:val="20"/>
          <w:szCs w:val="20"/>
          <w:color w:val="auto"/>
        </w:rPr>
      </w:pPr>
    </w:p>
    <w:p>
      <w:pPr>
        <w:ind w:right="30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(rrr)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Ten Percent Stockholder</w:t>
      </w:r>
      <w:r>
        <w:rPr>
          <w:rFonts w:ascii="Times New Roman" w:cs="Times New Roman" w:eastAsia="Times New Roman" w:hAnsi="Times New Roman"/>
          <w:sz w:val="17"/>
          <w:szCs w:val="17"/>
          <w:color w:val="auto"/>
        </w:rPr>
        <w:t>” means a person who Owns (or is deemed to Own pursuant to Section 424(d) of the Code) stock possessing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more than 10% of the total combined voting power of all classes of stock of the Company or any Affiliate.</w:t>
      </w:r>
    </w:p>
    <w:p>
      <w:pPr>
        <w:spacing w:after="0" w:line="139" w:lineRule="exact"/>
        <w:rPr>
          <w:sz w:val="20"/>
          <w:szCs w:val="20"/>
          <w:color w:val="auto"/>
        </w:rPr>
      </w:pPr>
    </w:p>
    <w:p>
      <w:pPr>
        <w:ind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(sss)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Trading Policy</w:t>
      </w:r>
      <w:r>
        <w:rPr>
          <w:rFonts w:ascii="Times New Roman" w:cs="Times New Roman" w:eastAsia="Times New Roman" w:hAnsi="Times New Roman"/>
          <w:sz w:val="17"/>
          <w:szCs w:val="17"/>
          <w:color w:val="auto"/>
        </w:rPr>
        <w:t>” means the Company’s policy permitting certain individuals to sell Company shares only during certain “window” periods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and/or otherwise restricts the ability of certain individuals to transfer or encumber Company shares, as in effect from time to time.</w:t>
      </w:r>
    </w:p>
    <w:p>
      <w:pPr>
        <w:spacing w:after="0" w:line="139" w:lineRule="exact"/>
        <w:rPr>
          <w:sz w:val="20"/>
          <w:szCs w:val="20"/>
          <w:color w:val="auto"/>
        </w:rPr>
      </w:pPr>
    </w:p>
    <w:p>
      <w:pPr>
        <w:ind w:right="32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(ttt)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Unvested Non-Exempt Award</w:t>
      </w:r>
      <w:r>
        <w:rPr>
          <w:rFonts w:ascii="Times New Roman" w:cs="Times New Roman" w:eastAsia="Times New Roman" w:hAnsi="Times New Roman"/>
          <w:sz w:val="17"/>
          <w:szCs w:val="17"/>
          <w:color w:val="auto"/>
        </w:rPr>
        <w:t>” means the portion of any Non-Exempt Award that had not vested in accordance with its terms upon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the date of any Corporate Transaction.</w:t>
      </w:r>
    </w:p>
    <w:p>
      <w:pPr>
        <w:spacing w:after="0" w:line="139" w:lineRule="exact"/>
        <w:rPr>
          <w:sz w:val="20"/>
          <w:szCs w:val="20"/>
          <w:color w:val="auto"/>
        </w:rPr>
      </w:pPr>
    </w:p>
    <w:p>
      <w:pPr>
        <w:ind w:right="120" w:firstLine="426"/>
        <w:spacing w:after="0" w:line="300" w:lineRule="auto"/>
        <w:rPr>
          <w:sz w:val="20"/>
          <w:szCs w:val="20"/>
          <w:color w:val="auto"/>
        </w:rPr>
      </w:pPr>
      <w:r>
        <w:rPr>
          <w:rFonts w:ascii="Times New Roman" w:cs="Times New Roman" w:eastAsia="Times New Roman" w:hAnsi="Times New Roman"/>
          <w:sz w:val="17"/>
          <w:szCs w:val="17"/>
          <w:b w:val="1"/>
          <w:bCs w:val="1"/>
          <w:color w:val="auto"/>
        </w:rPr>
        <w:t>(uuu)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Vested Non-Exempt Award</w:t>
      </w:r>
      <w:r>
        <w:rPr>
          <w:rFonts w:ascii="Times New Roman" w:cs="Times New Roman" w:eastAsia="Times New Roman" w:hAnsi="Times New Roman"/>
          <w:sz w:val="17"/>
          <w:szCs w:val="17"/>
          <w:color w:val="auto"/>
        </w:rPr>
        <w:t>” means the portion of any Non-Exempt Award that had vested in accordance with its terms upon or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date of a Corporate Transaction.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640"/>
          </w:cols>
          <w:pgMar w:left="620" w:top="265" w:right="639" w:bottom="1440" w:gutter="0" w:footer="0" w:header="0"/>
        </w:sectPr>
      </w:pPr>
    </w:p>
    <w:bookmarkStart w:id="419" w:name="page420"/>
    <w:bookmarkEnd w:id="419"/>
    <w:p>
      <w:pPr>
        <w:ind w:left="9668"/>
        <w:spacing w:after="0"/>
        <w:rPr>
          <w:sz w:val="20"/>
          <w:szCs w:val="20"/>
          <w:color w:val="auto"/>
        </w:rPr>
      </w:pPr>
      <w:r>
        <w:rPr>
          <w:rFonts w:ascii="Times New Roman" w:cs="Times New Roman" w:eastAsia="Times New Roman" w:hAnsi="Times New Roman"/>
          <w:sz w:val="17"/>
          <w:szCs w:val="17"/>
          <w:b w:val="1"/>
          <w:bCs w:val="1"/>
          <w:color w:val="auto"/>
        </w:rPr>
        <w:t>Exhibit 10.15</w:t>
      </w:r>
    </w:p>
    <w:p>
      <w:pPr>
        <w:spacing w:after="0" w:line="223" w:lineRule="exact"/>
        <w:rPr>
          <w:sz w:val="20"/>
          <w:szCs w:val="20"/>
          <w:color w:val="auto"/>
        </w:rPr>
      </w:pPr>
    </w:p>
    <w:p>
      <w:pPr>
        <w:ind w:left="8" w:right="380"/>
        <w:spacing w:after="0" w:line="27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TEMPUS AI, INC. HAS DETERMINED THE INFORMATION (I) IS NOT MATERIAL AND (II) WOULD LIKELY CAUSE COMPETITIVE HARM TO TEMPUS AI, INC. IF PUBLICLY DISCLOSED.</w:t>
      </w:r>
    </w:p>
    <w:p>
      <w:pPr>
        <w:spacing w:after="0" w:line="3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Amended and Restated Master Agreement</w:t>
      </w:r>
    </w:p>
    <w:p>
      <w:pPr>
        <w:spacing w:after="0" w:line="225" w:lineRule="exact"/>
        <w:rPr>
          <w:sz w:val="20"/>
          <w:szCs w:val="20"/>
          <w:color w:val="auto"/>
        </w:rPr>
      </w:pPr>
    </w:p>
    <w:p>
      <w:pPr>
        <w:ind w:left="8" w:right="140"/>
        <w:spacing w:after="0" w:line="295" w:lineRule="auto"/>
        <w:rPr>
          <w:sz w:val="20"/>
          <w:szCs w:val="20"/>
          <w:color w:val="auto"/>
        </w:rPr>
      </w:pPr>
      <w:r>
        <w:rPr>
          <w:rFonts w:ascii="Times New Roman" w:cs="Times New Roman" w:eastAsia="Times New Roman" w:hAnsi="Times New Roman"/>
          <w:sz w:val="17"/>
          <w:szCs w:val="17"/>
          <w:color w:val="auto"/>
        </w:rPr>
        <w:t>This Amended and Restated Master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by and between Tempus AI, Inc. (on behalf of itself and its affiliates, “</w:t>
      </w:r>
      <w:r>
        <w:rPr>
          <w:rFonts w:ascii="Times New Roman" w:cs="Times New Roman" w:eastAsia="Times New Roman" w:hAnsi="Times New Roman"/>
          <w:sz w:val="17"/>
          <w:szCs w:val="17"/>
          <w:u w:val="single" w:color="auto"/>
          <w:color w:val="auto"/>
        </w:rPr>
        <w:t>Tempus</w:t>
      </w:r>
      <w:r>
        <w:rPr>
          <w:rFonts w:ascii="Times New Roman" w:cs="Times New Roman" w:eastAsia="Times New Roman" w:hAnsi="Times New Roman"/>
          <w:sz w:val="17"/>
          <w:szCs w:val="17"/>
          <w:color w:val="auto"/>
        </w:rPr>
        <w:t>”), and Pathos AI, Inc. (“</w:t>
      </w:r>
      <w:r>
        <w:rPr>
          <w:rFonts w:ascii="Times New Roman" w:cs="Times New Roman" w:eastAsia="Times New Roman" w:hAnsi="Times New Roman"/>
          <w:sz w:val="17"/>
          <w:szCs w:val="17"/>
          <w:u w:val="single" w:color="auto"/>
          <w:color w:val="auto"/>
        </w:rPr>
        <w:t>Client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Pathos</w:t>
      </w:r>
      <w:r>
        <w:rPr>
          <w:rFonts w:ascii="Times New Roman" w:cs="Times New Roman" w:eastAsia="Times New Roman" w:hAnsi="Times New Roman"/>
          <w:sz w:val="17"/>
          <w:szCs w:val="17"/>
          <w:color w:val="auto"/>
        </w:rPr>
        <w:t>”). Tempus and Pathos are each individually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are collectively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3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25" w:lineRule="exact"/>
        <w:rPr>
          <w:sz w:val="20"/>
          <w:szCs w:val="20"/>
          <w:color w:val="auto"/>
        </w:rPr>
      </w:pPr>
    </w:p>
    <w:p>
      <w:pPr>
        <w:ind w:left="8" w:right="80"/>
        <w:spacing w:after="0" w:line="266" w:lineRule="auto"/>
        <w:rPr>
          <w:sz w:val="20"/>
          <w:szCs w:val="20"/>
          <w:color w:val="auto"/>
        </w:rPr>
      </w:pPr>
      <w:r>
        <w:rPr>
          <w:rFonts w:ascii="Times New Roman" w:cs="Times New Roman" w:eastAsia="Times New Roman" w:hAnsi="Times New Roman"/>
          <w:sz w:val="17"/>
          <w:szCs w:val="17"/>
          <w:color w:val="auto"/>
        </w:rPr>
        <w:t>Tempus is a technology company dedicated to advancing precision medicine through its proprietary products and services. Pathos would like to use Tempus’ technology and data as further described in this Agreement. Tempus and Pathos entered into that certain Master Agreement dated as of August 19, 2021 (such date,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under which Pathos obtained rights to use Tempus’ technology and data as further described therein (as amended, the “</w:t>
      </w:r>
      <w:r>
        <w:rPr>
          <w:rFonts w:ascii="Times New Roman" w:cs="Times New Roman" w:eastAsia="Times New Roman" w:hAnsi="Times New Roman"/>
          <w:sz w:val="17"/>
          <w:szCs w:val="17"/>
          <w:u w:val="single" w:color="auto"/>
          <w:color w:val="auto"/>
        </w:rPr>
        <w:t>Original Agreement</w:t>
      </w:r>
      <w:r>
        <w:rPr>
          <w:rFonts w:ascii="Times New Roman" w:cs="Times New Roman" w:eastAsia="Times New Roman" w:hAnsi="Times New Roman"/>
          <w:sz w:val="17"/>
          <w:szCs w:val="17"/>
          <w:color w:val="auto"/>
        </w:rPr>
        <w:t>”). Tempus and Pathos subsequently entered into an amendment to that Original Agreement (referred to herein as the “</w:t>
      </w:r>
      <w:r>
        <w:rPr>
          <w:rFonts w:ascii="Times New Roman" w:cs="Times New Roman" w:eastAsia="Times New Roman" w:hAnsi="Times New Roman"/>
          <w:sz w:val="17"/>
          <w:szCs w:val="17"/>
          <w:u w:val="single" w:color="auto"/>
          <w:color w:val="auto"/>
        </w:rPr>
        <w:t>First Amendment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8" w:right="160"/>
        <w:spacing w:after="0" w:line="295" w:lineRule="auto"/>
        <w:rPr>
          <w:sz w:val="20"/>
          <w:szCs w:val="20"/>
          <w:color w:val="auto"/>
        </w:rPr>
      </w:pPr>
      <w:r>
        <w:rPr>
          <w:rFonts w:ascii="Times New Roman" w:cs="Times New Roman" w:eastAsia="Times New Roman" w:hAnsi="Times New Roman"/>
          <w:sz w:val="17"/>
          <w:szCs w:val="17"/>
          <w:color w:val="auto"/>
        </w:rPr>
        <w:t>The Parties would now like to amend and restate the Original Agreement in its entirety pursuant to this Agreement, to extend its Initial Term and make other modifications, which will be effective upon the later date of signature below (the “Amendment Effective Date”).</w:t>
      </w:r>
    </w:p>
    <w:p>
      <w:pPr>
        <w:spacing w:after="0" w:line="3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In consideration of the mutual promises described below, the Parties agree as follows:</w:t>
      </w:r>
    </w:p>
    <w:p>
      <w:pPr>
        <w:spacing w:after="0" w:line="129" w:lineRule="exact"/>
        <w:rPr>
          <w:sz w:val="20"/>
          <w:szCs w:val="20"/>
          <w:color w:val="auto"/>
        </w:rPr>
      </w:pPr>
    </w:p>
    <w:p>
      <w:pPr>
        <w:ind w:left="428" w:right="40" w:hanging="428"/>
        <w:spacing w:after="0" w:line="267" w:lineRule="auto"/>
        <w:tabs>
          <w:tab w:leader="none" w:pos="428" w:val="left"/>
        </w:tabs>
        <w:numPr>
          <w:ilvl w:val="0"/>
          <w:numId w:val="1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General. </w:t>
      </w:r>
      <w:r>
        <w:rPr>
          <w:rFonts w:ascii="Times New Roman" w:cs="Times New Roman" w:eastAsia="Times New Roman" w:hAnsi="Times New Roman"/>
          <w:sz w:val="17"/>
          <w:szCs w:val="17"/>
          <w:color w:val="auto"/>
        </w:rPr>
        <w:t>During the Term, Tempus may provide “</w:t>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Deliverables</w:t>
      </w:r>
      <w:r>
        <w:rPr>
          <w:rFonts w:ascii="Times New Roman" w:cs="Times New Roman" w:eastAsia="Times New Roman" w:hAnsi="Times New Roman"/>
          <w:sz w:val="17"/>
          <w:szCs w:val="17"/>
          <w:color w:val="auto"/>
        </w:rPr>
        <w:t>,” each to the extent expressly identified in an Exhibit or fully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Order Form under this Agreement. Tempus may also grant Client a license to certain “</w:t>
      </w:r>
      <w:r>
        <w:rPr>
          <w:rFonts w:ascii="Times New Roman" w:cs="Times New Roman" w:eastAsia="Times New Roman" w:hAnsi="Times New Roman"/>
          <w:sz w:val="17"/>
          <w:szCs w:val="17"/>
          <w:u w:val="single" w:color="auto"/>
          <w:color w:val="auto"/>
        </w:rPr>
        <w:t>Licensed Data</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Software</w:t>
      </w:r>
      <w:r>
        <w:rPr>
          <w:rFonts w:ascii="Times New Roman" w:cs="Times New Roman" w:eastAsia="Times New Roman" w:hAnsi="Times New Roman"/>
          <w:sz w:val="17"/>
          <w:szCs w:val="17"/>
          <w:color w:val="auto"/>
        </w:rPr>
        <w:t>,” also to the extent included in an Exhibit or a fully executed “</w:t>
      </w:r>
      <w:r>
        <w:rPr>
          <w:rFonts w:ascii="Times New Roman" w:cs="Times New Roman" w:eastAsia="Times New Roman" w:hAnsi="Times New Roman"/>
          <w:sz w:val="17"/>
          <w:szCs w:val="17"/>
          <w:u w:val="single" w:color="auto"/>
          <w:color w:val="auto"/>
        </w:rPr>
        <w:t>Order Form</w:t>
      </w:r>
      <w:r>
        <w:rPr>
          <w:rFonts w:ascii="Times New Roman" w:cs="Times New Roman" w:eastAsia="Times New Roman" w:hAnsi="Times New Roman"/>
          <w:sz w:val="17"/>
          <w:szCs w:val="17"/>
          <w:color w:val="auto"/>
        </w:rPr>
        <w:t>.” The activities contemplated as of the date of this Agreement are described in the attached Exhibit(s), which may be supplemented by the Parties from time to time. Tempus will perform all Services in a professional and workmanlike manner using personnel appropriately skilled in the art of the requested Services.</w:t>
      </w:r>
    </w:p>
    <w:p>
      <w:pPr>
        <w:spacing w:after="0" w:line="75" w:lineRule="exact"/>
        <w:rPr>
          <w:rFonts w:ascii="Times New Roman" w:cs="Times New Roman" w:eastAsia="Times New Roman" w:hAnsi="Times New Roman"/>
          <w:sz w:val="17"/>
          <w:szCs w:val="17"/>
          <w:b w:val="1"/>
          <w:bCs w:val="1"/>
          <w:color w:val="auto"/>
        </w:rPr>
      </w:pPr>
    </w:p>
    <w:p>
      <w:pPr>
        <w:ind w:left="428" w:right="200" w:hanging="428"/>
        <w:spacing w:after="0" w:line="270" w:lineRule="auto"/>
        <w:tabs>
          <w:tab w:leader="none" w:pos="428" w:val="left"/>
        </w:tabs>
        <w:numPr>
          <w:ilvl w:val="0"/>
          <w:numId w:val="1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Fees. </w:t>
      </w:r>
      <w:r>
        <w:rPr>
          <w:rFonts w:ascii="Times New Roman" w:cs="Times New Roman" w:eastAsia="Times New Roman" w:hAnsi="Times New Roman"/>
          <w:sz w:val="17"/>
          <w:szCs w:val="17"/>
          <w:color w:val="auto"/>
        </w:rPr>
        <w:t>Client agrees to pay Tempus all fees listed in the applicable Exhibit or Order Form. Invoices under this Agreement are due and payable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Client within thirty (30) days of the invoice date. Interest will apply to any undisputed, overdue invoices at a rate of the lesser of (a) 1.0% per month, and (b) the highest rate permitted by applicable law. Client is responsible for payment of any taxes arising out of or related to this Agreement.</w:t>
      </w:r>
    </w:p>
    <w:p>
      <w:pPr>
        <w:spacing w:after="0" w:line="74" w:lineRule="exact"/>
        <w:rPr>
          <w:rFonts w:ascii="Times New Roman" w:cs="Times New Roman" w:eastAsia="Times New Roman" w:hAnsi="Times New Roman"/>
          <w:sz w:val="17"/>
          <w:szCs w:val="17"/>
          <w:b w:val="1"/>
          <w:bCs w:val="1"/>
          <w:color w:val="auto"/>
        </w:rPr>
      </w:pPr>
    </w:p>
    <w:p>
      <w:pPr>
        <w:ind w:left="428" w:right="40" w:hanging="428"/>
        <w:spacing w:after="0" w:line="270" w:lineRule="auto"/>
        <w:tabs>
          <w:tab w:leader="none" w:pos="428" w:val="left"/>
        </w:tabs>
        <w:numPr>
          <w:ilvl w:val="0"/>
          <w:numId w:val="1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Insurance. </w:t>
      </w:r>
      <w:r>
        <w:rPr>
          <w:rFonts w:ascii="Times New Roman" w:cs="Times New Roman" w:eastAsia="Times New Roman" w:hAnsi="Times New Roman"/>
          <w:sz w:val="17"/>
          <w:szCs w:val="17"/>
          <w:color w:val="auto"/>
        </w:rPr>
        <w:t>During the Term, each Party will maintain the following insurance at its own expense: (i) commercial general liability insurance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limits not less than $1 million per occurrence and $3 million annual aggregate; (ii) professional liability/errors and omissions insurance with limits not less than $1 million per occurrence and $2 million annual aggregate; and (iii) workers’ compensation insurance at statutory limits (minimum $500,000). The insurance required above may be maintained through umbrella and/or self-insurance.</w:t>
      </w:r>
    </w:p>
    <w:p>
      <w:pPr>
        <w:spacing w:after="0" w:line="1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68"/>
          </w:cols>
          <w:pgMar w:left="612" w:top="119" w:right="619" w:bottom="1440" w:gutter="0" w:footer="0" w:header="0"/>
        </w:sectPr>
      </w:pPr>
    </w:p>
    <w:bookmarkStart w:id="420" w:name="page421"/>
    <w:bookmarkEnd w:id="420"/>
    <w:p>
      <w:pPr>
        <w:ind w:left="428" w:right="40" w:hanging="428"/>
        <w:spacing w:after="0" w:line="264" w:lineRule="auto"/>
        <w:tabs>
          <w:tab w:leader="none" w:pos="428" w:val="left"/>
        </w:tabs>
        <w:numPr>
          <w:ilvl w:val="0"/>
          <w:numId w:val="1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Research Use Only. </w:t>
      </w:r>
      <w:r>
        <w:rPr>
          <w:rFonts w:ascii="Times New Roman" w:cs="Times New Roman" w:eastAsia="Times New Roman" w:hAnsi="Times New Roman"/>
          <w:sz w:val="17"/>
          <w:szCs w:val="17"/>
          <w:color w:val="auto"/>
        </w:rPr>
        <w:t>Client agrees that unless otherwise specified in the applicable Exhibit or Order Form, information provided by Tempus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is for research use only. Client also agrees that: (a) Tempus does not recommend, endorse, or make any representation about the efficacy or appropriateness of any therapy, procedure, or treatment described in any report or information made available by Tempus; (b) if reports and information provided by Tempus are reviewed by a treating clinician, that clinician (and not Tempus) is responsible for decisions regarding patient care; and (c) Client is solely responsible for its use of reports and information made available by Tempus. All information and reports provided by Tempus are subject to any notes, explanations, limitations, and disclaimers included therein.</w:t>
      </w:r>
    </w:p>
    <w:p>
      <w:pPr>
        <w:spacing w:after="0" w:line="82" w:lineRule="exact"/>
        <w:rPr>
          <w:rFonts w:ascii="Times New Roman" w:cs="Times New Roman" w:eastAsia="Times New Roman" w:hAnsi="Times New Roman"/>
          <w:sz w:val="17"/>
          <w:szCs w:val="17"/>
          <w:b w:val="1"/>
          <w:bCs w:val="1"/>
          <w:color w:val="auto"/>
        </w:rPr>
      </w:pPr>
    </w:p>
    <w:p>
      <w:pPr>
        <w:ind w:left="428" w:hanging="428"/>
        <w:spacing w:after="0" w:line="264" w:lineRule="auto"/>
        <w:tabs>
          <w:tab w:leader="none" w:pos="428" w:val="left"/>
        </w:tabs>
        <w:numPr>
          <w:ilvl w:val="0"/>
          <w:numId w:val="1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Client’s Policies. </w:t>
      </w:r>
      <w:r>
        <w:rPr>
          <w:rFonts w:ascii="Times New Roman" w:cs="Times New Roman" w:eastAsia="Times New Roman" w:hAnsi="Times New Roman"/>
          <w:sz w:val="17"/>
          <w:szCs w:val="17"/>
          <w:color w:val="auto"/>
        </w:rPr>
        <w:t>Because Client is in the best position to interpret and apply its requirements and those of its affiliates, Client agrees that Client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solely responsible for complying with all such policies, rules, guidelines, and similar requirements, including, where applicable, requirements that govern research subject consent; the collection, processing, transfer, analysis, use, and storage of research subject specimens and data; and laws and regulations that apply to Client or its affiliates (collectively, “</w:t>
      </w:r>
      <w:r>
        <w:rPr>
          <w:rFonts w:ascii="Times New Roman" w:cs="Times New Roman" w:eastAsia="Times New Roman" w:hAnsi="Times New Roman"/>
          <w:sz w:val="17"/>
          <w:szCs w:val="17"/>
          <w:u w:val="single" w:color="auto"/>
          <w:color w:val="auto"/>
        </w:rPr>
        <w:t>Client Requirements</w:t>
      </w:r>
      <w:r>
        <w:rPr>
          <w:rFonts w:ascii="Times New Roman" w:cs="Times New Roman" w:eastAsia="Times New Roman" w:hAnsi="Times New Roman"/>
          <w:sz w:val="17"/>
          <w:szCs w:val="17"/>
          <w:color w:val="auto"/>
        </w:rPr>
        <w:t>”). Client will only provide specimens and data to Tempus to the extent such transfer, and Tempus’ use of the specimens and data in accordance with this Agreement, complies with Client Requirements. Tempus disclaims any responsibility and liability for any breach of Client Requirements.</w:t>
      </w:r>
    </w:p>
    <w:p>
      <w:pPr>
        <w:spacing w:after="0" w:line="317" w:lineRule="exact"/>
        <w:rPr>
          <w:rFonts w:ascii="Times New Roman" w:cs="Times New Roman" w:eastAsia="Times New Roman" w:hAnsi="Times New Roman"/>
          <w:sz w:val="17"/>
          <w:szCs w:val="17"/>
          <w:b w:val="1"/>
          <w:bCs w:val="1"/>
          <w:color w:val="auto"/>
        </w:rPr>
      </w:pPr>
    </w:p>
    <w:p>
      <w:pPr>
        <w:ind w:left="428" w:hanging="428"/>
        <w:spacing w:after="0"/>
        <w:tabs>
          <w:tab w:leader="none" w:pos="428" w:val="left"/>
        </w:tabs>
        <w:numPr>
          <w:ilvl w:val="0"/>
          <w:numId w:val="1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Privacy, Confidentiality, and Intellectual Property.</w:t>
      </w:r>
    </w:p>
    <w:p>
      <w:pPr>
        <w:spacing w:after="0" w:line="131" w:lineRule="exact"/>
        <w:rPr>
          <w:rFonts w:ascii="Times New Roman" w:cs="Times New Roman" w:eastAsia="Times New Roman" w:hAnsi="Times New Roman"/>
          <w:sz w:val="17"/>
          <w:szCs w:val="17"/>
          <w:b w:val="1"/>
          <w:bCs w:val="1"/>
          <w:color w:val="auto"/>
        </w:rPr>
      </w:pPr>
    </w:p>
    <w:p>
      <w:pPr>
        <w:jc w:val="both"/>
        <w:ind w:left="948" w:right="260" w:hanging="530"/>
        <w:spacing w:after="0" w:line="277" w:lineRule="auto"/>
        <w:tabs>
          <w:tab w:leader="none" w:pos="948"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Privacy. </w:t>
      </w:r>
      <w:r>
        <w:rPr>
          <w:rFonts w:ascii="Times New Roman" w:cs="Times New Roman" w:eastAsia="Times New Roman" w:hAnsi="Times New Roman"/>
          <w:sz w:val="17"/>
          <w:szCs w:val="17"/>
          <w:color w:val="auto"/>
        </w:rPr>
        <w:t>If Client provides Tempus with protected health information (as defined in the Health Insurance Portability and Accountability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of 1996 and its implementing regulations (“</w:t>
      </w:r>
      <w:r>
        <w:rPr>
          <w:rFonts w:ascii="Times New Roman" w:cs="Times New Roman" w:eastAsia="Times New Roman" w:hAnsi="Times New Roman"/>
          <w:sz w:val="17"/>
          <w:szCs w:val="17"/>
          <w:u w:val="single" w:color="auto"/>
          <w:color w:val="auto"/>
        </w:rPr>
        <w:t>HIPAA</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PHI</w:t>
      </w:r>
      <w:r>
        <w:rPr>
          <w:rFonts w:ascii="Times New Roman" w:cs="Times New Roman" w:eastAsia="Times New Roman" w:hAnsi="Times New Roman"/>
          <w:sz w:val="17"/>
          <w:szCs w:val="17"/>
          <w:color w:val="auto"/>
        </w:rPr>
        <w:t>”) under this Agreement, the Parties will enter into a business associate agreement, which will be deemed incorporated into this Agreement.</w:t>
      </w:r>
    </w:p>
    <w:p>
      <w:pPr>
        <w:spacing w:after="0" w:line="68" w:lineRule="exact"/>
        <w:rPr>
          <w:rFonts w:ascii="Times New Roman" w:cs="Times New Roman" w:eastAsia="Times New Roman" w:hAnsi="Times New Roman"/>
          <w:sz w:val="17"/>
          <w:szCs w:val="17"/>
          <w:color w:val="auto"/>
        </w:rPr>
      </w:pPr>
    </w:p>
    <w:p>
      <w:pPr>
        <w:ind w:left="948" w:right="40" w:hanging="530"/>
        <w:spacing w:after="0" w:line="261" w:lineRule="auto"/>
        <w:tabs>
          <w:tab w:leader="none" w:pos="948"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Non-disclosure. </w:t>
      </w:r>
      <w:r>
        <w:rPr>
          <w:rFonts w:ascii="Times New Roman" w:cs="Times New Roman" w:eastAsia="Times New Roman" w:hAnsi="Times New Roman"/>
          <w:sz w:val="17"/>
          <w:szCs w:val="17"/>
          <w:color w:val="auto"/>
        </w:rPr>
        <w:t>Any non-public information provided by a Party (the “</w:t>
      </w:r>
      <w:r>
        <w:rPr>
          <w:rFonts w:ascii="Times New Roman" w:cs="Times New Roman" w:eastAsia="Times New Roman" w:hAnsi="Times New Roman"/>
          <w:sz w:val="17"/>
          <w:szCs w:val="17"/>
          <w:u w:val="single" w:color="auto"/>
          <w:color w:val="auto"/>
        </w:rPr>
        <w:t>Disclosing Party</w:t>
      </w:r>
      <w:r>
        <w:rPr>
          <w:rFonts w:ascii="Times New Roman" w:cs="Times New Roman" w:eastAsia="Times New Roman" w:hAnsi="Times New Roman"/>
          <w:sz w:val="17"/>
          <w:szCs w:val="17"/>
          <w:color w:val="auto"/>
        </w:rPr>
        <w:t>”) to the other Party (the “</w:t>
      </w: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this Agreement, including specific terms and pricing, is the Disclosing Party’s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During the Term and the subsequent three (3) year period, the Receiving Party will maintain all Confidential Information in confidence and use it only as reasonably necessary to perform its obligations and exercise its rights under this Agreement. Confidential Information excludes information that (i) is publicly available through no fault of the Receiving Party or anyone to whom the Receiving Party made such information available; (ii) was lawfully obtained by the Receiving Party on a non-confidential basis from a third party; (iii) the Receiving Party can conclusively demonstrate was legally in its possession before the Disclosing Party provided it to the Receiving Party; or (iv) was independently developed by the Receiving Party or on its behalf without the use of any information provided to the Receiving Party by the Disclosing Party. In addition and notwithstanding anything to the contrary, the De-Identified Data (defined below) and any aggregated or otherwise de-identified data stored in Tempus’ technology platform is not Client’s Confidential Information under this Agreement.</w:t>
      </w:r>
    </w:p>
    <w:p>
      <w:pPr>
        <w:spacing w:after="0" w:line="82" w:lineRule="exact"/>
        <w:rPr>
          <w:rFonts w:ascii="Times New Roman" w:cs="Times New Roman" w:eastAsia="Times New Roman" w:hAnsi="Times New Roman"/>
          <w:sz w:val="17"/>
          <w:szCs w:val="17"/>
          <w:color w:val="auto"/>
        </w:rPr>
      </w:pPr>
    </w:p>
    <w:p>
      <w:pPr>
        <w:ind w:left="948" w:right="40" w:hanging="530"/>
        <w:spacing w:after="0" w:line="262" w:lineRule="auto"/>
        <w:tabs>
          <w:tab w:leader="none" w:pos="948"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 Except to the extent expressly stated otherwise, this Agreement does not grant either Party a license to or any right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other Party’s intellectual property. Without limiting the generality of the foregoing, Tempus reserves all rights in Tempus Materials, during the Term and otherwise. “</w:t>
      </w:r>
      <w:r>
        <w:rPr>
          <w:rFonts w:ascii="Times New Roman" w:cs="Times New Roman" w:eastAsia="Times New Roman" w:hAnsi="Times New Roman"/>
          <w:sz w:val="17"/>
          <w:szCs w:val="17"/>
          <w:u w:val="single" w:color="auto"/>
          <w:color w:val="auto"/>
        </w:rPr>
        <w:t>Tempus Materials</w:t>
      </w:r>
      <w:r>
        <w:rPr>
          <w:rFonts w:ascii="Times New Roman" w:cs="Times New Roman" w:eastAsia="Times New Roman" w:hAnsi="Times New Roman"/>
          <w:sz w:val="17"/>
          <w:szCs w:val="17"/>
          <w:color w:val="auto"/>
        </w:rPr>
        <w:t>” means any data, technology, software, formulas, techniques or know-how and other tangible and intangible items that are owned or created by Tempus, and “</w:t>
      </w:r>
      <w:r>
        <w:rPr>
          <w:rFonts w:ascii="Times New Roman" w:cs="Times New Roman" w:eastAsia="Times New Roman" w:hAnsi="Times New Roman"/>
          <w:sz w:val="17"/>
          <w:szCs w:val="17"/>
          <w:u w:val="single" w:color="auto"/>
          <w:color w:val="auto"/>
        </w:rPr>
        <w:t>Pathos Materials</w:t>
      </w:r>
      <w:r>
        <w:rPr>
          <w:rFonts w:ascii="Times New Roman" w:cs="Times New Roman" w:eastAsia="Times New Roman" w:hAnsi="Times New Roman"/>
          <w:sz w:val="17"/>
          <w:szCs w:val="17"/>
          <w:color w:val="auto"/>
        </w:rPr>
        <w:t>” means any data, technology, software, formulas, techniques or know-how and other tangible and intangible items that are owned or created by Pathos. Tempus will be and remain, at all times, the sole owner of the Tempus Materials, including any replacements, improvements, updates, enhancements, derivative works, and other modifications to the same. Pathos will be and remain, at all times, the sole owner of the Pathos Materials, including any replacements, improvements, updates, enhancements, derivative works, and other modifications to the same.</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68"/>
          </w:cols>
          <w:pgMar w:left="612" w:top="263" w:right="619" w:bottom="1440" w:gutter="0" w:footer="0" w:header="0"/>
        </w:sectPr>
      </w:pPr>
    </w:p>
    <w:bookmarkStart w:id="421" w:name="page422"/>
    <w:bookmarkEnd w:id="421"/>
    <w:p>
      <w:pPr>
        <w:jc w:val="both"/>
        <w:ind w:left="948"/>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Pathos will also own its copy of items provided under this Agreement that are expressly described as Deliverables in the applicable Exhibit or Order Form. For clarification, Licensed Data shall be considered Tempus Materials and never a Deliverable. Tempus Materials shall not include End User Generated Results, as defined in Exhibit 1, or other any other Pathos Materials.</w:t>
      </w:r>
    </w:p>
    <w:p>
      <w:pPr>
        <w:spacing w:after="0" w:line="68" w:lineRule="exact"/>
        <w:rPr>
          <w:sz w:val="20"/>
          <w:szCs w:val="20"/>
          <w:color w:val="auto"/>
        </w:rPr>
      </w:pPr>
    </w:p>
    <w:p>
      <w:pPr>
        <w:ind w:left="948" w:right="120" w:hanging="530"/>
        <w:spacing w:after="0" w:line="263" w:lineRule="auto"/>
        <w:tabs>
          <w:tab w:leader="none" w:pos="948"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Data. </w:t>
      </w:r>
      <w:r>
        <w:rPr>
          <w:rFonts w:ascii="Times New Roman" w:cs="Times New Roman" w:eastAsia="Times New Roman" w:hAnsi="Times New Roman"/>
          <w:sz w:val="17"/>
          <w:szCs w:val="17"/>
          <w:color w:val="auto"/>
        </w:rPr>
        <w:t>In service of Tempus’ mission to advance precision medicine, Tempus makes use of de-identified data to facilitate innovation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therapies and patient care and to continuously improve its technology, computational and predictive models, and other products and services. Accordingly, except as stated otherwise in an Exhibit or Order Form, Tempus may retain a de-identified copy of all Deliverables generated by and clinical data made available to Tempus under this Agreement (collectively, the “</w:t>
      </w:r>
      <w:r>
        <w:rPr>
          <w:rFonts w:ascii="Times New Roman" w:cs="Times New Roman" w:eastAsia="Times New Roman" w:hAnsi="Times New Roman"/>
          <w:sz w:val="17"/>
          <w:szCs w:val="17"/>
          <w:u w:val="single" w:color="auto"/>
          <w:color w:val="auto"/>
        </w:rPr>
        <w:t>De-Identified Data</w:t>
      </w:r>
      <w:r>
        <w:rPr>
          <w:rFonts w:ascii="Times New Roman" w:cs="Times New Roman" w:eastAsia="Times New Roman" w:hAnsi="Times New Roman"/>
          <w:sz w:val="17"/>
          <w:szCs w:val="17"/>
          <w:color w:val="auto"/>
        </w:rPr>
        <w:t>”). To the extent necessary, Tempus will de-identify such data in accordance with HIPAA, and for purposes of this Agreement, genomic sequencing data without other identifiers is not considered identifiable. Tempus owns the De-Identified Data and may use and share it for any purposes permitted under applicable law.</w:t>
      </w:r>
    </w:p>
    <w:p>
      <w:pPr>
        <w:spacing w:after="0" w:line="317"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w:t>
      </w:r>
      <w:r>
        <w:rPr>
          <w:rFonts w:ascii="Times New Roman" w:cs="Times New Roman" w:eastAsia="Times New Roman" w:hAnsi="Times New Roman"/>
          <w:sz w:val="17"/>
          <w:szCs w:val="17"/>
          <w:color w:val="auto"/>
        </w:rPr>
        <w:t>.</w:t>
      </w:r>
    </w:p>
    <w:p>
      <w:pPr>
        <w:spacing w:after="0" w:line="131" w:lineRule="exact"/>
        <w:rPr>
          <w:rFonts w:ascii="Times New Roman" w:cs="Times New Roman" w:eastAsia="Times New Roman" w:hAnsi="Times New Roman"/>
          <w:sz w:val="17"/>
          <w:szCs w:val="17"/>
          <w:b w:val="1"/>
          <w:bCs w:val="1"/>
          <w:color w:val="auto"/>
        </w:rPr>
      </w:pPr>
    </w:p>
    <w:p>
      <w:pPr>
        <w:ind w:left="948" w:right="60" w:hanging="530"/>
        <w:spacing w:after="0" w:line="267" w:lineRule="auto"/>
        <w:tabs>
          <w:tab w:leader="none" w:pos="948"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Mutual</w:t>
      </w:r>
      <w:r>
        <w:rPr>
          <w:rFonts w:ascii="Times New Roman" w:cs="Times New Roman" w:eastAsia="Times New Roman" w:hAnsi="Times New Roman"/>
          <w:sz w:val="17"/>
          <w:szCs w:val="17"/>
          <w:color w:val="auto"/>
        </w:rPr>
        <w:t>. Each Party will defend, indemnify, and hold harmless the other Party, its board, officers, employees, suppliers, agents, successors,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assigns from and against any costs, losses, damages, liabilities, expenses, demands and judgments, including court costs and attorney fees (collectively,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that arise out of a third party claim based on the negligent acts or willful misconduct of the indemnifying Party’s employees or agents that directly cause bodily injury or tangible property damage, if the injury or damage directly arises out of performance of this Agreement.</w:t>
      </w:r>
    </w:p>
    <w:p>
      <w:pPr>
        <w:spacing w:after="0" w:line="75" w:lineRule="exact"/>
        <w:rPr>
          <w:rFonts w:ascii="Times New Roman" w:cs="Times New Roman" w:eastAsia="Times New Roman" w:hAnsi="Times New Roman"/>
          <w:sz w:val="17"/>
          <w:szCs w:val="17"/>
          <w:color w:val="auto"/>
        </w:rPr>
      </w:pPr>
    </w:p>
    <w:p>
      <w:pPr>
        <w:ind w:left="948" w:hanging="530"/>
        <w:spacing w:after="0" w:line="262" w:lineRule="auto"/>
        <w:tabs>
          <w:tab w:leader="none" w:pos="948"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Tempus</w:t>
      </w:r>
      <w:r>
        <w:rPr>
          <w:rFonts w:ascii="Times New Roman" w:cs="Times New Roman" w:eastAsia="Times New Roman" w:hAnsi="Times New Roman"/>
          <w:sz w:val="17"/>
          <w:szCs w:val="17"/>
          <w:color w:val="auto"/>
        </w:rPr>
        <w:t>. Tempus will defend, indemnify, and hold Client, its board, officers, employees, suppliers, agents, successors, and assigns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harmless from and against any Losses that arise out of a third party claim alleging that the Tempus Materials used in providing the Services or any Software or Deliverable directly infringes a copyright, a U.S. patent issued as of the Effective Date, or any third party trademark. Tempus’ obligations under this Subsection are Client’s sole and exclusive remedy and Tempus’ sole obligation for any alleged infringement of intellectual property. Tempus does not have any obligations under this Subsection for claims of infringement or misappropriation based upon or arising out of: (i) any Deliverable, Software, or Tempus Materials modified without Tempus’ approval; (ii) the use of any Deliverable, Software, or Tempus Materials in combination with materials not provided by Tempus; or (iii) the use of any Deliverable, Software, or Tempus Materials other than as permitted under this Agreement.</w:t>
      </w:r>
    </w:p>
    <w:p>
      <w:pPr>
        <w:spacing w:after="0" w:line="83" w:lineRule="exact"/>
        <w:rPr>
          <w:rFonts w:ascii="Times New Roman" w:cs="Times New Roman" w:eastAsia="Times New Roman" w:hAnsi="Times New Roman"/>
          <w:sz w:val="17"/>
          <w:szCs w:val="17"/>
          <w:color w:val="auto"/>
        </w:rPr>
      </w:pPr>
    </w:p>
    <w:p>
      <w:pPr>
        <w:ind w:left="948" w:right="260" w:hanging="530"/>
        <w:spacing w:after="0" w:line="277" w:lineRule="auto"/>
        <w:tabs>
          <w:tab w:leader="none" w:pos="948"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Client</w:t>
      </w:r>
      <w:r>
        <w:rPr>
          <w:rFonts w:ascii="Times New Roman" w:cs="Times New Roman" w:eastAsia="Times New Roman" w:hAnsi="Times New Roman"/>
          <w:sz w:val="17"/>
          <w:szCs w:val="17"/>
          <w:color w:val="auto"/>
        </w:rPr>
        <w:t>. Client will defend, indemnify, and hold Tempus, its directors, officers, employees, suppliers, agents, successors, and assigns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harmless from and against any Losses that arise out of a third party claim regarding its use of any Services, Software, Licensed Data, or Deliverables.</w:t>
      </w:r>
    </w:p>
    <w:p>
      <w:pPr>
        <w:spacing w:after="0" w:line="68"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Process</w:t>
      </w:r>
      <w:r>
        <w:rPr>
          <w:rFonts w:ascii="Times New Roman" w:cs="Times New Roman" w:eastAsia="Times New Roman" w:hAnsi="Times New Roman"/>
          <w:sz w:val="17"/>
          <w:szCs w:val="17"/>
          <w:color w:val="auto"/>
        </w:rPr>
        <w:t>. The indemnification obligations in this Section are subject to the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(i) giving prompt notice to the</w:t>
      </w:r>
    </w:p>
    <w:p>
      <w:pPr>
        <w:spacing w:after="0" w:line="33" w:lineRule="exact"/>
        <w:rPr>
          <w:rFonts w:ascii="Times New Roman" w:cs="Times New Roman" w:eastAsia="Times New Roman" w:hAnsi="Times New Roman"/>
          <w:sz w:val="17"/>
          <w:szCs w:val="17"/>
          <w:color w:val="auto"/>
        </w:rPr>
      </w:pPr>
    </w:p>
    <w:p>
      <w:pPr>
        <w:ind w:left="948" w:right="4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of the claim for which indemnification is sought; (ii) reasonably cooperating in its defense; and (iii) granting the Indemnifying Party control over its defense and settlement. Any delay in notice will only excuse the Indemnifying Party’s obligations under this Section to the extent its defense of the claim is adversely affected. The Indemnifying Party will not agree to any finding of fault, action, or forbearance by the Indemnified Party without its advance written consent.</w:t>
      </w:r>
    </w:p>
    <w:p>
      <w:pPr>
        <w:spacing w:after="0" w:line="80" w:lineRule="exact"/>
        <w:rPr>
          <w:rFonts w:ascii="Times New Roman" w:cs="Times New Roman" w:eastAsia="Times New Roman" w:hAnsi="Times New Roman"/>
          <w:sz w:val="17"/>
          <w:szCs w:val="17"/>
          <w:color w:val="auto"/>
        </w:rPr>
      </w:pPr>
    </w:p>
    <w:p>
      <w:pPr>
        <w:ind w:left="428" w:right="180" w:hanging="428"/>
        <w:spacing w:after="0" w:line="298" w:lineRule="auto"/>
        <w:tabs>
          <w:tab w:leader="none" w:pos="428" w:val="left"/>
        </w:tabs>
        <w:numPr>
          <w:ilvl w:val="0"/>
          <w:numId w:val="1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Limitations. </w:t>
      </w:r>
      <w:r>
        <w:rPr>
          <w:rFonts w:ascii="Times New Roman" w:cs="Times New Roman" w:eastAsia="Times New Roman" w:hAnsi="Times New Roman"/>
          <w:sz w:val="17"/>
          <w:szCs w:val="17"/>
          <w:color w:val="auto"/>
        </w:rPr>
        <w:t>UNDER NO CIRCUMSTANCES WILL EITHER PARTY BE LIABLE FOR ANY SPECIAL, INCIDENTAL, EXEMPLARY,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CONSEQUENTIAL, PUNITIVE, OR OTHER INDIRECT DAMAGES SUFFERED BY THE OTHER OR ANY OTHER PERSON ARISING</w:t>
      </w:r>
    </w:p>
    <w:p>
      <w:pPr>
        <w:spacing w:after="0" w:line="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48"/>
          </w:cols>
          <w:pgMar w:left="612" w:top="264" w:right="639" w:bottom="1440" w:gutter="0" w:footer="0" w:header="0"/>
        </w:sectPr>
      </w:pPr>
    </w:p>
    <w:bookmarkStart w:id="422" w:name="page423"/>
    <w:bookmarkEnd w:id="422"/>
    <w:p>
      <w:pPr>
        <w:ind w:left="428" w:right="20"/>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FROM OR RELATED TO THIS AGREEMENT OR ANY SERVICES OR ACTIVITIES HEREUNDER, REGARDLESS OF WHETHER THE PARTY WAS ADVISED OF THE POSSIBILITY OF SUCH DAMAGES OR THEY WERE OTHERWISE FORESEEABLE. IN ADDITION, UNDER NO CIRCUMSTANCES WILL TEMPUS BE LIABLE FOR ANY INDIVIDUAL CLAIM, OR IN THE AGGREGATE FOR ALL CLAIMS, FOR ANY AMOUNT IN EXCESS OF THE GREATER OF THE FEES PAID BY CLIENT TO TEMPUS UNDER THIS AGREEMENT IN THE TWELVE (12) MONTHS PRECEDING THE CLAIM OR ONE HUNDRED THOUSAND DOLLARS ($100,000). THE LIMITATIONS SET FORTH IN THIS SECTION DO NOT APPLY TO EITHER PARTY’S PAYMENT OR INDEMNIFICATION OBLIGATIONS. TEMPUS DISCLAIMS ALL WARRANTIES AND REPRESENTATIONS NOT EXPRESSLY SET FORTH IN THIS AGREEMENT.</w:t>
      </w:r>
    </w:p>
    <w:p>
      <w:pPr>
        <w:spacing w:after="0" w:line="200" w:lineRule="exact"/>
        <w:rPr>
          <w:sz w:val="20"/>
          <w:szCs w:val="20"/>
          <w:color w:val="auto"/>
        </w:rPr>
      </w:pPr>
    </w:p>
    <w:p>
      <w:pPr>
        <w:spacing w:after="0" w:line="330" w:lineRule="exact"/>
        <w:rPr>
          <w:sz w:val="20"/>
          <w:szCs w:val="20"/>
          <w:color w:val="auto"/>
        </w:rPr>
      </w:pPr>
    </w:p>
    <w:p>
      <w:pPr>
        <w:ind w:left="428" w:hanging="428"/>
        <w:spacing w:after="0"/>
        <w:tabs>
          <w:tab w:leader="none" w:pos="428" w:val="left"/>
        </w:tabs>
        <w:numPr>
          <w:ilvl w:val="0"/>
          <w:numId w:val="1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p>
    <w:p>
      <w:pPr>
        <w:spacing w:after="0" w:line="131" w:lineRule="exact"/>
        <w:rPr>
          <w:rFonts w:ascii="Times New Roman" w:cs="Times New Roman" w:eastAsia="Times New Roman" w:hAnsi="Times New Roman"/>
          <w:sz w:val="17"/>
          <w:szCs w:val="17"/>
          <w:b w:val="1"/>
          <w:bCs w:val="1"/>
          <w:color w:val="auto"/>
        </w:rPr>
      </w:pPr>
    </w:p>
    <w:p>
      <w:pPr>
        <w:ind w:left="948" w:right="240" w:hanging="530"/>
        <w:spacing w:after="0" w:line="270" w:lineRule="auto"/>
        <w:tabs>
          <w:tab w:leader="none" w:pos="948"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 This Agreement is effective as of the Effective Date and will continue for five (5) years following the Amendment Effective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Initial Term</w:t>
      </w:r>
      <w:r>
        <w:rPr>
          <w:rFonts w:ascii="Times New Roman" w:cs="Times New Roman" w:eastAsia="Times New Roman" w:hAnsi="Times New Roman"/>
          <w:sz w:val="17"/>
          <w:szCs w:val="17"/>
          <w:color w:val="auto"/>
        </w:rPr>
        <w:t>”). Thereafter, the Agreement will renew for an additional five (5) year term (the “</w:t>
      </w:r>
      <w:r>
        <w:rPr>
          <w:rFonts w:ascii="Times New Roman" w:cs="Times New Roman" w:eastAsia="Times New Roman" w:hAnsi="Times New Roman"/>
          <w:sz w:val="17"/>
          <w:szCs w:val="17"/>
          <w:u w:val="single" w:color="auto"/>
          <w:color w:val="auto"/>
        </w:rPr>
        <w:t>Renewal Term</w:t>
      </w:r>
      <w:r>
        <w:rPr>
          <w:rFonts w:ascii="Times New Roman" w:cs="Times New Roman" w:eastAsia="Times New Roman" w:hAnsi="Times New Roman"/>
          <w:sz w:val="17"/>
          <w:szCs w:val="17"/>
          <w:color w:val="auto"/>
        </w:rPr>
        <w:t>”) until terminated in accordance with this Section. The Initial Term and the Renewal Term, if any, are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Sections 4 through 10 will survive termination of this Agreement.</w:t>
      </w:r>
    </w:p>
    <w:p>
      <w:pPr>
        <w:spacing w:after="0" w:line="74" w:lineRule="exact"/>
        <w:rPr>
          <w:rFonts w:ascii="Times New Roman" w:cs="Times New Roman" w:eastAsia="Times New Roman" w:hAnsi="Times New Roman"/>
          <w:sz w:val="17"/>
          <w:szCs w:val="17"/>
          <w:color w:val="auto"/>
        </w:rPr>
      </w:pPr>
    </w:p>
    <w:p>
      <w:pPr>
        <w:ind w:left="948" w:right="100" w:hanging="530"/>
        <w:spacing w:after="0" w:line="267" w:lineRule="auto"/>
        <w:tabs>
          <w:tab w:leader="none" w:pos="948"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Either Party may terminate this Agreement if the other has committed a material breach that is not cured to the reasonable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satisfaction of the non-breaching Party within thirty (30) days of receipt of written notice from the non-breaching Party. In addition, after the initial 5 year Term, either Party may terminate this Agreement at any time by providing at least one-hundred eighty (180) days written notice to the other Party, however, such termination will not apply to any ongoing Order Form(s) unless otherwise mutually agreed by the Parties, and applicable terms of the Agreement will survive until the surviving Order Form(s) are completed or terminated.</w:t>
      </w:r>
    </w:p>
    <w:p>
      <w:pPr>
        <w:spacing w:after="0" w:line="75" w:lineRule="exact"/>
        <w:rPr>
          <w:rFonts w:ascii="Times New Roman" w:cs="Times New Roman" w:eastAsia="Times New Roman" w:hAnsi="Times New Roman"/>
          <w:sz w:val="17"/>
          <w:szCs w:val="17"/>
          <w:color w:val="auto"/>
        </w:rPr>
      </w:pPr>
    </w:p>
    <w:p>
      <w:pPr>
        <w:ind w:left="948" w:right="20" w:hanging="530"/>
        <w:spacing w:after="0" w:line="264" w:lineRule="auto"/>
        <w:tabs>
          <w:tab w:leader="none" w:pos="948"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Changes. </w:t>
      </w:r>
      <w:r>
        <w:rPr>
          <w:rFonts w:ascii="Times New Roman" w:cs="Times New Roman" w:eastAsia="Times New Roman" w:hAnsi="Times New Roman"/>
          <w:sz w:val="17"/>
          <w:szCs w:val="17"/>
          <w:color w:val="auto"/>
        </w:rPr>
        <w:t>If either Party (the “</w:t>
      </w:r>
      <w:r>
        <w:rPr>
          <w:rFonts w:ascii="Times New Roman" w:cs="Times New Roman" w:eastAsia="Times New Roman" w:hAnsi="Times New Roman"/>
          <w:sz w:val="17"/>
          <w:szCs w:val="17"/>
          <w:u w:val="single" w:color="auto"/>
          <w:color w:val="auto"/>
        </w:rPr>
        <w:t>Noticing Party</w:t>
      </w:r>
      <w:r>
        <w:rPr>
          <w:rFonts w:ascii="Times New Roman" w:cs="Times New Roman" w:eastAsia="Times New Roman" w:hAnsi="Times New Roman"/>
          <w:sz w:val="17"/>
          <w:szCs w:val="17"/>
          <w:color w:val="auto"/>
        </w:rPr>
        <w:t>”) determines in good faith that a change in applicable law or regulation,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in how a current law or regulation is interpreted, (i) makes any part of this Agreement illegal or unenforceable, or (ii) materially changes the economic benefit or cost of performing this Agreement, then the Noticing Party will provide the other Party with a proposed amendment to this Agreement to address such change. The Parties will negotiate such amendment in good faith. If the Parties are unable to reach agreement within thirty (30) days of the initial notice, this Agreement will terminate. No liability will accrue to either Party for failure to perform under this Agreement during the period between notice under this Subsection and any amendment to or termination of this Agreement.</w:t>
      </w:r>
    </w:p>
    <w:p>
      <w:pPr>
        <w:spacing w:after="0" w:line="291" w:lineRule="exact"/>
        <w:rPr>
          <w:rFonts w:ascii="Times New Roman" w:cs="Times New Roman" w:eastAsia="Times New Roman" w:hAnsi="Times New Roman"/>
          <w:sz w:val="17"/>
          <w:szCs w:val="17"/>
          <w:color w:val="auto"/>
        </w:rPr>
      </w:pPr>
    </w:p>
    <w:p>
      <w:pPr>
        <w:ind w:left="948" w:hanging="530"/>
        <w:spacing w:after="0" w:line="267" w:lineRule="auto"/>
        <w:tabs>
          <w:tab w:leader="none" w:pos="948"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Upon Bankruptcy, Insolvency and the Like</w:t>
      </w:r>
      <w:r>
        <w:rPr>
          <w:rFonts w:ascii="Times New Roman" w:cs="Times New Roman" w:eastAsia="Times New Roman" w:hAnsi="Times New Roman"/>
          <w:sz w:val="17"/>
          <w:szCs w:val="17"/>
          <w:color w:val="auto"/>
        </w:rPr>
        <w:t>. Subject to applicable bankruptcy and insolvency laws, if either party (i) ceases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active conduct of business; (ii) voluntarily becomes subject to a bankruptcy or insolvency proceeding under federal or state statute; (iii) has filed against it an involuntary petition for bankruptcy that is not dismissed within sixty (60) days of filing; (iv) becomes insolvent or subject to direct control by a trustee, receiver, or similar authority; or (v) winds up or liquidates its business, voluntarily or otherwise, then the other party may, at its sole option, terminate this Agreement immediately upon written notice to the first party.</w:t>
      </w:r>
    </w:p>
    <w:p>
      <w:pPr>
        <w:spacing w:after="0" w:line="310"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1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r>
        <w:rPr>
          <w:rFonts w:ascii="Times New Roman" w:cs="Times New Roman" w:eastAsia="Times New Roman" w:hAnsi="Times New Roman"/>
          <w:sz w:val="17"/>
          <w:szCs w:val="17"/>
          <w:color w:val="auto"/>
        </w:rPr>
        <w:t>.</w:t>
      </w:r>
    </w:p>
    <w:p>
      <w:pPr>
        <w:spacing w:after="0" w:line="131" w:lineRule="exact"/>
        <w:rPr>
          <w:rFonts w:ascii="Times New Roman" w:cs="Times New Roman" w:eastAsia="Times New Roman" w:hAnsi="Times New Roman"/>
          <w:sz w:val="17"/>
          <w:szCs w:val="17"/>
          <w:b w:val="1"/>
          <w:bCs w:val="1"/>
          <w:color w:val="auto"/>
        </w:rPr>
      </w:pPr>
    </w:p>
    <w:p>
      <w:pPr>
        <w:ind w:left="948" w:right="100" w:hanging="530"/>
        <w:spacing w:after="0" w:line="277" w:lineRule="auto"/>
        <w:tabs>
          <w:tab w:leader="none" w:pos="948"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Governing Law and Disputes</w:t>
      </w:r>
      <w:r>
        <w:rPr>
          <w:rFonts w:ascii="Times New Roman" w:cs="Times New Roman" w:eastAsia="Times New Roman" w:hAnsi="Times New Roman"/>
          <w:sz w:val="17"/>
          <w:szCs w:val="17"/>
          <w:color w:val="auto"/>
        </w:rPr>
        <w:t>. This Agreement will be governed exclusively by the laws of Illinois, without regard to its conflict of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principles. The parties consent to exclusive jurisdiction and venue of the federal and state courts in Cook County, Illinois. The Parties will use good faith efforts to work together to resolve any disputes related to this Agreement, using mutually escalating discussions as needed.</w:t>
      </w:r>
    </w:p>
    <w:p>
      <w:pPr>
        <w:spacing w:after="0" w:line="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48"/>
          </w:cols>
          <w:pgMar w:left="612" w:top="264" w:right="639" w:bottom="1440" w:gutter="0" w:footer="0" w:header="0"/>
        </w:sectPr>
      </w:pPr>
    </w:p>
    <w:bookmarkStart w:id="423" w:name="page424"/>
    <w:bookmarkEnd w:id="423"/>
    <w:p>
      <w:pPr>
        <w:ind w:left="530" w:right="520" w:hanging="530"/>
        <w:spacing w:after="0" w:line="298" w:lineRule="auto"/>
        <w:tabs>
          <w:tab w:leader="none" w:pos="53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Force Majeure. </w:t>
      </w:r>
      <w:r>
        <w:rPr>
          <w:rFonts w:ascii="Times New Roman" w:cs="Times New Roman" w:eastAsia="Times New Roman" w:hAnsi="Times New Roman"/>
          <w:sz w:val="17"/>
          <w:szCs w:val="17"/>
          <w:color w:val="auto"/>
        </w:rPr>
        <w:t>Neither Party will be liable for any failure or delay of performance to the extent resulting from a cause outside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reasonable control, such as natural disaster, strike, fire, pandemic, governmental action, terrorism, or war.</w:t>
      </w:r>
    </w:p>
    <w:p>
      <w:pPr>
        <w:spacing w:after="0" w:line="50" w:lineRule="exact"/>
        <w:rPr>
          <w:rFonts w:ascii="Times New Roman" w:cs="Times New Roman" w:eastAsia="Times New Roman" w:hAnsi="Times New Roman"/>
          <w:sz w:val="17"/>
          <w:szCs w:val="17"/>
          <w:color w:val="auto"/>
        </w:rPr>
      </w:pPr>
    </w:p>
    <w:p>
      <w:pPr>
        <w:ind w:left="530" w:right="40" w:hanging="530"/>
        <w:spacing w:after="0" w:line="263" w:lineRule="auto"/>
        <w:tabs>
          <w:tab w:leader="none" w:pos="53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Anti-Corruption</w:t>
      </w:r>
      <w:r>
        <w:rPr>
          <w:rFonts w:ascii="Times New Roman" w:cs="Times New Roman" w:eastAsia="Times New Roman" w:hAnsi="Times New Roman"/>
          <w:sz w:val="17"/>
          <w:szCs w:val="17"/>
          <w:color w:val="auto"/>
        </w:rPr>
        <w:t>. Neither Party has received or been offered any illegal or improper payment, bribe, kickback, gift, or other item of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an employee or agent of the other Party in connection with this Agreement. The Parties intend for their relationship and interactions under this Agreement to comply with the following: (i) the federal anti-kickback statute (42 U.S.C. § 1320a-7b(b)) and the associated safe harbor regulations; and (ii) the limitation on certain physician referrals (Stark Law) (42 U.S.C. § 1395nn). Accordingly, no part of any remuneration provided under this Agreement or any other agreement between the Parties is a prohibited payment in exchange for recommending or arranging for the referral of business or the ordering of items or services, or otherwise intended to induce illegal referrals of business.</w:t>
      </w:r>
    </w:p>
    <w:p>
      <w:pPr>
        <w:spacing w:after="0" w:line="81" w:lineRule="exact"/>
        <w:rPr>
          <w:rFonts w:ascii="Times New Roman" w:cs="Times New Roman" w:eastAsia="Times New Roman" w:hAnsi="Times New Roman"/>
          <w:sz w:val="17"/>
          <w:szCs w:val="17"/>
          <w:color w:val="auto"/>
        </w:rPr>
      </w:pPr>
    </w:p>
    <w:p>
      <w:pPr>
        <w:ind w:left="530" w:right="200" w:hanging="530"/>
        <w:spacing w:after="0" w:line="263" w:lineRule="auto"/>
        <w:tabs>
          <w:tab w:leader="none" w:pos="53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Exclusion and Debarment. </w:t>
      </w:r>
      <w:r>
        <w:rPr>
          <w:rFonts w:ascii="Times New Roman" w:cs="Times New Roman" w:eastAsia="Times New Roman" w:hAnsi="Times New Roman"/>
          <w:sz w:val="17"/>
          <w:szCs w:val="17"/>
          <w:color w:val="auto"/>
        </w:rPr>
        <w:t>As of the date of this Agreement and to the best of Tempus’ knowledge, neither Tempus nor any Tempus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personnel providing Services under this Agreement: (i) have been the subject of a debarment proceeding under 21 U.S.C. § 335a; (ii) are excluded from participation in Medicare, Medicaid, or any other federal or state health care program; or (iii) are the subject of any government investigation that could result in such debarment or exclusion. If Tempus becomes aware of such an event during the Term with respect to Tempus personnel, it will promptly terminate its relationship with the affected personnel or remove them from providing Services to Client. If Tempus becomes aware of such an event with respect to itself during the Term, it will promptly inform Client, and Client may immediately terminate this Agreement.</w:t>
      </w:r>
    </w:p>
    <w:p>
      <w:pPr>
        <w:spacing w:after="0" w:line="81" w:lineRule="exact"/>
        <w:rPr>
          <w:rFonts w:ascii="Times New Roman" w:cs="Times New Roman" w:eastAsia="Times New Roman" w:hAnsi="Times New Roman"/>
          <w:sz w:val="17"/>
          <w:szCs w:val="17"/>
          <w:color w:val="auto"/>
        </w:rPr>
      </w:pPr>
    </w:p>
    <w:p>
      <w:pPr>
        <w:ind w:left="530" w:right="60" w:hanging="530"/>
        <w:spacing w:after="0" w:line="277" w:lineRule="auto"/>
        <w:tabs>
          <w:tab w:leader="none" w:pos="53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w:t>
      </w:r>
      <w:r>
        <w:rPr>
          <w:rFonts w:ascii="Times New Roman" w:cs="Times New Roman" w:eastAsia="Times New Roman" w:hAnsi="Times New Roman"/>
          <w:sz w:val="17"/>
          <w:szCs w:val="17"/>
          <w:color w:val="auto"/>
        </w:rPr>
        <w:t>Notice required under this Agreement will be in writing, delivered to the address for each Party listed above, and clearly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identifiable as a legal notice. Client will designate its billing contact and invoice address, and any subsequent changes to such information, by email to </w:t>
      </w:r>
      <w:r>
        <w:rPr>
          <w:rFonts w:ascii="Times New Roman" w:cs="Times New Roman" w:eastAsia="Times New Roman" w:hAnsi="Times New Roman"/>
          <w:sz w:val="17"/>
          <w:szCs w:val="17"/>
          <w:u w:val="single" w:color="auto"/>
          <w:color w:val="auto"/>
        </w:rPr>
        <w:t>billing@Tempus.com</w:t>
      </w:r>
      <w:r>
        <w:rPr>
          <w:rFonts w:ascii="Times New Roman" w:cs="Times New Roman" w:eastAsia="Times New Roman" w:hAnsi="Times New Roman"/>
          <w:sz w:val="17"/>
          <w:szCs w:val="17"/>
          <w:color w:val="auto"/>
        </w:rPr>
        <w:t>. All notices to Tempus should be sent to legal@tempus.com.</w:t>
      </w:r>
    </w:p>
    <w:p>
      <w:pPr>
        <w:spacing w:after="0" w:line="68" w:lineRule="exact"/>
        <w:rPr>
          <w:rFonts w:ascii="Times New Roman" w:cs="Times New Roman" w:eastAsia="Times New Roman" w:hAnsi="Times New Roman"/>
          <w:sz w:val="17"/>
          <w:szCs w:val="17"/>
          <w:color w:val="auto"/>
        </w:rPr>
      </w:pPr>
    </w:p>
    <w:p>
      <w:pPr>
        <w:ind w:left="530" w:hanging="530"/>
        <w:spacing w:after="0" w:line="259" w:lineRule="auto"/>
        <w:tabs>
          <w:tab w:leader="none" w:pos="53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Binding Effect; Assignment</w:t>
      </w:r>
      <w:r>
        <w:rPr>
          <w:rFonts w:ascii="Times New Roman" w:cs="Times New Roman" w:eastAsia="Times New Roman" w:hAnsi="Times New Roman"/>
          <w:sz w:val="17"/>
          <w:szCs w:val="17"/>
          <w:color w:val="auto"/>
        </w:rPr>
        <w:t>. This Agreement is binding upon, and will inure to the benefit of, the successors and permitted assigns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Parties. Either Party may assign its rights and responsibilities under this Agreement to any of its affiliates or in connection with a merger, acquisition, corporate reorganization or sale of all or substantially all of its assets, provided that the assignee agrees in writing to be bound by the terms of this Agreement, and also provided that Client may not assign this Agreement if the assignee is a Top 20 pharmaceutical company based on annual revenue for the trailing 12 months prior to assignment without the prior written consent of Tempus, not to be withheld absent a reasonable determination by Tempus that the assignment would materially and adversely impact Tempus (e.g., by creating a conflict between this Agreement and Tempus’ contractual obligations to its other clients). If Tempus determines it is not able to consent to the assignment, Tempus will promptly propose an amendment to this Agreement making the minimum changes necessary to address such concern, and the Parties will work expediently and in good faith to reach agreement on terms that will allow the assignment to proceed. It is the intent of the Parties that the terms of this Agreement will remain at all times consistent with Tempus’ obligations to its other clients (e.g., with respect to most favored nations pricing commitments). A company that operates as an independent entity owned or controlled by a Top 20 pharmaceutical company (i.e., where the entity internally retains day-to-day discretion over its own management, policies, and purchasing decisions, and the equity of the Top 20 pharmaceutical company is not used to acquire Pathos) will not constitute a Top 20 pharmaceutical company for purposes of this Subsection, however, in such instance the Top 20 pharmaceutical company that owns or controls the assignee will not constitute an “Affiliate” for purposes of Exhibit 1.</w:t>
      </w:r>
    </w:p>
    <w:p>
      <w:pPr>
        <w:spacing w:after="0" w:line="118" w:lineRule="exact"/>
        <w:rPr>
          <w:sz w:val="20"/>
          <w:szCs w:val="20"/>
          <w:color w:val="auto"/>
        </w:rPr>
      </w:pPr>
    </w:p>
    <w:p>
      <w:pPr>
        <w:jc w:val="center"/>
        <w:ind w:right="41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250"/>
          </w:cols>
          <w:pgMar w:left="1030" w:top="263" w:right="619" w:bottom="1440" w:gutter="0" w:footer="0" w:header="0"/>
        </w:sectPr>
      </w:pPr>
    </w:p>
    <w:bookmarkStart w:id="424" w:name="page425"/>
    <w:bookmarkEnd w:id="424"/>
    <w:p>
      <w:pPr>
        <w:ind w:left="940" w:right="160" w:hanging="530"/>
        <w:spacing w:after="0" w:line="277" w:lineRule="auto"/>
        <w:tabs>
          <w:tab w:leader="none" w:pos="94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Subcontracting</w:t>
      </w:r>
      <w:r>
        <w:rPr>
          <w:rFonts w:ascii="Times New Roman" w:cs="Times New Roman" w:eastAsia="Times New Roman" w:hAnsi="Times New Roman"/>
          <w:sz w:val="17"/>
          <w:szCs w:val="17"/>
          <w:color w:val="auto"/>
        </w:rPr>
        <w:t>. Tempus may subcontract certain of its rights and obligations under this Agreement. Any Tempus subcontractor is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terms of this Agreement that would otherwise apply to Tempus, and Tempus is responsible for the acts and omissions of its subcontractor to the same extent as it is responsible for its own acts and omissions.</w:t>
      </w:r>
    </w:p>
    <w:p>
      <w:pPr>
        <w:spacing w:after="0" w:line="68" w:lineRule="exact"/>
        <w:rPr>
          <w:rFonts w:ascii="Times New Roman" w:cs="Times New Roman" w:eastAsia="Times New Roman" w:hAnsi="Times New Roman"/>
          <w:sz w:val="17"/>
          <w:szCs w:val="17"/>
          <w:color w:val="auto"/>
        </w:rPr>
      </w:pPr>
    </w:p>
    <w:p>
      <w:pPr>
        <w:ind w:left="940" w:right="20" w:hanging="530"/>
        <w:spacing w:after="0" w:line="267" w:lineRule="auto"/>
        <w:tabs>
          <w:tab w:leader="none" w:pos="94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Use of Name and Marks</w:t>
      </w:r>
      <w:r>
        <w:rPr>
          <w:rFonts w:ascii="Times New Roman" w:cs="Times New Roman" w:eastAsia="Times New Roman" w:hAnsi="Times New Roman"/>
          <w:sz w:val="17"/>
          <w:szCs w:val="17"/>
          <w:color w:val="auto"/>
        </w:rPr>
        <w:t>. To the extent legally required and subject to redaction of information that is not required to be disclosed (e.g.,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detailed pricing), each Party has the right to make public statements regarding the existence of this Agreement and an accurate description of the Services without the consent of the other Party. Neither Party may use the other Party’s name or marks for any other purpose without the other Party’s advance written consent. Any approved use of the other Party’s logo must be in the approved form and subject to any usage guidelines provided by the other Party.</w:t>
      </w:r>
    </w:p>
    <w:p>
      <w:pPr>
        <w:spacing w:after="0" w:line="75" w:lineRule="exact"/>
        <w:rPr>
          <w:rFonts w:ascii="Times New Roman" w:cs="Times New Roman" w:eastAsia="Times New Roman" w:hAnsi="Times New Roman"/>
          <w:sz w:val="17"/>
          <w:szCs w:val="17"/>
          <w:color w:val="auto"/>
        </w:rPr>
      </w:pPr>
    </w:p>
    <w:p>
      <w:pPr>
        <w:ind w:left="940" w:right="20" w:hanging="530"/>
        <w:spacing w:after="0" w:line="298" w:lineRule="auto"/>
        <w:tabs>
          <w:tab w:leader="none" w:pos="94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Relationship of the Parties</w:t>
      </w:r>
      <w:r>
        <w:rPr>
          <w:rFonts w:ascii="Times New Roman" w:cs="Times New Roman" w:eastAsia="Times New Roman" w:hAnsi="Times New Roman"/>
          <w:sz w:val="17"/>
          <w:szCs w:val="17"/>
          <w:color w:val="auto"/>
        </w:rPr>
        <w:t>. The Parties are independent contractors. This Agreement does not create a partnership, franchise, joint venture,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agency, fiduciary, or employment relationship between the Parties.</w:t>
      </w:r>
    </w:p>
    <w:p>
      <w:pPr>
        <w:spacing w:after="0" w:line="50" w:lineRule="exact"/>
        <w:rPr>
          <w:rFonts w:ascii="Times New Roman" w:cs="Times New Roman" w:eastAsia="Times New Roman" w:hAnsi="Times New Roman"/>
          <w:sz w:val="17"/>
          <w:szCs w:val="17"/>
          <w:color w:val="auto"/>
        </w:rPr>
      </w:pPr>
    </w:p>
    <w:p>
      <w:pPr>
        <w:ind w:left="940" w:right="20" w:hanging="530"/>
        <w:spacing w:after="0" w:line="261" w:lineRule="auto"/>
        <w:tabs>
          <w:tab w:leader="none" w:pos="94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Entire Agreement; Amendments and Waivers. </w:t>
      </w:r>
      <w:r>
        <w:rPr>
          <w:rFonts w:ascii="Times New Roman" w:cs="Times New Roman" w:eastAsia="Times New Roman" w:hAnsi="Times New Roman"/>
          <w:sz w:val="17"/>
          <w:szCs w:val="17"/>
          <w:color w:val="auto"/>
        </w:rPr>
        <w:t>This Agreement, which includes all Exhibits and fully executed Order Forms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amendments, is the entire understanding between the Parties on its subject matter and supersedes all prior or contemporaneous discussions, representations, and agreements, oral or written, between the Parties. Tempus accepts Client’s purchase orders for convenience only, and the terms of any purchase order do not bind Tempus. There are no third party beneficiaries to this Agreement. If any provision in this Agreement is held invalid or unenforceable, the remainder of the Agreement will remain enforceable to the fullest extent permitted by law, so long as such change does not materially change the cost or benefit of the Agreement to a Party. Any term or provision of this Agreement may be amended, and the observance of any term of this Agreement may be waived, only by a writing signed by the Parties. Failure to enforce any term of this Agreement is not a waiver. The terms of any Exhibit or fully executed Order Form will supersede the body of this Agreement to the extent necessary to address a direct conflict.</w:t>
      </w:r>
    </w:p>
    <w:p>
      <w:pPr>
        <w:spacing w:after="0" w:line="86" w:lineRule="exact"/>
        <w:rPr>
          <w:rFonts w:ascii="Times New Roman" w:cs="Times New Roman" w:eastAsia="Times New Roman" w:hAnsi="Times New Roman"/>
          <w:sz w:val="17"/>
          <w:szCs w:val="17"/>
          <w:color w:val="auto"/>
        </w:rPr>
      </w:pPr>
    </w:p>
    <w:p>
      <w:pPr>
        <w:ind w:left="940" w:right="40" w:hanging="530"/>
        <w:spacing w:after="0" w:line="298" w:lineRule="auto"/>
        <w:tabs>
          <w:tab w:leader="none" w:pos="94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executed in any number of counterparts, each of which is deemed an original and all of which taken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together constitute the Agreement.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Pathos AI, Inc.</w:t>
            </w:r>
          </w:p>
        </w:tc>
        <w:tc>
          <w:tcPr>
            <w:tcW w:w="5540" w:type="dxa"/>
            <w:vAlign w:val="bottom"/>
            <w:gridSpan w:val="3"/>
          </w:tcPr>
          <w:p>
            <w:pPr>
              <w:ind w:left="440"/>
              <w:spacing w:after="0"/>
              <w:rPr>
                <w:sz w:val="20"/>
                <w:szCs w:val="20"/>
                <w:color w:val="auto"/>
              </w:rPr>
            </w:pPr>
            <w:r>
              <w:rPr>
                <w:rFonts w:ascii="Times New Roman" w:cs="Times New Roman" w:eastAsia="Times New Roman" w:hAnsi="Times New Roman"/>
                <w:sz w:val="17"/>
                <w:szCs w:val="17"/>
                <w:b w:val="1"/>
                <w:bCs w:val="1"/>
                <w:color w:val="auto"/>
              </w:rPr>
              <w:t>Tempus AI, Inc.</w:t>
            </w:r>
          </w:p>
        </w:tc>
      </w:tr>
      <w:tr>
        <w:trPr>
          <w:trHeight w:val="216"/>
        </w:trPr>
        <w:tc>
          <w:tcPr>
            <w:tcW w:w="56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r>
      <w:tr>
        <w:trPr>
          <w:trHeight w:val="3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Matt De Silva</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Name:</w:t>
            </w:r>
          </w:p>
        </w:tc>
        <w:tc>
          <w:tcPr>
            <w:tcW w:w="4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Ryan Bartolucci</w:t>
            </w: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Chief Operating Officer</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CAO</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12-Feb-2024</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Date:</w:t>
            </w:r>
          </w:p>
        </w:tc>
        <w:tc>
          <w:tcPr>
            <w:tcW w:w="4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05-Feb-2024</w:t>
            </w:r>
          </w:p>
        </w:tc>
      </w:tr>
      <w:tr>
        <w:trPr>
          <w:trHeight w:val="353"/>
        </w:trPr>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6</w:t>
            </w:r>
          </w:p>
        </w:tc>
        <w:tc>
          <w:tcPr>
            <w:tcW w:w="54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0660"/>
          </w:cols>
          <w:pgMar w:left="620" w:top="263" w:right="619" w:bottom="1440" w:gutter="0" w:footer="0" w:header="0"/>
        </w:sectPr>
      </w:pPr>
    </w:p>
    <w:bookmarkStart w:id="425" w:name="page426"/>
    <w:bookmarkEnd w:id="425"/>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Licensed Data Terms</w:t>
      </w:r>
    </w:p>
    <w:p>
      <w:pPr>
        <w:spacing w:after="0" w:line="131" w:lineRule="exact"/>
        <w:rPr>
          <w:sz w:val="20"/>
          <w:szCs w:val="20"/>
          <w:color w:val="auto"/>
        </w:rPr>
      </w:pPr>
    </w:p>
    <w:p>
      <w:pPr>
        <w:ind w:left="428" w:hanging="428"/>
        <w:spacing w:after="0"/>
        <w:tabs>
          <w:tab w:leader="none" w:pos="428" w:val="left"/>
        </w:tabs>
        <w:numPr>
          <w:ilvl w:val="0"/>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b w:val="1"/>
          <w:bCs w:val="1"/>
          <w:color w:val="auto"/>
        </w:rPr>
      </w:pPr>
    </w:p>
    <w:p>
      <w:pPr>
        <w:ind w:left="948" w:hanging="530"/>
        <w:spacing w:after="0" w:line="276" w:lineRule="auto"/>
        <w:tabs>
          <w:tab w:leader="none" w:pos="948"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 legal entity that is controlled by or under common control with the Party, where “control” means possession, directly or indirectly, of the power to direct the Party’s management or policies, whether through the ownership of voting securities, by contract, or otherwise.</w:t>
      </w:r>
    </w:p>
    <w:p>
      <w:pPr>
        <w:spacing w:after="0" w:line="70"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Analytical Services Results</w:t>
      </w:r>
      <w:r>
        <w:rPr>
          <w:rFonts w:ascii="Times New Roman" w:cs="Times New Roman" w:eastAsia="Times New Roman" w:hAnsi="Times New Roman"/>
          <w:sz w:val="17"/>
          <w:szCs w:val="17"/>
          <w:color w:val="auto"/>
        </w:rPr>
        <w:t>” means Results created by Tempus pursuant to a Licensed Data Order Form.</w:t>
      </w:r>
    </w:p>
    <w:p>
      <w:pPr>
        <w:spacing w:after="0" w:line="131" w:lineRule="exact"/>
        <w:rPr>
          <w:rFonts w:ascii="Times New Roman" w:cs="Times New Roman" w:eastAsia="Times New Roman" w:hAnsi="Times New Roman"/>
          <w:sz w:val="17"/>
          <w:szCs w:val="17"/>
          <w:color w:val="auto"/>
        </w:rPr>
      </w:pPr>
    </w:p>
    <w:p>
      <w:pPr>
        <w:ind w:left="948" w:right="320" w:hanging="530"/>
        <w:spacing w:after="0" w:line="295" w:lineRule="auto"/>
        <w:tabs>
          <w:tab w:leader="none" w:pos="948"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Authorized Users</w:t>
      </w:r>
      <w:r>
        <w:rPr>
          <w:rFonts w:ascii="Times New Roman" w:cs="Times New Roman" w:eastAsia="Times New Roman" w:hAnsi="Times New Roman"/>
          <w:sz w:val="17"/>
          <w:szCs w:val="17"/>
          <w:color w:val="auto"/>
        </w:rPr>
        <w:t>” means employees or contractors of Client or Client’s Affiliates, provided that each user will be a named individual who is subject to all applicable terms of this Agreement.</w:t>
      </w:r>
    </w:p>
    <w:p>
      <w:pPr>
        <w:spacing w:after="0" w:line="55"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Recipient</w:t>
      </w:r>
      <w:r>
        <w:rPr>
          <w:rFonts w:ascii="Times New Roman" w:cs="Times New Roman" w:eastAsia="Times New Roman" w:hAnsi="Times New Roman"/>
          <w:sz w:val="17"/>
          <w:szCs w:val="17"/>
          <w:color w:val="auto"/>
        </w:rPr>
        <w:t>” means a physician licensed to practice in the U.S. or a U.S. teaching hospital.</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End User Generated Results</w:t>
      </w:r>
      <w:r>
        <w:rPr>
          <w:rFonts w:ascii="Times New Roman" w:cs="Times New Roman" w:eastAsia="Times New Roman" w:hAnsi="Times New Roman"/>
          <w:sz w:val="17"/>
          <w:szCs w:val="17"/>
          <w:color w:val="auto"/>
        </w:rPr>
        <w:t>” means Results created by Client based, in whole or in part, on Licensed Data.</w:t>
      </w:r>
    </w:p>
    <w:p>
      <w:pPr>
        <w:spacing w:after="0" w:line="131" w:lineRule="exact"/>
        <w:rPr>
          <w:rFonts w:ascii="Times New Roman" w:cs="Times New Roman" w:eastAsia="Times New Roman" w:hAnsi="Times New Roman"/>
          <w:sz w:val="17"/>
          <w:szCs w:val="17"/>
          <w:color w:val="auto"/>
        </w:rPr>
      </w:pPr>
    </w:p>
    <w:p>
      <w:pPr>
        <w:ind w:left="948" w:right="40" w:hanging="530"/>
        <w:spacing w:after="0" w:line="295" w:lineRule="auto"/>
        <w:tabs>
          <w:tab w:leader="none" w:pos="948"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Licensed Data</w:t>
      </w:r>
      <w:r>
        <w:rPr>
          <w:rFonts w:ascii="Times New Roman" w:cs="Times New Roman" w:eastAsia="Times New Roman" w:hAnsi="Times New Roman"/>
          <w:sz w:val="17"/>
          <w:szCs w:val="17"/>
          <w:color w:val="auto"/>
        </w:rPr>
        <w:t>” means a subset or cohort of Tempus’s proprietary database of de-identified clinical and molecular data that is transferred from Tempus to Pathos pursuant to the terms and conditions set forth herein, including Downloaded Data, as defined below in this Exhibit.</w:t>
      </w:r>
    </w:p>
    <w:p>
      <w:pPr>
        <w:spacing w:after="0" w:line="55" w:lineRule="exact"/>
        <w:rPr>
          <w:rFonts w:ascii="Times New Roman" w:cs="Times New Roman" w:eastAsia="Times New Roman" w:hAnsi="Times New Roman"/>
          <w:sz w:val="17"/>
          <w:szCs w:val="17"/>
          <w:color w:val="auto"/>
        </w:rPr>
      </w:pPr>
    </w:p>
    <w:p>
      <w:pPr>
        <w:jc w:val="both"/>
        <w:ind w:left="948" w:right="200" w:hanging="530"/>
        <w:spacing w:after="0" w:line="276" w:lineRule="auto"/>
        <w:tabs>
          <w:tab w:leader="none" w:pos="948"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 Term</w:t>
      </w:r>
      <w:r>
        <w:rPr>
          <w:rFonts w:ascii="Times New Roman" w:cs="Times New Roman" w:eastAsia="Times New Roman" w:hAnsi="Times New Roman"/>
          <w:sz w:val="17"/>
          <w:szCs w:val="17"/>
          <w:color w:val="auto"/>
        </w:rPr>
        <w:t>” means (i) with respect to Downloaded Data, the Evaluation Period, and (ii) with respect to other Licensed Data licensed pursuant to Sections 4(c)-(d) of this Exhibit, the duration of time listed in an Order Form during which Client maintains a license to such other Licensed Data.</w:t>
      </w:r>
    </w:p>
    <w:p>
      <w:pPr>
        <w:spacing w:after="0" w:line="70" w:lineRule="exact"/>
        <w:rPr>
          <w:rFonts w:ascii="Times New Roman" w:cs="Times New Roman" w:eastAsia="Times New Roman" w:hAnsi="Times New Roman"/>
          <w:sz w:val="17"/>
          <w:szCs w:val="17"/>
          <w:color w:val="auto"/>
        </w:rPr>
      </w:pPr>
    </w:p>
    <w:p>
      <w:pPr>
        <w:ind w:left="948" w:right="200" w:hanging="530"/>
        <w:spacing w:after="0" w:line="295" w:lineRule="auto"/>
        <w:tabs>
          <w:tab w:leader="none" w:pos="948"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Payment or Transfer of Value</w:t>
      </w:r>
      <w:r>
        <w:rPr>
          <w:rFonts w:ascii="Times New Roman" w:cs="Times New Roman" w:eastAsia="Times New Roman" w:hAnsi="Times New Roman"/>
          <w:sz w:val="17"/>
          <w:szCs w:val="17"/>
          <w:color w:val="auto"/>
        </w:rPr>
        <w:t>” means a payment or transfer of value as defined in the U.S. Physician Payment Sunshine Act (42 USC § 1320a-7h(e)) and implementing regulations (42 CFR § 403.900 et seq.).</w:t>
      </w:r>
    </w:p>
    <w:p>
      <w:pPr>
        <w:spacing w:after="0" w:line="55" w:lineRule="exact"/>
        <w:rPr>
          <w:rFonts w:ascii="Times New Roman" w:cs="Times New Roman" w:eastAsia="Times New Roman" w:hAnsi="Times New Roman"/>
          <w:sz w:val="17"/>
          <w:szCs w:val="17"/>
          <w:color w:val="auto"/>
        </w:rPr>
      </w:pPr>
    </w:p>
    <w:p>
      <w:pPr>
        <w:ind w:left="948" w:right="60" w:hanging="530"/>
        <w:spacing w:after="0" w:line="261" w:lineRule="auto"/>
        <w:tabs>
          <w:tab w:leader="none" w:pos="948"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Uses</w:t>
      </w:r>
      <w:r>
        <w:rPr>
          <w:rFonts w:ascii="Times New Roman" w:cs="Times New Roman" w:eastAsia="Times New Roman" w:hAnsi="Times New Roman"/>
          <w:sz w:val="17"/>
          <w:szCs w:val="17"/>
          <w:color w:val="auto"/>
        </w:rPr>
        <w:t>” means any use allowed under applicable law that is for Client’s or its Affiliates’ therapeutic product development purposes (including use by Client or its Affiliates in conjunction with a third party collaboration for such purpose, where Client is financially at risk and meaningfully participating in the joint therapeutic product development project) and consistent with this Agreement. Permitted Uses include Client’s use of Licensed Data for Client to develop, train, improve, modify, and create derivative works of Client’s and its Affiliates’ machine learning/artificial intelligence (“AI/ML”) models solely for purposes of therapeutic product development (“Models”), Client’s development of embeddings data, training data, and test data for the Models (provided such data does not involve any impermissible use, reproduction, or retention of the Licensed Data), and Client’s use, deployment, commercialization or licensing of the Models, in all cases, subject to all terms and limitations of the Agreement. Notwithstanding anything to the contrary, Permitted Uses exclude any use of Licensed Data or Results (collectively, the “Permitted Uses Exclusions”):</w:t>
      </w:r>
    </w:p>
    <w:p>
      <w:pPr>
        <w:spacing w:after="0" w:line="86" w:lineRule="exact"/>
        <w:rPr>
          <w:rFonts w:ascii="Times New Roman" w:cs="Times New Roman" w:eastAsia="Times New Roman" w:hAnsi="Times New Roman"/>
          <w:sz w:val="17"/>
          <w:szCs w:val="17"/>
          <w:color w:val="auto"/>
        </w:rPr>
      </w:pPr>
    </w:p>
    <w:p>
      <w:pPr>
        <w:jc w:val="both"/>
        <w:ind w:left="1908" w:right="220" w:hanging="523"/>
        <w:spacing w:after="0" w:line="276" w:lineRule="auto"/>
        <w:tabs>
          <w:tab w:leader="none" w:pos="1908" w:val="left"/>
        </w:tabs>
        <w:numPr>
          <w:ilvl w:val="2"/>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design, develop, or produce any diagnostic product or service (including any algorithmic diagnostic product or service) other than companion diagnostic products or services for therapeutic products under development either by or on behalf of Client or its Affiliates or Client in collaboration with a third party,</w:t>
      </w:r>
    </w:p>
    <w:p>
      <w:pPr>
        <w:spacing w:after="0" w:line="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68"/>
          </w:cols>
          <w:pgMar w:left="612" w:top="262" w:right="619" w:bottom="1440" w:gutter="0" w:footer="0" w:header="0"/>
        </w:sectPr>
      </w:pPr>
    </w:p>
    <w:bookmarkStart w:id="426" w:name="page427"/>
    <w:bookmarkEnd w:id="426"/>
    <w:p>
      <w:pPr>
        <w:ind w:left="1908" w:hanging="523"/>
        <w:spacing w:after="0" w:line="264" w:lineRule="auto"/>
        <w:tabs>
          <w:tab w:leader="none" w:pos="1908"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service of a third party collaboration where (a) the primary purpose of such collaboration is to provide access to, or Results from use of, Licensed Data, (b) Client charges a fee or requires any other exchange of value as consideration for access to Licensed Data, or (c) Licensed Data is used by or on behalf of a third party for purposes independent of or unrelated to</w:t>
      </w:r>
    </w:p>
    <w:p>
      <w:pPr>
        <w:ind w:left="1908" w:right="36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therapeutic product development purposes by Client, or (ii) a collaboration between a third party and Client on a joint therapeutic product development project, or</w:t>
      </w:r>
    </w:p>
    <w:p>
      <w:pPr>
        <w:spacing w:after="0" w:line="72" w:lineRule="exact"/>
        <w:rPr>
          <w:rFonts w:ascii="Times New Roman" w:cs="Times New Roman" w:eastAsia="Times New Roman" w:hAnsi="Times New Roman"/>
          <w:sz w:val="17"/>
          <w:szCs w:val="17"/>
          <w:color w:val="auto"/>
        </w:rPr>
      </w:pPr>
    </w:p>
    <w:p>
      <w:pPr>
        <w:ind w:left="1908" w:right="320" w:hanging="523"/>
        <w:spacing w:after="0" w:line="295" w:lineRule="auto"/>
        <w:tabs>
          <w:tab w:leader="none" w:pos="1908"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services to a third party for its therapeutic product development, pursuant to an arrangement in which Client is compensated primarily on a fee-for-service or similar basis.</w:t>
      </w:r>
    </w:p>
    <w:p>
      <w:pPr>
        <w:spacing w:after="0" w:line="4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The Permitted Uses and Permitted Uses Exclusions will survive termination of the Agreement.</w:t>
      </w:r>
    </w:p>
    <w:p>
      <w:pPr>
        <w:spacing w:after="0" w:line="131" w:lineRule="exact"/>
        <w:rPr>
          <w:sz w:val="20"/>
          <w:szCs w:val="20"/>
          <w:color w:val="auto"/>
        </w:rPr>
      </w:pPr>
    </w:p>
    <w:p>
      <w:pPr>
        <w:ind w:left="948" w:right="20" w:hanging="530"/>
        <w:spacing w:after="0" w:line="264" w:lineRule="auto"/>
        <w:tabs>
          <w:tab w:leader="none" w:pos="948"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Reproduction</w:t>
      </w:r>
      <w:r>
        <w:rPr>
          <w:rFonts w:ascii="Times New Roman" w:cs="Times New Roman" w:eastAsia="Times New Roman" w:hAnsi="Times New Roman"/>
          <w:sz w:val="17"/>
          <w:szCs w:val="17"/>
          <w:color w:val="auto"/>
        </w:rPr>
        <w:t>” and variations thereof means any reproduction, display, disclosure, or publication of the Licensed Data other than in accordance with the Permitted Uses and all terms of the Agreement. Reproduction and variations thereof also include (i) any copies, excerpts, extracts, or mere translations of the Licensed Data, and (ii) data or information generated through use of a large language model or other AI/ML technology where the end result would allow a user to access or query the Licensed Data directly or would materially serve as a substitute for such access. For clarity, the immediately preceding sentence does not prohibit an Authorized User from accessing or querying downloaded copies of the Licensed Data in the Pathos Environment per Section 4(b) – (c).</w:t>
      </w:r>
    </w:p>
    <w:p>
      <w:pPr>
        <w:spacing w:after="0" w:line="82" w:lineRule="exact"/>
        <w:rPr>
          <w:rFonts w:ascii="Times New Roman" w:cs="Times New Roman" w:eastAsia="Times New Roman" w:hAnsi="Times New Roman"/>
          <w:sz w:val="17"/>
          <w:szCs w:val="17"/>
          <w:color w:val="auto"/>
        </w:rPr>
      </w:pPr>
    </w:p>
    <w:p>
      <w:pPr>
        <w:ind w:left="948" w:right="80" w:hanging="530"/>
        <w:spacing w:after="0" w:line="269" w:lineRule="auto"/>
        <w:tabs>
          <w:tab w:leader="none" w:pos="948"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Results</w:t>
      </w:r>
      <w:r>
        <w:rPr>
          <w:rFonts w:ascii="Times New Roman" w:cs="Times New Roman" w:eastAsia="Times New Roman" w:hAnsi="Times New Roman"/>
          <w:sz w:val="17"/>
          <w:szCs w:val="17"/>
          <w:color w:val="auto"/>
        </w:rPr>
        <w:t>” means analyses, summaries, reports, visualizations, information, data, applications, models, and software, excluding diagnostic products or services (including diagnostic software and algorithms) other than as expressly permitted under the definition of “Permitted Uses” above, created with or based on Licensed Data during the License Term, including improvements, enhancements modifications, and derivative works thereof, so long as such Results do not represent a Reproduction of the Licensed Data.</w:t>
      </w:r>
    </w:p>
    <w:p>
      <w:pPr>
        <w:spacing w:after="0" w:line="310"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License Grants.</w:t>
      </w:r>
    </w:p>
    <w:p>
      <w:pPr>
        <w:spacing w:after="0" w:line="131" w:lineRule="exact"/>
        <w:rPr>
          <w:rFonts w:ascii="Times New Roman" w:cs="Times New Roman" w:eastAsia="Times New Roman" w:hAnsi="Times New Roman"/>
          <w:sz w:val="17"/>
          <w:szCs w:val="17"/>
          <w:b w:val="1"/>
          <w:bCs w:val="1"/>
          <w:color w:val="auto"/>
        </w:rPr>
      </w:pPr>
    </w:p>
    <w:p>
      <w:pPr>
        <w:ind w:left="948" w:right="20" w:hanging="530"/>
        <w:spacing w:after="0" w:line="263" w:lineRule="auto"/>
        <w:tabs>
          <w:tab w:leader="none" w:pos="948"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Licensed Data</w:t>
      </w:r>
      <w:r>
        <w:rPr>
          <w:rFonts w:ascii="Times New Roman" w:cs="Times New Roman" w:eastAsia="Times New Roman" w:hAnsi="Times New Roman"/>
          <w:sz w:val="17"/>
          <w:szCs w:val="17"/>
          <w:color w:val="auto"/>
        </w:rPr>
        <w:t>. Subject to the terms and conditions herein and the Master Agreement (including payment of all fees), Tempus grants Client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limited, non-exclusive, revocable, non-transferable, right and license, without right of sublicense, which may be exercised through Authorized Users, to download, store, copy, use, compile, display, and access the cohort of Licensed Data, or compilations based upon such Licensed Data, only for Permitted Uses during the License Term. Client will ensure that any reproduction, display, disclosure, or publication by Client of results obtained by Client from the use of Licensed Data (or the Licensed Data itself) will be subject to appropriate attribution to Tempus with respect to the use and involvement of the Licensed Data obtained from Tempus (or its licensors) and any mutually agreed proprietary rights and disclaimer language with respect to the Licensed Data.</w:t>
      </w:r>
    </w:p>
    <w:p>
      <w:pPr>
        <w:spacing w:after="0" w:line="81" w:lineRule="exact"/>
        <w:rPr>
          <w:rFonts w:ascii="Times New Roman" w:cs="Times New Roman" w:eastAsia="Times New Roman" w:hAnsi="Times New Roman"/>
          <w:sz w:val="17"/>
          <w:szCs w:val="17"/>
          <w:color w:val="auto"/>
        </w:rPr>
      </w:pPr>
    </w:p>
    <w:p>
      <w:pPr>
        <w:ind w:left="948" w:right="680" w:hanging="530"/>
        <w:spacing w:after="0" w:line="298" w:lineRule="auto"/>
        <w:tabs>
          <w:tab w:leader="none" w:pos="948"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Analytical Services</w:t>
      </w:r>
      <w:r>
        <w:rPr>
          <w:rFonts w:ascii="Times New Roman" w:cs="Times New Roman" w:eastAsia="Times New Roman" w:hAnsi="Times New Roman"/>
          <w:sz w:val="17"/>
          <w:szCs w:val="17"/>
          <w:color w:val="auto"/>
        </w:rPr>
        <w:t>. To the extent documented in a fully executed agreement, Tempus will grant Client a limited, non-exclusive,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irrevocable, transferable, perpetual license, with the right to sublicense, to use Analytical Services Results for any lawful purpose.</w:t>
      </w:r>
    </w:p>
    <w:p>
      <w:pPr>
        <w:spacing w:after="0" w:line="50" w:lineRule="exact"/>
        <w:rPr>
          <w:rFonts w:ascii="Times New Roman" w:cs="Times New Roman" w:eastAsia="Times New Roman" w:hAnsi="Times New Roman"/>
          <w:sz w:val="17"/>
          <w:szCs w:val="17"/>
          <w:color w:val="auto"/>
        </w:rPr>
      </w:pPr>
    </w:p>
    <w:p>
      <w:pPr>
        <w:ind w:left="948" w:right="80" w:hanging="530"/>
        <w:spacing w:after="0" w:line="277" w:lineRule="auto"/>
        <w:tabs>
          <w:tab w:leader="none" w:pos="948"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End User Generated Results</w:t>
      </w:r>
      <w:r>
        <w:rPr>
          <w:rFonts w:ascii="Times New Roman" w:cs="Times New Roman" w:eastAsia="Times New Roman" w:hAnsi="Times New Roman"/>
          <w:sz w:val="17"/>
          <w:szCs w:val="17"/>
          <w:color w:val="auto"/>
        </w:rPr>
        <w:t>. To the extent Client creates End User Generated Results during the License Term, Client shall own such 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 Generated Results and may continue using the End User Generated Results for Permitted Uses following the expiration or termination of the License Term, so long as such End User Generated Results do not reproduce the Licensed Data.</w:t>
      </w:r>
    </w:p>
    <w:p>
      <w:pPr>
        <w:spacing w:after="0" w:line="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68"/>
          </w:cols>
          <w:pgMar w:left="612" w:top="264" w:right="619" w:bottom="1440" w:gutter="0" w:footer="0" w:header="0"/>
        </w:sectPr>
      </w:pPr>
    </w:p>
    <w:bookmarkStart w:id="427" w:name="page428"/>
    <w:bookmarkEnd w:id="427"/>
    <w:p>
      <w:pPr>
        <w:ind w:left="428" w:right="140" w:hanging="428"/>
        <w:spacing w:after="0" w:line="277" w:lineRule="auto"/>
        <w:tabs>
          <w:tab w:leader="none" w:pos="428" w:val="left"/>
        </w:tabs>
        <w:numPr>
          <w:ilvl w:val="0"/>
          <w:numId w:val="2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Licensed Data Services</w:t>
      </w:r>
      <w:r>
        <w:rPr>
          <w:rFonts w:ascii="Times New Roman" w:cs="Times New Roman" w:eastAsia="Times New Roman" w:hAnsi="Times New Roman"/>
          <w:sz w:val="17"/>
          <w:szCs w:val="17"/>
          <w:color w:val="auto"/>
        </w:rPr>
        <w:t>. Tempus can provide certain Services to assist Client with using, accessing, and understanding the Licensed Data.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Tempus will provide the Licensed Data Services described below in an amount (or for the duration) set forth in separate agreements executed by the parties (unless otherwise specified below):</w:t>
      </w:r>
    </w:p>
    <w:p>
      <w:pPr>
        <w:spacing w:after="0" w:line="68" w:lineRule="exact"/>
        <w:rPr>
          <w:rFonts w:ascii="Times New Roman" w:cs="Times New Roman" w:eastAsia="Times New Roman" w:hAnsi="Times New Roman"/>
          <w:sz w:val="17"/>
          <w:szCs w:val="17"/>
          <w:b w:val="1"/>
          <w:bCs w:val="1"/>
          <w:color w:val="auto"/>
        </w:rPr>
      </w:pPr>
    </w:p>
    <w:p>
      <w:pPr>
        <w:ind w:left="948" w:right="60" w:hanging="530"/>
        <w:spacing w:after="0" w:line="277" w:lineRule="auto"/>
        <w:tabs>
          <w:tab w:leader="none" w:pos="948"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Technical Services. </w:t>
      </w:r>
      <w:r>
        <w:rPr>
          <w:rFonts w:ascii="Times New Roman" w:cs="Times New Roman" w:eastAsia="Times New Roman" w:hAnsi="Times New Roman"/>
          <w:sz w:val="17"/>
          <w:szCs w:val="17"/>
          <w:color w:val="auto"/>
        </w:rPr>
        <w:t>Technical Services help Client understand, access, and use the Licensed Data, including training, technical support,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implementation guidance, and troubleshooting. Tempus will provide sufficient Technical Services during the Initial Term to enable Pathos to use and access Licensed Data.</w:t>
      </w:r>
    </w:p>
    <w:p>
      <w:pPr>
        <w:spacing w:after="0" w:line="68" w:lineRule="exact"/>
        <w:rPr>
          <w:rFonts w:ascii="Times New Roman" w:cs="Times New Roman" w:eastAsia="Times New Roman" w:hAnsi="Times New Roman"/>
          <w:sz w:val="17"/>
          <w:szCs w:val="17"/>
          <w:color w:val="auto"/>
        </w:rPr>
      </w:pPr>
    </w:p>
    <w:p>
      <w:pPr>
        <w:ind w:left="948" w:right="20" w:hanging="530"/>
        <w:spacing w:after="0" w:line="270" w:lineRule="auto"/>
        <w:tabs>
          <w:tab w:leader="none" w:pos="948"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Analytical Services</w:t>
      </w:r>
      <w:r>
        <w:rPr>
          <w:rFonts w:ascii="Times New Roman" w:cs="Times New Roman" w:eastAsia="Times New Roman" w:hAnsi="Times New Roman"/>
          <w:sz w:val="17"/>
          <w:szCs w:val="17"/>
          <w:color w:val="auto"/>
        </w:rPr>
        <w:t>. Analytical Services help Client process, examine, analyze, summarize, visualize, and report on the Licensed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Tempus leverages its existing technology and know-how to provide Analytical Services to surface factual insights that already exist within the Licensed Data. TEMPUS WILL NOT PROVIDE ANALYTICAL SERVICES UNDER THIS AGREEMENT UNLESS AND UNTIL APPROVED BY TEMPUS IN A SEPARATE MUTUALLY AGREED UPON WORK ORDER.</w:t>
      </w:r>
    </w:p>
    <w:p>
      <w:pPr>
        <w:spacing w:after="0" w:line="74" w:lineRule="exact"/>
        <w:rPr>
          <w:rFonts w:ascii="Times New Roman" w:cs="Times New Roman" w:eastAsia="Times New Roman" w:hAnsi="Times New Roman"/>
          <w:sz w:val="17"/>
          <w:szCs w:val="17"/>
          <w:color w:val="auto"/>
        </w:rPr>
      </w:pPr>
    </w:p>
    <w:p>
      <w:pPr>
        <w:ind w:left="948" w:right="160" w:hanging="530"/>
        <w:spacing w:after="0" w:line="263" w:lineRule="auto"/>
        <w:tabs>
          <w:tab w:leader="none" w:pos="948"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Strategic Collaboration Services</w:t>
      </w:r>
      <w:r>
        <w:rPr>
          <w:rFonts w:ascii="Times New Roman" w:cs="Times New Roman" w:eastAsia="Times New Roman" w:hAnsi="Times New Roman"/>
          <w:sz w:val="17"/>
          <w:szCs w:val="17"/>
          <w:color w:val="auto"/>
        </w:rPr>
        <w:t>. Strategic Collaboration Services are designed to combine the Licensed Data with each Party’s existing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and know-how to identify new technologies, develop new products, and/or bring new products to market. Unlike Technical Services and Analytical Services, Strategic Collaboration Services must be subject to a separate agreement that sets forth, at a minimum, the Parties’ respective obligations, any fees associated with the Strategic Collaboration Services, and the Parties’ respective intellectual property rights regarding the results of the Strategic Collaboration Services. TEMPUS WILL NOT PROVIDE STRATEGIC COLLABORATION SERVICES UNDER THIS AGREEMENT UNLESS AND UNTIL APPROVED IN A SEPARATE MUTUALLY AGREED UPON WORK ORDER.</w:t>
      </w:r>
    </w:p>
    <w:p>
      <w:pPr>
        <w:spacing w:after="0" w:line="317"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Implementation of Licensed Data Terms.</w:t>
      </w:r>
    </w:p>
    <w:p>
      <w:pPr>
        <w:spacing w:after="0" w:line="131" w:lineRule="exact"/>
        <w:rPr>
          <w:rFonts w:ascii="Times New Roman" w:cs="Times New Roman" w:eastAsia="Times New Roman" w:hAnsi="Times New Roman"/>
          <w:sz w:val="17"/>
          <w:szCs w:val="17"/>
          <w:b w:val="1"/>
          <w:bCs w:val="1"/>
          <w:color w:val="auto"/>
        </w:rPr>
      </w:pPr>
    </w:p>
    <w:p>
      <w:pPr>
        <w:ind w:left="948" w:hanging="530"/>
        <w:spacing w:after="0" w:line="267" w:lineRule="auto"/>
        <w:tabs>
          <w:tab w:leader="none" w:pos="948"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Pathos GCP Instance</w:t>
      </w:r>
      <w:r>
        <w:rPr>
          <w:rFonts w:ascii="Times New Roman" w:cs="Times New Roman" w:eastAsia="Times New Roman" w:hAnsi="Times New Roman"/>
          <w:sz w:val="17"/>
          <w:szCs w:val="17"/>
          <w:color w:val="auto"/>
        </w:rPr>
        <w:t>. Within 90 days of the Effective Date, the Parties establish a separate and dedicated instance of the Google Cloud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Platform within Tempus’ secure environment (the “Pathos GCP Instance”) to enable Pathos to carry out the research activities described in this Exhibit. Tempus will control the Pathos GCP Instance, but Pathos will cover all associated costs of the GCP cloud repository for Pathos, [***]. Tempus will invoice Pathos for such costs annually in arrears based on [***]. Pursuant to Paragraph 3(a), Tempus will assist Pathos in setting up its own GCP repository and instance, [***].</w:t>
      </w:r>
    </w:p>
    <w:p>
      <w:pPr>
        <w:spacing w:after="0" w:line="75" w:lineRule="exact"/>
        <w:rPr>
          <w:rFonts w:ascii="Times New Roman" w:cs="Times New Roman" w:eastAsia="Times New Roman" w:hAnsi="Times New Roman"/>
          <w:sz w:val="17"/>
          <w:szCs w:val="17"/>
          <w:color w:val="auto"/>
        </w:rPr>
      </w:pPr>
    </w:p>
    <w:p>
      <w:pPr>
        <w:ind w:left="948" w:right="20" w:hanging="530"/>
        <w:spacing w:after="0" w:line="264" w:lineRule="auto"/>
        <w:tabs>
          <w:tab w:leader="none" w:pos="948"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Pathos Right to Download De-Identified Records. </w:t>
      </w:r>
      <w:r>
        <w:rPr>
          <w:rFonts w:ascii="Times New Roman" w:cs="Times New Roman" w:eastAsia="Times New Roman" w:hAnsi="Times New Roman"/>
          <w:sz w:val="17"/>
          <w:szCs w:val="17"/>
          <w:color w:val="auto"/>
        </w:rPr>
        <w:t>Pathos will license Lens pursuant to a separate Subscription Agreement (see Exhibit 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attached hereto). Pathos will use Lens to identify de-identified records that may be of interest to Pathos. Pathos will be permitted to download to the Pathos GCP Instance up to a maximum of [***] de-identified records at any one time. Pathos may not exceed [***] downloaded records at any one time. If Pathos wants to exceed [***] records, it must return an equal number of records so that the maximum number of records in the Pathos GCP Instance at any time does not exceed [***]. Upon request of files, Tempus will deliver the requested files within [***] business days.</w:t>
      </w:r>
    </w:p>
    <w:p>
      <w:pPr>
        <w:spacing w:after="0" w:line="70" w:lineRule="exact"/>
        <w:rPr>
          <w:rFonts w:ascii="Times New Roman" w:cs="Times New Roman" w:eastAsia="Times New Roman" w:hAnsi="Times New Roman"/>
          <w:sz w:val="17"/>
          <w:szCs w:val="17"/>
          <w:color w:val="auto"/>
        </w:rPr>
      </w:pPr>
    </w:p>
    <w:p>
      <w:pPr>
        <w:ind w:left="968" w:right="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that Operational Readiness (as such term is defined in the First Amendment) of the Pathos GCP Instance has been achieved. Accordingly, as contemplated in the First Amendment, the number of de-identified records that Pathos is permitted to download at one time will revert to [***] within [***] days of the effective date of this Amended and Restated Master Agreement. In the event that the capabilities necessary for Operational Readiness become materially unavailable</w:t>
      </w:r>
    </w:p>
    <w:p>
      <w:pPr>
        <w:spacing w:after="0" w:line="10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28"/>
          </w:cols>
          <w:pgMar w:left="612" w:top="262" w:right="659" w:bottom="1440" w:gutter="0" w:footer="0" w:header="0"/>
        </w:sectPr>
      </w:pPr>
    </w:p>
    <w:bookmarkStart w:id="428" w:name="page429"/>
    <w:bookmarkEnd w:id="428"/>
    <w:p>
      <w:pPr>
        <w:jc w:val="both"/>
        <w:ind w:left="968" w:right="2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 a period of time, then the Parties may mutually agree (for which email by an authorized representative of each Party will suffice) to temporarily revert the maximum number of records that can be downloaded at one time to [***] records, but only until the Operational Readiness capabilities are restored.</w:t>
      </w:r>
    </w:p>
    <w:p>
      <w:pPr>
        <w:spacing w:after="0" w:line="68" w:lineRule="exact"/>
        <w:rPr>
          <w:sz w:val="20"/>
          <w:szCs w:val="20"/>
          <w:color w:val="auto"/>
        </w:rPr>
      </w:pPr>
    </w:p>
    <w:p>
      <w:pPr>
        <w:ind w:left="948" w:right="60" w:hanging="530"/>
        <w:spacing w:after="0" w:line="270" w:lineRule="auto"/>
        <w:tabs>
          <w:tab w:leader="none" w:pos="948"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Evaluation Period for De-Identified Records. </w:t>
      </w:r>
      <w:r>
        <w:rPr>
          <w:rFonts w:ascii="Times New Roman" w:cs="Times New Roman" w:eastAsia="Times New Roman" w:hAnsi="Times New Roman"/>
          <w:sz w:val="17"/>
          <w:szCs w:val="17"/>
          <w:color w:val="auto"/>
        </w:rPr>
        <w:t>Pathos may download de-identified records to the Pathos GCP Instance for a period of [***]</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days from the date of download (the “</w:t>
      </w:r>
      <w:r>
        <w:rPr>
          <w:rFonts w:ascii="Times New Roman" w:cs="Times New Roman" w:eastAsia="Times New Roman" w:hAnsi="Times New Roman"/>
          <w:sz w:val="17"/>
          <w:szCs w:val="17"/>
          <w:u w:val="single" w:color="auto"/>
          <w:color w:val="auto"/>
        </w:rPr>
        <w:t>Evaluation Period</w:t>
      </w:r>
      <w:r>
        <w:rPr>
          <w:rFonts w:ascii="Times New Roman" w:cs="Times New Roman" w:eastAsia="Times New Roman" w:hAnsi="Times New Roman"/>
          <w:sz w:val="17"/>
          <w:szCs w:val="17"/>
          <w:color w:val="auto"/>
        </w:rPr>
        <w:t>”). At the end of the [***]-day Evaluation Period, Pathos must either return the downloaded de-identified records to Tempus or license them pursuant to the terms and conditions set forth herein. In all instances, the License Term for use of the Downloaded Data will terminate upon any termination or expiration of the Agreement.</w:t>
      </w:r>
    </w:p>
    <w:p>
      <w:pPr>
        <w:spacing w:after="0" w:line="74" w:lineRule="exact"/>
        <w:rPr>
          <w:rFonts w:ascii="Times New Roman" w:cs="Times New Roman" w:eastAsia="Times New Roman" w:hAnsi="Times New Roman"/>
          <w:sz w:val="17"/>
          <w:szCs w:val="17"/>
          <w:color w:val="auto"/>
        </w:rPr>
      </w:pPr>
    </w:p>
    <w:p>
      <w:pPr>
        <w:ind w:left="948" w:right="160" w:hanging="530"/>
        <w:spacing w:after="0" w:line="269" w:lineRule="auto"/>
        <w:tabs>
          <w:tab w:leader="none" w:pos="948"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Transfer of De-Identified Records. </w:t>
      </w:r>
      <w:r>
        <w:rPr>
          <w:rFonts w:ascii="Times New Roman" w:cs="Times New Roman" w:eastAsia="Times New Roman" w:hAnsi="Times New Roman"/>
          <w:sz w:val="17"/>
          <w:szCs w:val="17"/>
          <w:color w:val="auto"/>
        </w:rPr>
        <w:t>If Pathos elects to license the records, it will be permitted to transfer the files from the Pathos GCP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Instance into its own cloud repository subject to (i) Tempus’ express written consent (such consent not to be unreasonably withheld), and</w:t>
      </w:r>
    </w:p>
    <w:p>
      <w:pPr>
        <w:ind w:left="948" w:right="20" w:hanging="7"/>
        <w:spacing w:after="0" w:line="265" w:lineRule="auto"/>
        <w:tabs>
          <w:tab w:leader="none" w:pos="1204" w:val="left"/>
        </w:tabs>
        <w:numPr>
          <w:ilvl w:val="2"/>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set forth herein. Pathos will indicate its interest to license the de-identified records by providing written notice to Tempus prior to the expiration of the Evaluation Period. Any de-identified record transferred to Pathos pursuant to this Section shall be considered Tempus Licensed Data.</w:t>
      </w:r>
    </w:p>
    <w:p>
      <w:pPr>
        <w:spacing w:after="0" w:line="77" w:lineRule="exact"/>
        <w:rPr>
          <w:rFonts w:ascii="Times New Roman" w:cs="Times New Roman" w:eastAsia="Times New Roman" w:hAnsi="Times New Roman"/>
          <w:sz w:val="17"/>
          <w:szCs w:val="17"/>
          <w:color w:val="auto"/>
        </w:rPr>
      </w:pPr>
    </w:p>
    <w:p>
      <w:pPr>
        <w:ind w:left="948" w:right="160" w:hanging="530"/>
        <w:spacing w:after="0" w:line="270" w:lineRule="auto"/>
        <w:tabs>
          <w:tab w:leader="none" w:pos="948"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License Term for De-Identified Records. </w:t>
      </w:r>
      <w:r>
        <w:rPr>
          <w:rFonts w:ascii="Times New Roman" w:cs="Times New Roman" w:eastAsia="Times New Roman" w:hAnsi="Times New Roman"/>
          <w:sz w:val="17"/>
          <w:szCs w:val="17"/>
          <w:color w:val="auto"/>
        </w:rPr>
        <w:t>Pathos will be permitted to retain each de-identified record it elects to license until the later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occur of (i) [***] years, or (ii) the date on which the applicable de-identified record no longer has a regulatory use for a therapeutic in development (the “</w:t>
      </w:r>
      <w:r>
        <w:rPr>
          <w:rFonts w:ascii="Times New Roman" w:cs="Times New Roman" w:eastAsia="Times New Roman" w:hAnsi="Times New Roman"/>
          <w:sz w:val="17"/>
          <w:szCs w:val="17"/>
          <w:u w:val="single" w:color="auto"/>
          <w:color w:val="auto"/>
        </w:rPr>
        <w:t>Licensed Record Term</w:t>
      </w:r>
      <w:r>
        <w:rPr>
          <w:rFonts w:ascii="Times New Roman" w:cs="Times New Roman" w:eastAsia="Times New Roman" w:hAnsi="Times New Roman"/>
          <w:sz w:val="17"/>
          <w:szCs w:val="17"/>
          <w:color w:val="auto"/>
        </w:rPr>
        <w:t>”). At the conclusion of the Licensed Record Term, Pathos will return or destroy the record and certify such return or destruction in writing.</w:t>
      </w:r>
    </w:p>
    <w:p>
      <w:pPr>
        <w:spacing w:after="0" w:line="74" w:lineRule="exact"/>
        <w:rPr>
          <w:rFonts w:ascii="Times New Roman" w:cs="Times New Roman" w:eastAsia="Times New Roman" w:hAnsi="Times New Roman"/>
          <w:sz w:val="17"/>
          <w:szCs w:val="17"/>
          <w:color w:val="auto"/>
        </w:rPr>
      </w:pPr>
    </w:p>
    <w:p>
      <w:pPr>
        <w:ind w:left="948" w:right="200" w:hanging="530"/>
        <w:spacing w:after="0" w:line="270" w:lineRule="auto"/>
        <w:tabs>
          <w:tab w:leader="none" w:pos="948"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Maximum Number of De-Identified Records. </w:t>
      </w:r>
      <w:r>
        <w:rPr>
          <w:rFonts w:ascii="Times New Roman" w:cs="Times New Roman" w:eastAsia="Times New Roman" w:hAnsi="Times New Roman"/>
          <w:sz w:val="17"/>
          <w:szCs w:val="17"/>
          <w:color w:val="auto"/>
        </w:rPr>
        <w:t>During the Initial Term, Pathos will be entitled to license up to a maximum of [***]</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de-identified records in the aggregate. During the Renewal Term, if any, Pathos will be entitled to license an additional [***] patient records. Tempus, in its sole discretion, will determine whether Pathos will be permitted to exceed [***] licensed patient records in either the Initial Term or Renewal Term.</w:t>
      </w:r>
    </w:p>
    <w:p>
      <w:pPr>
        <w:spacing w:after="0" w:line="309"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w:t>
      </w:r>
    </w:p>
    <w:p>
      <w:pPr>
        <w:spacing w:after="0" w:line="131" w:lineRule="exact"/>
        <w:rPr>
          <w:rFonts w:ascii="Times New Roman" w:cs="Times New Roman" w:eastAsia="Times New Roman" w:hAnsi="Times New Roman"/>
          <w:sz w:val="17"/>
          <w:szCs w:val="17"/>
          <w:b w:val="1"/>
          <w:bCs w:val="1"/>
          <w:color w:val="auto"/>
        </w:rPr>
      </w:pPr>
    </w:p>
    <w:p>
      <w:pPr>
        <w:ind w:left="948" w:hanging="530"/>
        <w:spacing w:after="0" w:line="298" w:lineRule="auto"/>
        <w:tabs>
          <w:tab w:leader="none" w:pos="948"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Per De-Identified Record Fee. </w:t>
      </w:r>
      <w:r>
        <w:rPr>
          <w:rFonts w:ascii="Times New Roman" w:cs="Times New Roman" w:eastAsia="Times New Roman" w:hAnsi="Times New Roman"/>
          <w:sz w:val="17"/>
          <w:szCs w:val="17"/>
          <w:color w:val="auto"/>
        </w:rPr>
        <w:t>For each Licensed Data record licensed pursuant to Sections 4(c)-(d) of this Exhibit, Client will pay Tempus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annual license fee that [***].</w:t>
      </w:r>
    </w:p>
    <w:p>
      <w:pPr>
        <w:spacing w:after="0" w:line="50" w:lineRule="exact"/>
        <w:rPr>
          <w:rFonts w:ascii="Times New Roman" w:cs="Times New Roman" w:eastAsia="Times New Roman" w:hAnsi="Times New Roman"/>
          <w:sz w:val="17"/>
          <w:szCs w:val="17"/>
          <w:color w:val="auto"/>
        </w:rPr>
      </w:pPr>
    </w:p>
    <w:p>
      <w:pPr>
        <w:ind w:left="948" w:right="20" w:hanging="530"/>
        <w:spacing w:after="0" w:line="270" w:lineRule="auto"/>
        <w:tabs>
          <w:tab w:leader="none" w:pos="948"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Warrant to Acquire Interest in Pathos. </w:t>
      </w:r>
      <w:r>
        <w:rPr>
          <w:rFonts w:ascii="Times New Roman" w:cs="Times New Roman" w:eastAsia="Times New Roman" w:hAnsi="Times New Roman"/>
          <w:sz w:val="17"/>
          <w:szCs w:val="17"/>
          <w:color w:val="auto"/>
        </w:rPr>
        <w:t>Upon execution of the Agreement, Tempus received a warrant to acquire 23,456,790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Pathos common stock at a per share price of $.0125. The warrant will exercise automatically immediately preceding a Change of Control or an Initial Public Offering. The Warrant Agreement attached to the Original Agreement is hereby incorporated by reference in its entirety into this Agreement.</w:t>
      </w:r>
    </w:p>
    <w:p>
      <w:pPr>
        <w:spacing w:after="0" w:line="309"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Use of Licensed Data</w:t>
      </w:r>
      <w:r>
        <w:rPr>
          <w:rFonts w:ascii="Times New Roman" w:cs="Times New Roman" w:eastAsia="Times New Roman" w:hAnsi="Times New Roman"/>
          <w:sz w:val="17"/>
          <w:szCs w:val="17"/>
          <w:color w:val="auto"/>
        </w:rPr>
        <w:t>. The following terms apply to all Licensed Data under this Agreement.</w:t>
      </w:r>
    </w:p>
    <w:p>
      <w:pPr>
        <w:spacing w:after="0" w:line="131" w:lineRule="exact"/>
        <w:rPr>
          <w:rFonts w:ascii="Times New Roman" w:cs="Times New Roman" w:eastAsia="Times New Roman" w:hAnsi="Times New Roman"/>
          <w:sz w:val="17"/>
          <w:szCs w:val="17"/>
          <w:b w:val="1"/>
          <w:bCs w:val="1"/>
          <w:color w:val="auto"/>
        </w:rPr>
      </w:pPr>
    </w:p>
    <w:p>
      <w:pPr>
        <w:ind w:left="948" w:hanging="530"/>
        <w:spacing w:after="0"/>
        <w:tabs>
          <w:tab w:leader="none" w:pos="948"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Restrictions</w:t>
      </w:r>
      <w:r>
        <w:rPr>
          <w:rFonts w:ascii="Times New Roman" w:cs="Times New Roman" w:eastAsia="Times New Roman" w:hAnsi="Times New Roman"/>
          <w:sz w:val="17"/>
          <w:szCs w:val="17"/>
          <w:color w:val="auto"/>
        </w:rPr>
        <w:t>. Client agrees to the following terms on its behalf and on behalf of all Affiliates and Authorized Users:</w:t>
      </w:r>
    </w:p>
    <w:p>
      <w:pPr>
        <w:spacing w:after="0" w:line="133" w:lineRule="exact"/>
        <w:rPr>
          <w:rFonts w:ascii="Times New Roman" w:cs="Times New Roman" w:eastAsia="Times New Roman" w:hAnsi="Times New Roman"/>
          <w:sz w:val="17"/>
          <w:szCs w:val="17"/>
          <w:color w:val="auto"/>
        </w:rPr>
      </w:pPr>
    </w:p>
    <w:p>
      <w:pPr>
        <w:ind w:left="1908" w:right="100" w:hanging="523"/>
        <w:spacing w:after="0" w:line="295" w:lineRule="auto"/>
        <w:tabs>
          <w:tab w:leader="none" w:pos="1908" w:val="left"/>
        </w:tabs>
        <w:numPr>
          <w:ilvl w:val="3"/>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implement rigorous data access controls for Authorized Users. Each Authorized User must acknowledge that the Authorized User has reviewed, understands, and will comply with the terms this Agreement.</w:t>
      </w:r>
    </w:p>
    <w:p>
      <w:pPr>
        <w:spacing w:after="0" w:line="8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48"/>
          </w:cols>
          <w:pgMar w:left="612" w:top="264" w:right="639" w:bottom="1440" w:gutter="0" w:footer="0" w:header="0"/>
        </w:sectPr>
      </w:pPr>
    </w:p>
    <w:bookmarkStart w:id="429" w:name="page430"/>
    <w:bookmarkEnd w:id="429"/>
    <w:p>
      <w:pPr>
        <w:ind w:left="1080" w:hanging="523"/>
        <w:spacing w:after="0"/>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Client is responsible for the acts and omissions of all Authorized Users.</w:t>
      </w:r>
    </w:p>
    <w:p>
      <w:pPr>
        <w:spacing w:after="0" w:line="131" w:lineRule="exact"/>
        <w:rPr>
          <w:rFonts w:ascii="Times New Roman" w:cs="Times New Roman" w:eastAsia="Times New Roman" w:hAnsi="Times New Roman"/>
          <w:sz w:val="17"/>
          <w:szCs w:val="17"/>
          <w:color w:val="auto"/>
        </w:rPr>
      </w:pPr>
    </w:p>
    <w:p>
      <w:pPr>
        <w:ind w:left="1080" w:hanging="523"/>
        <w:spacing w:after="0" w:line="276" w:lineRule="auto"/>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reproduction, display, disclosure, or publication of Results obtained from the use of Licensed Data (or the Licensed Data itself) must include appropriate attribution to Tempus. Reproduction of Licensed Data requires Tempus’ prior written consent, which will not be unreasonably withheld.</w:t>
      </w:r>
    </w:p>
    <w:p>
      <w:pPr>
        <w:spacing w:after="0" w:line="70" w:lineRule="exact"/>
        <w:rPr>
          <w:rFonts w:ascii="Times New Roman" w:cs="Times New Roman" w:eastAsia="Times New Roman" w:hAnsi="Times New Roman"/>
          <w:sz w:val="17"/>
          <w:szCs w:val="17"/>
          <w:color w:val="auto"/>
        </w:rPr>
      </w:pPr>
    </w:p>
    <w:p>
      <w:pPr>
        <w:ind w:left="1080" w:right="140" w:hanging="523"/>
        <w:spacing w:after="0" w:line="276" w:lineRule="auto"/>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not re-identify the Licensed Data as to patient, provider, or practice and will ensure that the Licensed Data is not re-identified. Client will not, and will not permit any third party to, contact any individual whose information may be included in the Licensed Data.</w:t>
      </w:r>
    </w:p>
    <w:p>
      <w:pPr>
        <w:spacing w:after="0" w:line="70" w:lineRule="exact"/>
        <w:rPr>
          <w:rFonts w:ascii="Times New Roman" w:cs="Times New Roman" w:eastAsia="Times New Roman" w:hAnsi="Times New Roman"/>
          <w:sz w:val="17"/>
          <w:szCs w:val="17"/>
          <w:color w:val="auto"/>
        </w:rPr>
      </w:pPr>
    </w:p>
    <w:p>
      <w:pPr>
        <w:ind w:left="1080" w:right="440" w:hanging="523"/>
        <w:spacing w:after="0" w:line="295" w:lineRule="auto"/>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maintain a reasonable internal governance procedure that prohibits and is designed to avoid unintentional or inadvertent re-identification.</w:t>
      </w:r>
    </w:p>
    <w:p>
      <w:pPr>
        <w:spacing w:after="0" w:line="55" w:lineRule="exact"/>
        <w:rPr>
          <w:rFonts w:ascii="Times New Roman" w:cs="Times New Roman" w:eastAsia="Times New Roman" w:hAnsi="Times New Roman"/>
          <w:sz w:val="17"/>
          <w:szCs w:val="17"/>
          <w:color w:val="auto"/>
        </w:rPr>
      </w:pPr>
    </w:p>
    <w:p>
      <w:pPr>
        <w:ind w:left="1080" w:right="120" w:hanging="523"/>
        <w:spacing w:after="0" w:line="295" w:lineRule="auto"/>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not remove or alter any notice of confidentiality, copyright, trademark, logo or other notice of ownership, origin, or confidentiality in any report, document, or copy of the Licensed Data.</w:t>
      </w:r>
    </w:p>
    <w:p>
      <w:pPr>
        <w:spacing w:after="0" w:line="55" w:lineRule="exact"/>
        <w:rPr>
          <w:rFonts w:ascii="Times New Roman" w:cs="Times New Roman" w:eastAsia="Times New Roman" w:hAnsi="Times New Roman"/>
          <w:sz w:val="17"/>
          <w:szCs w:val="17"/>
          <w:color w:val="auto"/>
        </w:rPr>
      </w:pPr>
    </w:p>
    <w:p>
      <w:pPr>
        <w:ind w:left="1080" w:hanging="523"/>
        <w:spacing w:after="0"/>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not access or use Licensed Data for any purpose not permitted by this Agreement.</w:t>
      </w:r>
    </w:p>
    <w:p>
      <w:pPr>
        <w:spacing w:after="0" w:line="131" w:lineRule="exact"/>
        <w:rPr>
          <w:rFonts w:ascii="Times New Roman" w:cs="Times New Roman" w:eastAsia="Times New Roman" w:hAnsi="Times New Roman"/>
          <w:sz w:val="17"/>
          <w:szCs w:val="17"/>
          <w:color w:val="auto"/>
        </w:rPr>
      </w:pPr>
    </w:p>
    <w:p>
      <w:pPr>
        <w:ind w:left="1080" w:hanging="523"/>
        <w:spacing w:after="0" w:line="295" w:lineRule="auto"/>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not re-sell or transfer Licensed Data (or access to Licensed Data) to any third party who is not an Authorized User without prior written permission from Tempus.</w:t>
      </w:r>
    </w:p>
    <w:p>
      <w:pPr>
        <w:spacing w:after="0" w:line="55" w:lineRule="exact"/>
        <w:rPr>
          <w:rFonts w:ascii="Times New Roman" w:cs="Times New Roman" w:eastAsia="Times New Roman" w:hAnsi="Times New Roman"/>
          <w:sz w:val="17"/>
          <w:szCs w:val="17"/>
          <w:color w:val="auto"/>
        </w:rPr>
      </w:pPr>
    </w:p>
    <w:p>
      <w:pPr>
        <w:ind w:left="1080" w:right="300" w:hanging="523"/>
        <w:spacing w:after="0" w:line="295" w:lineRule="auto"/>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use of Licensed Data resulting in a cohort of fewer than fifteen (15) research subjects/patients per any three digit zip code range is not permitted.</w:t>
      </w:r>
    </w:p>
    <w:p>
      <w:pPr>
        <w:spacing w:after="0" w:line="55" w:lineRule="exact"/>
        <w:rPr>
          <w:rFonts w:ascii="Times New Roman" w:cs="Times New Roman" w:eastAsia="Times New Roman" w:hAnsi="Times New Roman"/>
          <w:sz w:val="17"/>
          <w:szCs w:val="17"/>
          <w:color w:val="auto"/>
        </w:rPr>
      </w:pPr>
    </w:p>
    <w:p>
      <w:pPr>
        <w:ind w:left="1080" w:hanging="523"/>
        <w:spacing w:after="0"/>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act in an ethical and responsible manner when accessing and using Licensed Data.</w:t>
      </w:r>
    </w:p>
    <w:p>
      <w:pPr>
        <w:spacing w:after="0" w:line="131" w:lineRule="exact"/>
        <w:rPr>
          <w:rFonts w:ascii="Times New Roman" w:cs="Times New Roman" w:eastAsia="Times New Roman" w:hAnsi="Times New Roman"/>
          <w:sz w:val="17"/>
          <w:szCs w:val="17"/>
          <w:color w:val="auto"/>
        </w:rPr>
      </w:pPr>
    </w:p>
    <w:p>
      <w:pPr>
        <w:ind w:left="1080" w:right="620" w:hanging="523"/>
        <w:spacing w:after="0" w:line="295" w:lineRule="auto"/>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agrees that Tempus does not endorse any academic, scientific, or public presentations, or abstracts, posters, or manuscripts, and Client will not attempt to indicate any such endorsement.</w:t>
      </w:r>
    </w:p>
    <w:p>
      <w:pPr>
        <w:spacing w:after="0" w:line="55" w:lineRule="exact"/>
        <w:rPr>
          <w:rFonts w:ascii="Times New Roman" w:cs="Times New Roman" w:eastAsia="Times New Roman" w:hAnsi="Times New Roman"/>
          <w:sz w:val="17"/>
          <w:szCs w:val="17"/>
          <w:color w:val="auto"/>
        </w:rPr>
      </w:pPr>
    </w:p>
    <w:p>
      <w:pPr>
        <w:ind w:left="1080" w:right="40" w:hanging="523"/>
        <w:spacing w:after="0" w:line="262" w:lineRule="auto"/>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comply with all applicable laws and industry-standard guidelines when carrying out activities under this Agreement, including securities laws, antitrust laws, HIPAA, the U.S. Food and Drug Administration (FDA) Guidance on Industry-Supported Scientific and Educational Activities, the Federal Food, Drug, and Cosmetic Act and associated regulations, federal and state anti-kickback laws and guidance, the Council of Medical Specialty Societies (CMSS) Code of Interactions with Companies, the American Medical Association Code of Medical Ethics and associated opinions, policies adopted by the FDA relating to industry-sponsored educational activities, the Accreditation Council for Continuing Medical Education (ACCME) Standards for Commercial Support, the Pharmaceutical Research and Manufacturers of America (PhRMA) Code on Interactions with Healthcare Professionals, and the ICMJE Recommendations for publication authorship.</w:t>
      </w:r>
    </w:p>
    <w:p>
      <w:pPr>
        <w:spacing w:after="0" w:line="83" w:lineRule="exact"/>
        <w:rPr>
          <w:rFonts w:ascii="Times New Roman" w:cs="Times New Roman" w:eastAsia="Times New Roman" w:hAnsi="Times New Roman"/>
          <w:sz w:val="17"/>
          <w:szCs w:val="17"/>
          <w:color w:val="auto"/>
        </w:rPr>
      </w:pPr>
    </w:p>
    <w:p>
      <w:pPr>
        <w:ind w:left="1080" w:right="320" w:hanging="523"/>
        <w:spacing w:after="0" w:line="295" w:lineRule="auto"/>
        <w:tabs>
          <w:tab w:leader="none" w:pos="108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agrees to immediately return Licensed Data at the conclusion of the License Term or termination of the applicable Order Form or this Agreement, subject to the terms contained herein.</w:t>
      </w:r>
    </w:p>
    <w:p>
      <w:pPr>
        <w:spacing w:after="0" w:line="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9820"/>
          </w:cols>
          <w:pgMar w:left="1440" w:top="265" w:right="639" w:bottom="1440" w:gutter="0" w:footer="0" w:header="0"/>
        </w:sectPr>
      </w:pPr>
    </w:p>
    <w:bookmarkStart w:id="430" w:name="page431"/>
    <w:bookmarkEnd w:id="430"/>
    <w:p>
      <w:pPr>
        <w:ind w:left="530" w:hanging="530"/>
        <w:spacing w:after="0"/>
        <w:tabs>
          <w:tab w:leader="none" w:pos="53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Compliance.</w:t>
      </w:r>
    </w:p>
    <w:p>
      <w:pPr>
        <w:spacing w:after="0" w:line="133" w:lineRule="exact"/>
        <w:rPr>
          <w:rFonts w:ascii="Times New Roman" w:cs="Times New Roman" w:eastAsia="Times New Roman" w:hAnsi="Times New Roman"/>
          <w:sz w:val="17"/>
          <w:szCs w:val="17"/>
          <w:color w:val="auto"/>
        </w:rPr>
      </w:pPr>
    </w:p>
    <w:p>
      <w:pPr>
        <w:ind w:left="1490" w:right="20" w:hanging="523"/>
        <w:spacing w:after="0" w:line="268" w:lineRule="auto"/>
        <w:tabs>
          <w:tab w:leader="none" w:pos="1490"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funds provided under this Agreement are not being given in exchange for any explicit or implicit agreement to purchase, prescribe, recommend, influence or provide favorable formulary status for Client’s products. This Agreement is not for the purpose of promoting any product, service, or company. Client will not and will ensure that Client’s Affiliates and Authorized Users do not, offer any inducements to Tempus, any of its Affiliates, or any health care providers relating to this Agreement.</w:t>
      </w:r>
    </w:p>
    <w:p>
      <w:pPr>
        <w:spacing w:after="0" w:line="289" w:lineRule="exact"/>
        <w:rPr>
          <w:rFonts w:ascii="Times New Roman" w:cs="Times New Roman" w:eastAsia="Times New Roman" w:hAnsi="Times New Roman"/>
          <w:sz w:val="17"/>
          <w:szCs w:val="17"/>
          <w:color w:val="auto"/>
        </w:rPr>
      </w:pPr>
    </w:p>
    <w:p>
      <w:pPr>
        <w:ind w:left="1490" w:right="20" w:hanging="523"/>
        <w:spacing w:after="0" w:line="261" w:lineRule="auto"/>
        <w:tabs>
          <w:tab w:leader="none" w:pos="1490"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Tempus acknowledges that any direct or indirect Payments or Transfers of Value to Covered Recipients are subject to transparency reporting requirements, including disclosure on Client’s website. Tempus and Client will not, and Client will ensure that Client’s Affiliates do not, knowingly make any indirect or direct Payment or Transfer of Value to a Covered Recipient on behalf of Client in connection with this Agreement without the other Party’s consent and prior written approval. Client will report all Payments or Transfers of Value to U.S. Covered Recipients according to a centrally managed, pre-set rate structure based on a fair market value analysis conducted by Client and in accordance with applicable law. Tempus and Client agree that the license to Licensed Data or any other services or products described in agreements executed contemporaneously with this Agreement do not give rise to or constitute a Payment or Transfer of Value to a Covered Recipient.</w:t>
      </w:r>
    </w:p>
    <w:p>
      <w:pPr>
        <w:spacing w:after="0" w:line="298" w:lineRule="exact"/>
        <w:rPr>
          <w:rFonts w:ascii="Times New Roman" w:cs="Times New Roman" w:eastAsia="Times New Roman" w:hAnsi="Times New Roman"/>
          <w:sz w:val="17"/>
          <w:szCs w:val="17"/>
          <w:color w:val="auto"/>
        </w:rPr>
      </w:pPr>
    </w:p>
    <w:p>
      <w:pPr>
        <w:ind w:left="1490" w:right="100" w:hanging="523"/>
        <w:spacing w:after="0" w:line="269" w:lineRule="auto"/>
        <w:tabs>
          <w:tab w:leader="none" w:pos="1490"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Tempus and Client and their respective Affiliates, representatives, agents and employees will comply with the U.S. Foreign Corrupt Practices Act, as amended, the UK Bribery Act of 2010, and any other applicable anti-corruption laws for the prevention of fraud, racketeering, money laundering or terrorism, and will not knowingly take any action that will, or would reasonably be expected to, cause the other Party or its Affiliates to be in violation of any such laws or policies.</w:t>
      </w:r>
    </w:p>
    <w:p>
      <w:pPr>
        <w:spacing w:after="0" w:line="77" w:lineRule="exact"/>
        <w:rPr>
          <w:rFonts w:ascii="Times New Roman" w:cs="Times New Roman" w:eastAsia="Times New Roman" w:hAnsi="Times New Roman"/>
          <w:sz w:val="17"/>
          <w:szCs w:val="17"/>
          <w:color w:val="auto"/>
        </w:rPr>
      </w:pPr>
    </w:p>
    <w:p>
      <w:pPr>
        <w:ind w:left="1490" w:right="40" w:hanging="523"/>
        <w:spacing w:after="0" w:line="263" w:lineRule="auto"/>
        <w:tabs>
          <w:tab w:leader="none" w:pos="1490"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Party has received or been offered any illegal or improper payment, bribe, kickback, gift, or other item of value from an employee or agent of the other Party in connection with this Agreement. The Parties intend for their relationship and interactions to comply with the following: (i) the federal anti-kickback statute (42 U.S.C. § 1320a-7b(b)) and the associated safe harbor regulations; and (ii) the limitation on certain physician referrals (Stark Law) (42 U.S.C. § 1395nn). Accordingly, no part of any remuneration provided under this Agreement or any other agreement between the Parties is a prohibited payment in exchange for recommending or arranging for the referral of business or the ordering of items or services, or otherwise intended to induce illegal referrals of business.</w:t>
      </w:r>
    </w:p>
    <w:p>
      <w:pPr>
        <w:spacing w:after="0" w:line="79" w:lineRule="exact"/>
        <w:rPr>
          <w:rFonts w:ascii="Times New Roman" w:cs="Times New Roman" w:eastAsia="Times New Roman" w:hAnsi="Times New Roman"/>
          <w:sz w:val="17"/>
          <w:szCs w:val="17"/>
          <w:color w:val="auto"/>
        </w:rPr>
      </w:pPr>
    </w:p>
    <w:p>
      <w:pPr>
        <w:ind w:left="530" w:hanging="530"/>
        <w:spacing w:after="0" w:line="267" w:lineRule="auto"/>
        <w:tabs>
          <w:tab w:leader="none" w:pos="53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Filings. </w:t>
      </w:r>
      <w:r>
        <w:rPr>
          <w:rFonts w:ascii="Times New Roman" w:cs="Times New Roman" w:eastAsia="Times New Roman" w:hAnsi="Times New Roman"/>
          <w:sz w:val="17"/>
          <w:szCs w:val="17"/>
          <w:color w:val="auto"/>
        </w:rPr>
        <w:t>Client will have sole control over any regulatory filings with respect to results obtained from use of Licensed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 may disclose limited portions of the Licensed Data to governmental authorities to the extent necessary to support such filings, if Client uses all reasonable efforts to protect the confidentiality of the Licensed Data, limit the risk of re-identification, and properly attribute Licensed Data to Tempus. Any disclosure beyond the limited disclosure described in this paragraph shall require Tempus’ prior written consent, which shall not be unreasonably withheld.</w:t>
      </w:r>
    </w:p>
    <w:p>
      <w:pPr>
        <w:spacing w:after="0" w:line="75" w:lineRule="exact"/>
        <w:rPr>
          <w:rFonts w:ascii="Times New Roman" w:cs="Times New Roman" w:eastAsia="Times New Roman" w:hAnsi="Times New Roman"/>
          <w:sz w:val="17"/>
          <w:szCs w:val="17"/>
          <w:color w:val="auto"/>
        </w:rPr>
      </w:pPr>
    </w:p>
    <w:p>
      <w:pPr>
        <w:ind w:left="530" w:right="160" w:hanging="530"/>
        <w:spacing w:after="0" w:line="277" w:lineRule="auto"/>
        <w:tabs>
          <w:tab w:leader="none" w:pos="53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Security Incident Reporting</w:t>
      </w:r>
      <w:r>
        <w:rPr>
          <w:rFonts w:ascii="Times New Roman" w:cs="Times New Roman" w:eastAsia="Times New Roman" w:hAnsi="Times New Roman"/>
          <w:sz w:val="17"/>
          <w:szCs w:val="17"/>
          <w:color w:val="auto"/>
        </w:rPr>
        <w:t>. Each Party agrees to notify the other Party promptly, but in no event later than ten (10) business days after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becoming aware of the occurrence of: (i) a potential security breach involving Licensed Data; (ii) re-identification of any of the Licensed Data; (iii) a complaint related to a request for access to the Licensed Data; or (iv) any inquiry, investigation, audit, or</w:t>
      </w:r>
    </w:p>
    <w:p>
      <w:pPr>
        <w:spacing w:after="0" w:line="96" w:lineRule="exact"/>
        <w:rPr>
          <w:sz w:val="20"/>
          <w:szCs w:val="20"/>
          <w:color w:val="auto"/>
        </w:rPr>
      </w:pPr>
    </w:p>
    <w:p>
      <w:pPr>
        <w:jc w:val="center"/>
        <w:ind w:right="39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230"/>
          </w:cols>
          <w:pgMar w:left="1030" w:top="263" w:right="639" w:bottom="1440" w:gutter="0" w:footer="0" w:header="0"/>
        </w:sectPr>
      </w:pPr>
    </w:p>
    <w:bookmarkStart w:id="431" w:name="page432"/>
    <w:bookmarkEnd w:id="431"/>
    <w:p>
      <w:pPr>
        <w:ind w:left="530" w:right="10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government enforcement action related to the Licensed Data. If Client or any of Client’s Affiliates becomes legally compelled to disclose any Licensed Data then to the extent permitted by applicable law, Client will notify Tempus as soon as practical, but in any event within ten (10) business days of learning of such requirement, so that Tempus may seek a protective order or other appropriate remedy. If any of the events set out in this Section occurs, Client agree to cooperate and cause Client’s Affiliates to cooperate with Tempus and take any actions reasonably requested by Tempus to minimize the re-identification risk and potential damage resulting from the event.</w:t>
      </w:r>
    </w:p>
    <w:p>
      <w:pPr>
        <w:spacing w:after="0" w:line="78" w:lineRule="exact"/>
        <w:rPr>
          <w:sz w:val="20"/>
          <w:szCs w:val="20"/>
          <w:color w:val="auto"/>
        </w:rPr>
      </w:pPr>
    </w:p>
    <w:p>
      <w:pPr>
        <w:ind w:left="530" w:right="20" w:hanging="530"/>
        <w:spacing w:after="0" w:line="268" w:lineRule="auto"/>
        <w:tabs>
          <w:tab w:leader="none" w:pos="53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Non-Exclusivity. </w:t>
      </w:r>
      <w:r>
        <w:rPr>
          <w:rFonts w:ascii="Times New Roman" w:cs="Times New Roman" w:eastAsia="Times New Roman" w:hAnsi="Times New Roman"/>
          <w:sz w:val="17"/>
          <w:szCs w:val="17"/>
          <w:color w:val="auto"/>
        </w:rPr>
        <w:t>This is a non-exclusive agreement. Nothing in this Agreement will prevent Tempus from (a) making available to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clients the same or substantially similar services and licenses, or (b) making available to other Tempus clients custom data sets that are the same or similar to the Licensed Data, so long as none of the foregoing include use of Client’s Confidential Information. Client acknowledges that Tempus’ or Tempus licensees’ use of Licensed Data may result in the same or similar outcomes, conclusions, reports, and other results.</w:t>
      </w:r>
    </w:p>
    <w:p>
      <w:pPr>
        <w:spacing w:after="0" w:line="200" w:lineRule="exact"/>
        <w:rPr>
          <w:rFonts w:ascii="Times New Roman" w:cs="Times New Roman" w:eastAsia="Times New Roman" w:hAnsi="Times New Roman"/>
          <w:sz w:val="17"/>
          <w:szCs w:val="17"/>
          <w:color w:val="auto"/>
        </w:rPr>
      </w:pPr>
    </w:p>
    <w:p>
      <w:pPr>
        <w:spacing w:after="0" w:line="325"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OTHER REPRESENTATIONS OR WARRANTIES. EXCEPT AS EXPRESSLY PROVIDED:</w:t>
      </w:r>
    </w:p>
    <w:p>
      <w:pPr>
        <w:spacing w:after="0" w:line="133" w:lineRule="exact"/>
        <w:rPr>
          <w:rFonts w:ascii="Times New Roman" w:cs="Times New Roman" w:eastAsia="Times New Roman" w:hAnsi="Times New Roman"/>
          <w:sz w:val="17"/>
          <w:szCs w:val="17"/>
          <w:color w:val="auto"/>
        </w:rPr>
      </w:pPr>
    </w:p>
    <w:p>
      <w:pPr>
        <w:ind w:left="1490" w:hanging="523"/>
        <w:spacing w:after="0" w:line="276" w:lineRule="auto"/>
        <w:tabs>
          <w:tab w:leader="none" w:pos="149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TEMPUS DISCLAIMS ANY AND ALL EXPRESS, IMPLIED, STATUTORY, AND OTHER WARRANTIES AND REPRESENTATIONS OF ANY KIND, INCLUDING WITHOUT LIMITATION ANY WARRANTY OF FITNESS FOR A PARTICULAR PURPOSE, QUIET ENJOYMENT, QUALITY OF INFORMATION, OR TITLE.</w:t>
      </w:r>
    </w:p>
    <w:p>
      <w:pPr>
        <w:spacing w:after="0" w:line="70" w:lineRule="exact"/>
        <w:rPr>
          <w:rFonts w:ascii="Times New Roman" w:cs="Times New Roman" w:eastAsia="Times New Roman" w:hAnsi="Times New Roman"/>
          <w:sz w:val="17"/>
          <w:szCs w:val="17"/>
          <w:color w:val="auto"/>
        </w:rPr>
      </w:pPr>
    </w:p>
    <w:p>
      <w:pPr>
        <w:ind w:left="1490" w:right="160" w:hanging="523"/>
        <w:spacing w:after="0" w:line="263" w:lineRule="auto"/>
        <w:tabs>
          <w:tab w:leader="none" w:pos="149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TEMPUS MAKES NO REPRESENTATIONS OR WARRANTIES ABOUT THE SUITABILITY OR ACCURACY OF ANY SERVICES, THE LICENSED DATA, OR ANY OTHER TEMPUS MATERIALS. TEMPUS USES DATA PROVIDED TO TEMPUS BY THIRD PARTIES THAT HAS BEEN DE-IDENTIFIED TO CREATE THE LICENSED DATA “AS IS” AND IS NOT RESPONSIBLE FOR THE ACCURACY, COMPLETENESS, AND/OR INTEGRITY OF SUCH DATA. TEMPUS DISCLAIMS ANY LIABILITY RESULTING FROM ANY SUCH ISSUES RELATING TO SUCH DATA. TEMPUS HAS NO LIABILITY FOR CLINICAL, OPERATIONAL, BUSINESS, OR ANY OTHER DECISIONS MADE BY YOU, YOUR AFFILIATES, OR AUTHORIZED USERS BASED ON THE LICENSED DATA.</w:t>
      </w:r>
    </w:p>
    <w:p>
      <w:pPr>
        <w:spacing w:after="0" w:line="81" w:lineRule="exact"/>
        <w:rPr>
          <w:rFonts w:ascii="Times New Roman" w:cs="Times New Roman" w:eastAsia="Times New Roman" w:hAnsi="Times New Roman"/>
          <w:sz w:val="17"/>
          <w:szCs w:val="17"/>
          <w:color w:val="auto"/>
        </w:rPr>
      </w:pPr>
    </w:p>
    <w:p>
      <w:pPr>
        <w:ind w:left="1490" w:right="840" w:hanging="523"/>
        <w:spacing w:after="0" w:line="295" w:lineRule="auto"/>
        <w:tabs>
          <w:tab w:leader="none" w:pos="149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TECHNOLOGY, RIGHTS AND SERVICES ARE LICENSED AND OTHERWISE PROVIDED “AS IS,” “WHERE-IS,” AND “WITH ALL FAULTS.”</w:t>
      </w:r>
    </w:p>
    <w:p>
      <w:pPr>
        <w:spacing w:after="0" w:line="81"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190"/>
          </w:cols>
          <w:pgMar w:left="1030" w:top="264" w:right="679" w:bottom="1440" w:gutter="0" w:footer="0" w:header="0"/>
        </w:sectPr>
      </w:pPr>
    </w:p>
    <w:bookmarkStart w:id="432" w:name="page433"/>
    <w:bookmarkEnd w:id="432"/>
    <w:p>
      <w:pPr>
        <w:jc w:val="center"/>
        <w:ind w:right="-6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2</w:t>
      </w:r>
    </w:p>
    <w:p>
      <w:pPr>
        <w:spacing w:after="0" w:line="34"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7"/>
          <w:szCs w:val="17"/>
          <w:b w:val="1"/>
          <w:bCs w:val="1"/>
          <w:color w:val="auto"/>
        </w:rPr>
        <w:t>Lens Subscription Agreement</w:t>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This Subscription Agreement (the “</w:t>
      </w:r>
      <w:r>
        <w:rPr>
          <w:rFonts w:ascii="Times New Roman" w:cs="Times New Roman" w:eastAsia="Times New Roman" w:hAnsi="Times New Roman"/>
          <w:sz w:val="17"/>
          <w:szCs w:val="17"/>
          <w:u w:val="single" w:color="auto"/>
          <w:color w:val="auto"/>
        </w:rPr>
        <w:t>Subscription Agreement</w:t>
      </w:r>
      <w:r>
        <w:rPr>
          <w:rFonts w:ascii="Times New Roman" w:cs="Times New Roman" w:eastAsia="Times New Roman" w:hAnsi="Times New Roman"/>
          <w:sz w:val="17"/>
          <w:szCs w:val="17"/>
          <w:color w:val="auto"/>
        </w:rPr>
        <w:t>”) is entered into by and between Tempus AI, Inc. (“</w:t>
      </w:r>
      <w:r>
        <w:rPr>
          <w:rFonts w:ascii="Times New Roman" w:cs="Times New Roman" w:eastAsia="Times New Roman" w:hAnsi="Times New Roman"/>
          <w:sz w:val="17"/>
          <w:szCs w:val="17"/>
          <w:u w:val="single" w:color="auto"/>
          <w:color w:val="auto"/>
        </w:rPr>
        <w:t>Tempus</w:t>
      </w:r>
      <w:r>
        <w:rPr>
          <w:rFonts w:ascii="Times New Roman" w:cs="Times New Roman" w:eastAsia="Times New Roman" w:hAnsi="Times New Roman"/>
          <w:sz w:val="17"/>
          <w:szCs w:val="17"/>
          <w:color w:val="auto"/>
        </w:rPr>
        <w:t>”) and Pathos AI, Inc.</w:t>
      </w:r>
    </w:p>
    <w:p>
      <w:pPr>
        <w:spacing w:after="0" w:line="32" w:lineRule="exact"/>
        <w:rPr>
          <w:sz w:val="20"/>
          <w:szCs w:val="20"/>
          <w:color w:val="auto"/>
        </w:rPr>
      </w:pPr>
    </w:p>
    <w:p>
      <w:pPr>
        <w:ind w:left="8" w:right="30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Client</w:t>
      </w:r>
      <w:r>
        <w:rPr>
          <w:rFonts w:ascii="Times New Roman" w:cs="Times New Roman" w:eastAsia="Times New Roman" w:hAnsi="Times New Roman"/>
          <w:sz w:val="17"/>
          <w:szCs w:val="17"/>
          <w:color w:val="auto"/>
        </w:rPr>
        <w:t>”), incorporates by reference the Lens Terms of Use (accessible via Lens), and is subject to that Master Agreement entered into between the Parties.</w:t>
      </w:r>
    </w:p>
    <w:p>
      <w:pPr>
        <w:spacing w:after="0" w:line="306" w:lineRule="exact"/>
        <w:rPr>
          <w:sz w:val="20"/>
          <w:szCs w:val="20"/>
          <w:color w:val="auto"/>
        </w:rPr>
      </w:pPr>
    </w:p>
    <w:p>
      <w:pPr>
        <w:ind w:left="428" w:hanging="428"/>
        <w:spacing w:after="0"/>
        <w:tabs>
          <w:tab w:leader="none" w:pos="428" w:val="left"/>
        </w:tabs>
        <w:numPr>
          <w:ilvl w:val="0"/>
          <w:numId w:val="2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Software and Accounts.</w:t>
      </w:r>
    </w:p>
    <w:p>
      <w:pPr>
        <w:spacing w:after="0" w:line="131" w:lineRule="exact"/>
        <w:rPr>
          <w:rFonts w:ascii="Times New Roman" w:cs="Times New Roman" w:eastAsia="Times New Roman" w:hAnsi="Times New Roman"/>
          <w:sz w:val="17"/>
          <w:szCs w:val="17"/>
          <w:b w:val="1"/>
          <w:bCs w:val="1"/>
          <w:color w:val="auto"/>
        </w:rPr>
      </w:pPr>
    </w:p>
    <w:p>
      <w:pPr>
        <w:ind w:left="948" w:right="180" w:hanging="530"/>
        <w:spacing w:after="0" w:line="264" w:lineRule="auto"/>
        <w:tabs>
          <w:tab w:leader="none" w:pos="948"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Software.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Software</w:t>
      </w:r>
      <w:r>
        <w:rPr>
          <w:rFonts w:ascii="Times New Roman" w:cs="Times New Roman" w:eastAsia="Times New Roman" w:hAnsi="Times New Roman"/>
          <w:sz w:val="17"/>
          <w:szCs w:val="17"/>
          <w:color w:val="auto"/>
        </w:rPr>
        <w:t>” is Tempus’ LENS software, an online application that permits the viewing and analysis of clinical, molecular,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health data (collectively “</w:t>
      </w:r>
      <w:r>
        <w:rPr>
          <w:rFonts w:ascii="Times New Roman" w:cs="Times New Roman" w:eastAsia="Times New Roman" w:hAnsi="Times New Roman"/>
          <w:sz w:val="17"/>
          <w:szCs w:val="17"/>
          <w:u w:val="single" w:color="auto"/>
          <w:color w:val="auto"/>
        </w:rPr>
        <w:t>Data</w:t>
      </w:r>
      <w:r>
        <w:rPr>
          <w:rFonts w:ascii="Times New Roman" w:cs="Times New Roman" w:eastAsia="Times New Roman" w:hAnsi="Times New Roman"/>
          <w:sz w:val="17"/>
          <w:szCs w:val="17"/>
          <w:color w:val="auto"/>
        </w:rPr>
        <w:t>”) maintained by Tempus. The Software provides a view of health information that does not include the 18 identifiers listed in the Safe Harbor method for de-identification set forth in 45 C.F.R. § 164.514(b)(2)(i). The features, functionality, user interface, look-and-feel, and other aspects of the Software may change from time to time in Tempus’ sole discretion, provided that Tempus will provide Client with the most recent version of the Software so long as Client remains current on the Subscription Fee.</w:t>
      </w:r>
    </w:p>
    <w:p>
      <w:pPr>
        <w:spacing w:after="0" w:line="82" w:lineRule="exact"/>
        <w:rPr>
          <w:rFonts w:ascii="Times New Roman" w:cs="Times New Roman" w:eastAsia="Times New Roman" w:hAnsi="Times New Roman"/>
          <w:sz w:val="17"/>
          <w:szCs w:val="17"/>
          <w:color w:val="auto"/>
        </w:rPr>
      </w:pPr>
    </w:p>
    <w:p>
      <w:pPr>
        <w:ind w:left="948" w:hanging="530"/>
        <w:spacing w:after="0" w:line="264" w:lineRule="auto"/>
        <w:tabs>
          <w:tab w:leader="none" w:pos="948"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Provision of LENS</w:t>
      </w:r>
      <w:r>
        <w:rPr>
          <w:rFonts w:ascii="Times New Roman" w:cs="Times New Roman" w:eastAsia="Times New Roman" w:hAnsi="Times New Roman"/>
          <w:sz w:val="17"/>
          <w:szCs w:val="17"/>
          <w:color w:val="auto"/>
        </w:rPr>
        <w:t>. Tempus will make the Software available to Client pursuant to this Subscription Agreement. Client may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Software access to up to [***] named employees or contractors of Client or its affiliates, and Client will notify Tempus which such individuals should be granted access to the Software (each, a “</w:t>
      </w:r>
      <w:r>
        <w:rPr>
          <w:rFonts w:ascii="Times New Roman" w:cs="Times New Roman" w:eastAsia="Times New Roman" w:hAnsi="Times New Roman"/>
          <w:sz w:val="17"/>
          <w:szCs w:val="17"/>
          <w:u w:val="single" w:color="auto"/>
          <w:color w:val="auto"/>
        </w:rPr>
        <w:t>User</w:t>
      </w:r>
      <w:r>
        <w:rPr>
          <w:rFonts w:ascii="Times New Roman" w:cs="Times New Roman" w:eastAsia="Times New Roman" w:hAnsi="Times New Roman"/>
          <w:sz w:val="17"/>
          <w:szCs w:val="17"/>
          <w:color w:val="auto"/>
        </w:rPr>
        <w:t>”). Client will also provide Tempus with contact information for one or more authorized representatives to manage all available access limitations. Tempus will rely on Client and/or its authorized representative to manage its LENS permissions. Each User must keep their account credentials for the Software confidential. Client is responsible for all acts and omissions of its Users.</w:t>
      </w:r>
    </w:p>
    <w:p>
      <w:pPr>
        <w:spacing w:after="0" w:line="82" w:lineRule="exact"/>
        <w:rPr>
          <w:rFonts w:ascii="Times New Roman" w:cs="Times New Roman" w:eastAsia="Times New Roman" w:hAnsi="Times New Roman"/>
          <w:sz w:val="17"/>
          <w:szCs w:val="17"/>
          <w:color w:val="auto"/>
        </w:rPr>
      </w:pPr>
    </w:p>
    <w:p>
      <w:pPr>
        <w:jc w:val="both"/>
        <w:ind w:left="428" w:right="80" w:hanging="428"/>
        <w:spacing w:after="0" w:line="277" w:lineRule="auto"/>
        <w:tabs>
          <w:tab w:leader="none" w:pos="428" w:val="left"/>
        </w:tabs>
        <w:numPr>
          <w:ilvl w:val="0"/>
          <w:numId w:val="2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Subscription Fee</w:t>
      </w:r>
      <w:r>
        <w:rPr>
          <w:rFonts w:ascii="Times New Roman" w:cs="Times New Roman" w:eastAsia="Times New Roman" w:hAnsi="Times New Roman"/>
          <w:sz w:val="17"/>
          <w:szCs w:val="17"/>
          <w:color w:val="auto"/>
        </w:rPr>
        <w:t>. Pathos will pay Tempus $400,000 per year for the duration of the Term. Tempus will issue the first invoice as of the 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and subsequent invoices annually through the fourth anniversary of the Effective Date. The total Subscription Fee will be $2 million during the initial Term, and shall continue at the same rate if the Master Agreement is extended for another 5 years.</w:t>
      </w:r>
    </w:p>
    <w:p>
      <w:pPr>
        <w:spacing w:after="0" w:line="68" w:lineRule="exact"/>
        <w:rPr>
          <w:rFonts w:ascii="Times New Roman" w:cs="Times New Roman" w:eastAsia="Times New Roman" w:hAnsi="Times New Roman"/>
          <w:sz w:val="17"/>
          <w:szCs w:val="17"/>
          <w:b w:val="1"/>
          <w:bCs w:val="1"/>
          <w:color w:val="auto"/>
        </w:rPr>
      </w:pPr>
    </w:p>
    <w:p>
      <w:pPr>
        <w:ind w:left="428" w:right="60" w:hanging="428"/>
        <w:spacing w:after="0" w:line="270" w:lineRule="auto"/>
        <w:tabs>
          <w:tab w:leader="none" w:pos="428" w:val="left"/>
        </w:tabs>
        <w:numPr>
          <w:ilvl w:val="0"/>
          <w:numId w:val="2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r>
        <w:rPr>
          <w:rFonts w:ascii="Times New Roman" w:cs="Times New Roman" w:eastAsia="Times New Roman" w:hAnsi="Times New Roman"/>
          <w:sz w:val="17"/>
          <w:szCs w:val="17"/>
          <w:color w:val="auto"/>
        </w:rPr>
        <w:t>. The Term of the Master Agreement is incorporated by reference. In addition, Client’s license to use the Software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terminate as of the termination date. In addition, Tempus may suspend Client’s access to the Software without liability, if (a) Client or any User breaches this Subscription Agreement, (b) Tempus has reason to believe that Client or any person or entity accessing the Software through Client is abusing the Software or is using it unlawfully or in a manner that threatens the security or integrity of the Software.</w:t>
      </w:r>
    </w:p>
    <w:p>
      <w:pPr>
        <w:spacing w:after="0" w:line="309" w:lineRule="exact"/>
        <w:rPr>
          <w:rFonts w:ascii="Times New Roman" w:cs="Times New Roman" w:eastAsia="Times New Roman" w:hAnsi="Times New Roman"/>
          <w:sz w:val="17"/>
          <w:szCs w:val="17"/>
          <w:b w:val="1"/>
          <w:bCs w:val="1"/>
          <w:color w:val="auto"/>
        </w:rPr>
      </w:pPr>
    </w:p>
    <w:p>
      <w:pPr>
        <w:ind w:left="428" w:hanging="428"/>
        <w:spacing w:after="0"/>
        <w:tabs>
          <w:tab w:leader="none" w:pos="428" w:val="left"/>
        </w:tabs>
        <w:numPr>
          <w:ilvl w:val="0"/>
          <w:numId w:val="2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Optional Structured Data Services for Healthcare Providers.</w:t>
      </w:r>
    </w:p>
    <w:p>
      <w:pPr>
        <w:spacing w:after="0" w:line="131" w:lineRule="exact"/>
        <w:rPr>
          <w:rFonts w:ascii="Times New Roman" w:cs="Times New Roman" w:eastAsia="Times New Roman" w:hAnsi="Times New Roman"/>
          <w:sz w:val="17"/>
          <w:szCs w:val="17"/>
          <w:b w:val="1"/>
          <w:bCs w:val="1"/>
          <w:color w:val="auto"/>
        </w:rPr>
      </w:pPr>
    </w:p>
    <w:p>
      <w:pPr>
        <w:ind w:left="948" w:hanging="530"/>
        <w:spacing w:after="0" w:line="267" w:lineRule="auto"/>
        <w:tabs>
          <w:tab w:leader="none" w:pos="948"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Data Updates. </w:t>
      </w:r>
      <w:r>
        <w:rPr>
          <w:rFonts w:ascii="Times New Roman" w:cs="Times New Roman" w:eastAsia="Times New Roman" w:hAnsi="Times New Roman"/>
          <w:sz w:val="17"/>
          <w:szCs w:val="17"/>
          <w:color w:val="auto"/>
        </w:rPr>
        <w:t>The health data made available to Client through the Software may include the health records of patients who received care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participated in research through Client and/or its affiliates. Some patients may have received next-generation sequencing through Tempus. Client may provide Tempus with updated medical records from such patients or records of other patients who received sequencing or other testing from laboratories other than Tempus (collectively, “</w:t>
      </w:r>
      <w:r>
        <w:rPr>
          <w:rFonts w:ascii="Times New Roman" w:cs="Times New Roman" w:eastAsia="Times New Roman" w:hAnsi="Times New Roman"/>
          <w:sz w:val="17"/>
          <w:szCs w:val="17"/>
          <w:u w:val="single" w:color="auto"/>
          <w:color w:val="auto"/>
        </w:rPr>
        <w:t>Data Updates</w:t>
      </w:r>
      <w:r>
        <w:rPr>
          <w:rFonts w:ascii="Times New Roman" w:cs="Times New Roman" w:eastAsia="Times New Roman" w:hAnsi="Times New Roman"/>
          <w:sz w:val="17"/>
          <w:szCs w:val="17"/>
          <w:color w:val="auto"/>
        </w:rPr>
        <w:t>”), to improve the view of the health data available to Client through the Software.</w:t>
      </w:r>
    </w:p>
    <w:p>
      <w:pPr>
        <w:spacing w:after="0" w:line="75" w:lineRule="exact"/>
        <w:rPr>
          <w:rFonts w:ascii="Times New Roman" w:cs="Times New Roman" w:eastAsia="Times New Roman" w:hAnsi="Times New Roman"/>
          <w:sz w:val="17"/>
          <w:szCs w:val="17"/>
          <w:color w:val="auto"/>
        </w:rPr>
      </w:pPr>
    </w:p>
    <w:p>
      <w:pPr>
        <w:ind w:left="948" w:right="20" w:hanging="530"/>
        <w:spacing w:after="0" w:line="270" w:lineRule="auto"/>
        <w:tabs>
          <w:tab w:leader="none" w:pos="948"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Description of Data Structuring Services. </w:t>
      </w:r>
      <w:r>
        <w:rPr>
          <w:rFonts w:ascii="Times New Roman" w:cs="Times New Roman" w:eastAsia="Times New Roman" w:hAnsi="Times New Roman"/>
          <w:sz w:val="17"/>
          <w:szCs w:val="17"/>
          <w:color w:val="auto"/>
        </w:rPr>
        <w:t>If Client provides Data Updates to Tempus, Tempus will extract data elements from the records,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organize those data elements into a structured format, and make the structured data available through the Software. Tempus will treat all protected health information received under this Section 4 in accordance with the terms of the BAA. Client retains ownership of any protected health information provided to Tempus hereunder.</w:t>
      </w:r>
    </w:p>
    <w:p>
      <w:pPr>
        <w:spacing w:after="0" w:line="102"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88"/>
          </w:cols>
          <w:pgMar w:left="612" w:top="263" w:right="699" w:bottom="1440" w:gutter="0" w:footer="0" w:header="0"/>
        </w:sectPr>
      </w:pPr>
    </w:p>
    <w:bookmarkStart w:id="433" w:name="page434"/>
    <w:bookmarkEnd w:id="433"/>
    <w:p>
      <w:pPr>
        <w:ind w:left="428" w:right="40" w:hanging="428"/>
        <w:spacing w:after="0" w:line="267" w:lineRule="auto"/>
        <w:tabs>
          <w:tab w:leader="none" w:pos="428"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Client Policies</w:t>
      </w:r>
      <w:r>
        <w:rPr>
          <w:rFonts w:ascii="Times New Roman" w:cs="Times New Roman" w:eastAsia="Times New Roman" w:hAnsi="Times New Roman"/>
          <w:sz w:val="17"/>
          <w:szCs w:val="17"/>
          <w:color w:val="auto"/>
        </w:rPr>
        <w:t>. Client agrees that it is solely responsible for complying with all of it and its affiliates’ policies, rules, guidelines, and similar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requirements, including requirements that govern patient consent and the collection, processing, transfer, analysis, use, and storage of protected health information (“</w:t>
      </w:r>
      <w:r>
        <w:rPr>
          <w:rFonts w:ascii="Times New Roman" w:cs="Times New Roman" w:eastAsia="Times New Roman" w:hAnsi="Times New Roman"/>
          <w:sz w:val="17"/>
          <w:szCs w:val="17"/>
          <w:u w:val="single" w:color="auto"/>
          <w:color w:val="auto"/>
        </w:rPr>
        <w:t>Client Policies</w:t>
      </w:r>
      <w:r>
        <w:rPr>
          <w:rFonts w:ascii="Times New Roman" w:cs="Times New Roman" w:eastAsia="Times New Roman" w:hAnsi="Times New Roman"/>
          <w:sz w:val="17"/>
          <w:szCs w:val="17"/>
          <w:color w:val="auto"/>
        </w:rPr>
        <w:t>”). Client will only provide data to Tempus, and use the data accessible through the Software, to the extent such transfer and use, as well as Tempus’ use of the data in accordance with this Subscription Agreement, complies with Client Policies. Tempus disclaims any responsibility and liability for any breach of Client Policies.</w:t>
      </w:r>
    </w:p>
    <w:p>
      <w:pPr>
        <w:spacing w:after="0" w:line="75" w:lineRule="exact"/>
        <w:rPr>
          <w:rFonts w:ascii="Times New Roman" w:cs="Times New Roman" w:eastAsia="Times New Roman" w:hAnsi="Times New Roman"/>
          <w:sz w:val="17"/>
          <w:szCs w:val="17"/>
          <w:b w:val="1"/>
          <w:bCs w:val="1"/>
          <w:color w:val="auto"/>
        </w:rPr>
      </w:pPr>
    </w:p>
    <w:p>
      <w:pPr>
        <w:ind w:left="428" w:hanging="428"/>
        <w:spacing w:after="0" w:line="277" w:lineRule="auto"/>
        <w:tabs>
          <w:tab w:leader="none" w:pos="428"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Data Use</w:t>
      </w:r>
      <w:r>
        <w:rPr>
          <w:rFonts w:ascii="Times New Roman" w:cs="Times New Roman" w:eastAsia="Times New Roman" w:hAnsi="Times New Roman"/>
          <w:sz w:val="17"/>
          <w:szCs w:val="17"/>
          <w:color w:val="auto"/>
        </w:rPr>
        <w:t>. Through its use of the Software, Client and its Users may have access to de-identified data from Tempus’ database that does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originate from Client (the “</w:t>
      </w:r>
      <w:r>
        <w:rPr>
          <w:rFonts w:ascii="Times New Roman" w:cs="Times New Roman" w:eastAsia="Times New Roman" w:hAnsi="Times New Roman"/>
          <w:sz w:val="17"/>
          <w:szCs w:val="17"/>
          <w:u w:val="single" w:color="auto"/>
          <w:color w:val="auto"/>
        </w:rPr>
        <w:t>Licensed Data</w:t>
      </w:r>
      <w:r>
        <w:rPr>
          <w:rFonts w:ascii="Times New Roman" w:cs="Times New Roman" w:eastAsia="Times New Roman" w:hAnsi="Times New Roman"/>
          <w:sz w:val="17"/>
          <w:szCs w:val="17"/>
          <w:color w:val="auto"/>
        </w:rPr>
        <w:t>”). With respect to the Licensed Data, Client agrees to the Licensed Data Terms set forth in Exhibit 1 on behalf itself and all Users.</w:t>
      </w:r>
    </w:p>
    <w:p>
      <w:pPr>
        <w:spacing w:after="0" w:line="303" w:lineRule="exact"/>
        <w:rPr>
          <w:rFonts w:ascii="Times New Roman" w:cs="Times New Roman" w:eastAsia="Times New Roman" w:hAnsi="Times New Roman"/>
          <w:sz w:val="17"/>
          <w:szCs w:val="17"/>
          <w:b w:val="1"/>
          <w:bCs w:val="1"/>
          <w:color w:val="auto"/>
        </w:rPr>
      </w:pPr>
    </w:p>
    <w:p>
      <w:pPr>
        <w:ind w:left="428" w:hanging="428"/>
        <w:spacing w:after="0"/>
        <w:tabs>
          <w:tab w:leader="none" w:pos="428"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Additional Terms.</w:t>
      </w:r>
    </w:p>
    <w:p>
      <w:pPr>
        <w:spacing w:after="0" w:line="131" w:lineRule="exact"/>
        <w:rPr>
          <w:rFonts w:ascii="Times New Roman" w:cs="Times New Roman" w:eastAsia="Times New Roman" w:hAnsi="Times New Roman"/>
          <w:sz w:val="17"/>
          <w:szCs w:val="17"/>
          <w:b w:val="1"/>
          <w:bCs w:val="1"/>
          <w:color w:val="auto"/>
        </w:rPr>
      </w:pPr>
    </w:p>
    <w:p>
      <w:pPr>
        <w:ind w:left="948" w:right="320" w:hanging="530"/>
        <w:spacing w:after="0" w:line="298" w:lineRule="auto"/>
        <w:tabs>
          <w:tab w:leader="none" w:pos="948"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orders required. </w:t>
      </w:r>
      <w:r>
        <w:rPr>
          <w:rFonts w:ascii="Times New Roman" w:cs="Times New Roman" w:eastAsia="Times New Roman" w:hAnsi="Times New Roman"/>
          <w:sz w:val="17"/>
          <w:szCs w:val="17"/>
          <w:color w:val="auto"/>
        </w:rPr>
        <w:t>Client and its ordering clinicians are under no obligation to recommend, order, or otherwise refer Tempus tests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in order to have access to the Software.</w:t>
      </w:r>
    </w:p>
    <w:p>
      <w:pPr>
        <w:spacing w:after="0" w:line="50" w:lineRule="exact"/>
        <w:rPr>
          <w:rFonts w:ascii="Times New Roman" w:cs="Times New Roman" w:eastAsia="Times New Roman" w:hAnsi="Times New Roman"/>
          <w:sz w:val="17"/>
          <w:szCs w:val="17"/>
          <w:color w:val="auto"/>
        </w:rPr>
      </w:pPr>
    </w:p>
    <w:p>
      <w:pPr>
        <w:ind w:left="948" w:right="120" w:hanging="530"/>
        <w:spacing w:after="0" w:line="264" w:lineRule="auto"/>
        <w:tabs>
          <w:tab w:leader="none" w:pos="948"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Assignment. </w:t>
      </w:r>
      <w:r>
        <w:rPr>
          <w:rFonts w:ascii="Times New Roman" w:cs="Times New Roman" w:eastAsia="Times New Roman" w:hAnsi="Times New Roman"/>
          <w:sz w:val="17"/>
          <w:szCs w:val="17"/>
          <w:color w:val="auto"/>
        </w:rPr>
        <w:t>This Subscription Agreement is binding upon, and will inure to the benefit of, the successors and permitted assigns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Parties. Either Party may assign its rights and responsibilities under this Subscription Agreement to any of its affiliates or in connection with a merger, acquisition, corporate reorganization or sale of all or substantially all of its assets, provided that the assignee agrees in writing to be bound by the terms of this Agreement, and also provided that Client may not assign this Agreement if the assignee is a Top 20 pharmaceutical company based on annual revenue for the trailing 12 months prior to assignment without the prior written consent of Tempus, not to be unreasonably withheld.</w:t>
      </w:r>
    </w:p>
    <w:p>
      <w:pPr>
        <w:spacing w:after="0" w:line="110"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568"/>
          </w:cols>
          <w:pgMar w:left="612" w:top="263" w:right="719" w:bottom="1440" w:gutter="0" w:footer="0" w:header="0"/>
        </w:sectPr>
      </w:pPr>
    </w:p>
    <w:bookmarkStart w:id="434" w:name="page435"/>
    <w:bookmarkEnd w:id="43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3</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 Agreement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[attached]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9019"/>
          </w:cols>
          <w:pgMar w:left="1440" w:top="263" w:right="1440" w:bottom="1440" w:gutter="0" w:footer="0" w:header="0"/>
        </w:sectPr>
      </w:pPr>
    </w:p>
    <w:bookmarkStart w:id="435" w:name="page436"/>
    <w:bookmarkEnd w:id="435"/>
    <w:p>
      <w:pPr>
        <w:ind w:right="100"/>
        <w:spacing w:after="0" w:line="26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THIS WARRANT AND THE UNDERLYING SECURITIES HAVE NOT BEEN REGISTERED UNDER THE SECURITIES ACT OF 1933, AS 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b w:val="1"/>
          <w:bCs w:val="1"/>
          <w:color w:val="auto"/>
        </w:rPr>
        <w:t>”). THEY MAY NOT BE SOLD, OFFERED FOR SALE, PLEDGED OR HYPOTHECATED IN THE ABSENCE OF AN EFFECTIVE REGISTRATION STATEMENT AS TO SUCH SECURITIES UNDER THE ACT OR AN OPINION OF COUNSEL SATISFACTORY TO THE COMPANY THAT SUCH REGISTRATION IS NOT REQUIRED OR UNLESS SOLD PURSUANT TO RULE 144 UNDER THE ACT.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PATHOS AI, INC.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WARRANT TO PURCHASE COMMON STOCK</w:t>
      </w:r>
    </w:p>
    <w:p>
      <w:pPr>
        <w:spacing w:after="0" w:line="221"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7"/>
          <w:szCs w:val="17"/>
          <w:b w:val="1"/>
          <w:bCs w:val="1"/>
          <w:color w:val="auto"/>
        </w:rPr>
        <w:t>August 19, 2021</w:t>
      </w:r>
    </w:p>
    <w:p>
      <w:pPr>
        <w:spacing w:after="0" w:line="22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ERTIFIES</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HAT</w:t>
      </w:r>
      <w:r>
        <w:rPr>
          <w:rFonts w:ascii="Times New Roman" w:cs="Times New Roman" w:eastAsia="Times New Roman" w:hAnsi="Times New Roman"/>
          <w:sz w:val="17"/>
          <w:szCs w:val="17"/>
          <w:color w:val="auto"/>
        </w:rPr>
        <w:t>, for value received,</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Delaware corporation with a principal office at the address set forth on the signature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page hereto, or such person’s or entity’s assigns (the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xml:space="preserve">”), is entitled to subscribe for and purchase from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4"/>
          <w:szCs w:val="14"/>
          <w:b w:val="1"/>
          <w:bCs w:val="1"/>
          <w:color w:val="auto"/>
        </w:rPr>
        <w:t>ATHOS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AI,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the Exercise Shares at the Exercise Price (each subject to adjustment as provided herein).</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used herein, the following terms shall have the following respective meanings:</w:t>
      </w:r>
    </w:p>
    <w:p>
      <w:pPr>
        <w:spacing w:after="0" w:line="2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Aggregate Exercise Price</w:t>
      </w:r>
      <w:r>
        <w:rPr>
          <w:rFonts w:ascii="Times New Roman" w:cs="Times New Roman" w:eastAsia="Times New Roman" w:hAnsi="Times New Roman"/>
          <w:sz w:val="17"/>
          <w:szCs w:val="17"/>
          <w:color w:val="auto"/>
        </w:rPr>
        <w:t>” shall mean the aggregate Exercise Price payable in connection with the exercise in full of this Warrant.</w:t>
      </w:r>
    </w:p>
    <w:p>
      <w:pPr>
        <w:spacing w:after="0" w:line="223" w:lineRule="exact"/>
        <w:rPr>
          <w:sz w:val="20"/>
          <w:szCs w:val="20"/>
          <w:color w:val="auto"/>
        </w:rPr>
      </w:pPr>
    </w:p>
    <w:p>
      <w:pPr>
        <w:ind w:right="40" w:firstLine="960"/>
        <w:spacing w:after="0" w:line="262"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Change of Control</w:t>
      </w:r>
      <w:r>
        <w:rPr>
          <w:rFonts w:ascii="Times New Roman" w:cs="Times New Roman" w:eastAsia="Times New Roman" w:hAnsi="Times New Roman"/>
          <w:sz w:val="17"/>
          <w:szCs w:val="17"/>
          <w:color w:val="auto"/>
        </w:rPr>
        <w:t>” shall mean (i) any consolidation or merger of the Company with or into any other corporation or other entity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(ii) any transaction or series of related transactions to which the Company is a party in which the stockholders of the Company transfer shares in excess of fifty percent (50%) of the Company’s then-outstanding combined voting power; provided that a Change of Control shall not include any transaction or series of transactions principally for bona fide equity financing purposes in which cash is received by the Company or any successor or indebtedness of the Company is cancelled or converted or a combination thereof; or (iii) a sale, lease, exclusive license or other disposition of all or substantially all of the assets of the Company.</w:t>
      </w:r>
    </w:p>
    <w:p>
      <w:pPr>
        <w:spacing w:after="0" w:line="170" w:lineRule="exact"/>
        <w:rPr>
          <w:sz w:val="20"/>
          <w:szCs w:val="20"/>
          <w:color w:val="auto"/>
        </w:rPr>
      </w:pPr>
    </w:p>
    <w:p>
      <w:pPr>
        <w:jc w:val="both"/>
        <w:ind w:right="240" w:firstLine="960"/>
        <w:spacing w:after="0" w:line="278"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Exercise Period</w:t>
      </w:r>
      <w:r>
        <w:rPr>
          <w:rFonts w:ascii="Times New Roman" w:cs="Times New Roman" w:eastAsia="Times New Roman" w:hAnsi="Times New Roman"/>
          <w:sz w:val="17"/>
          <w:szCs w:val="17"/>
          <w:color w:val="auto"/>
        </w:rPr>
        <w:t>” shall mean the period commencing on the date hereof and ending on the 20-year anniversary of the date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Warrant, unless sooner terminated as provided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such period is determined or held to be invalid, illegal or unenforceable in any jurisdiction, it will be construed by limiting and reducing it, so as to be valid, legal and enforceable to the extent compatible with then-applicable law.</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Exercise Price</w:t>
      </w:r>
      <w:r>
        <w:rPr>
          <w:rFonts w:ascii="Times New Roman" w:cs="Times New Roman" w:eastAsia="Times New Roman" w:hAnsi="Times New Roman"/>
          <w:sz w:val="17"/>
          <w:szCs w:val="17"/>
          <w:color w:val="auto"/>
        </w:rPr>
        <w:t>” shall mean $0.0125 per Exercise Share, subject to adjustment as set forth herein.</w:t>
      </w:r>
    </w:p>
    <w:p>
      <w:pPr>
        <w:spacing w:after="0" w:line="223" w:lineRule="exact"/>
        <w:rPr>
          <w:sz w:val="20"/>
          <w:szCs w:val="20"/>
          <w:color w:val="auto"/>
        </w:rPr>
      </w:pPr>
    </w:p>
    <w:p>
      <w:pPr>
        <w:ind w:right="460" w:firstLine="960"/>
        <w:spacing w:after="0" w:line="300"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Exercise Shares</w:t>
      </w:r>
      <w:r>
        <w:rPr>
          <w:rFonts w:ascii="Times New Roman" w:cs="Times New Roman" w:eastAsia="Times New Roman" w:hAnsi="Times New Roman"/>
          <w:sz w:val="17"/>
          <w:szCs w:val="17"/>
          <w:color w:val="auto"/>
        </w:rPr>
        <w:t>” shall mean 23,456,790 shares of the Company’s Common Stock, par value $0.0001 per share, issuable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of this Warrant, subject to adjustment as set forth herein.</w:t>
      </w:r>
    </w:p>
    <w:p>
      <w:pPr>
        <w:sectPr>
          <w:pgSz w:w="11900" w:h="16838" w:orient="portrait"/>
          <w:cols w:equalWidth="0" w:num="1">
            <w:col w:w="10660"/>
          </w:cols>
          <w:pgMar w:left="620" w:top="262" w:right="619" w:bottom="1440" w:gutter="0" w:footer="0" w:header="0"/>
        </w:sectPr>
      </w:pPr>
    </w:p>
    <w:bookmarkStart w:id="436" w:name="page437"/>
    <w:bookmarkEnd w:id="436"/>
    <w:p>
      <w:pPr>
        <w:ind w:left="9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IPO</w:t>
      </w:r>
      <w:r>
        <w:rPr>
          <w:rFonts w:ascii="Times New Roman" w:cs="Times New Roman" w:eastAsia="Times New Roman" w:hAnsi="Times New Roman"/>
          <w:sz w:val="17"/>
          <w:szCs w:val="17"/>
          <w:color w:val="auto"/>
        </w:rPr>
        <w:t>” shall mean an initial public offering of securities of the Company registered under the Act.</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2.   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ind w:right="10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Exercise. </w:t>
      </w:r>
      <w:r>
        <w:rPr>
          <w:rFonts w:ascii="Times New Roman" w:cs="Times New Roman" w:eastAsia="Times New Roman" w:hAnsi="Times New Roman"/>
          <w:sz w:val="17"/>
          <w:szCs w:val="17"/>
          <w:color w:val="auto"/>
        </w:rPr>
        <w:t>The rights represented by this Warrant may be exercised in whole but not in part (i) during the ten (10) day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immediately prior to the end of the Exercise Period or (ii) automatically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hereof, by delivery of the following to the Company at its address set forth on the signature page hereto (or at such other address as it may designate by notice in writing to the Holder):</w:t>
      </w:r>
    </w:p>
    <w:p>
      <w:pPr>
        <w:spacing w:after="0" w:line="1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an executed Notice of Exercise in the form attached hereto as</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payment of the Exercise Price in cash or by check or wire transfer; and</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this Warrant.</w:t>
      </w:r>
    </w:p>
    <w:p>
      <w:pPr>
        <w:spacing w:after="0" w:line="223" w:lineRule="exact"/>
        <w:rPr>
          <w:sz w:val="20"/>
          <w:szCs w:val="20"/>
          <w:color w:val="auto"/>
        </w:rPr>
      </w:pPr>
    </w:p>
    <w:p>
      <w:pPr>
        <w:ind w:firstLine="960"/>
        <w:spacing w:after="0" w:line="263" w:lineRule="auto"/>
        <w:rPr>
          <w:sz w:val="20"/>
          <w:szCs w:val="20"/>
          <w:color w:val="auto"/>
        </w:rPr>
      </w:pPr>
      <w:r>
        <w:rPr>
          <w:rFonts w:ascii="Times New Roman" w:cs="Times New Roman" w:eastAsia="Times New Roman" w:hAnsi="Times New Roman"/>
          <w:sz w:val="17"/>
          <w:szCs w:val="17"/>
          <w:b w:val="1"/>
          <w:bCs w:val="1"/>
          <w:color w:val="auto"/>
        </w:rPr>
        <w:t>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Mechanics of Exercise</w:t>
      </w:r>
      <w:r>
        <w:rPr>
          <w:rFonts w:ascii="Times New Roman" w:cs="Times New Roman" w:eastAsia="Times New Roman" w:hAnsi="Times New Roman"/>
          <w:sz w:val="17"/>
          <w:szCs w:val="17"/>
          <w:color w:val="auto"/>
        </w:rPr>
        <w:t>. Upon the exercise of the rights represented by this Warrant, a certificate or certificates for the 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so purchased, registered in the name of the Holder or persons affiliated with the Holder, if the Holder so designates, shall be issued and delivered to the Holder within a reasonable time after the rights represented by this Warrant shall have been so exercised. The person in whose name any certificate or certificates for Exercise Shares are to be issued upon exercise of this Warrant shall be deemed to have become the holder of record of such shares on the date on which this Warrant was surrendered and payment of the Exercise Price was made, irrespective of the date of delivery of such certificate or certificates,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3.   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ind w:firstLine="960"/>
        <w:spacing w:after="0" w:line="264" w:lineRule="auto"/>
        <w:rPr>
          <w:sz w:val="20"/>
          <w:szCs w:val="20"/>
          <w:color w:val="auto"/>
        </w:rPr>
      </w:pPr>
      <w:r>
        <w:rPr>
          <w:rFonts w:ascii="Times New Roman" w:cs="Times New Roman" w:eastAsia="Times New Roman" w:hAnsi="Times New Roman"/>
          <w:sz w:val="17"/>
          <w:szCs w:val="17"/>
          <w:b w:val="1"/>
          <w:bCs w:val="1"/>
          <w:color w:val="auto"/>
        </w:rPr>
        <w:t>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Covenants as to Exercise Shares. </w:t>
      </w:r>
      <w:r>
        <w:rPr>
          <w:rFonts w:ascii="Times New Roman" w:cs="Times New Roman" w:eastAsia="Times New Roman" w:hAnsi="Times New Roman"/>
          <w:sz w:val="17"/>
          <w:szCs w:val="17"/>
          <w:color w:val="auto"/>
        </w:rPr>
        <w:t>The Company covenants and agrees that all Exercise Shares that may be issued upon the 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rights represented by this Warrant will, upon issuance, be validly issued and outstanding, fully paid and nonassessable, and free from all taxes, liens and charges with respect to the issuance thereof. The Company further covenants and agrees that the Company will at all times during the Exercise Period have authorized and reserved a sufficient number of shares of the series of equity securities comprising the Exercise Shares to provide for the exercise of the rights represented by this Warrant. The issuance of the Exercise Shares will not be subject to any preemptive rights that have not been properly complied with.</w:t>
      </w:r>
    </w:p>
    <w:p>
      <w:pPr>
        <w:spacing w:after="0" w:line="173" w:lineRule="exact"/>
        <w:rPr>
          <w:sz w:val="20"/>
          <w:szCs w:val="20"/>
          <w:color w:val="auto"/>
        </w:rPr>
      </w:pPr>
    </w:p>
    <w:p>
      <w:pPr>
        <w:ind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Notices of Record Date. </w:t>
      </w:r>
      <w:r>
        <w:rPr>
          <w:rFonts w:ascii="Times New Roman" w:cs="Times New Roman" w:eastAsia="Times New Roman" w:hAnsi="Times New Roman"/>
          <w:sz w:val="17"/>
          <w:szCs w:val="17"/>
          <w:color w:val="auto"/>
        </w:rPr>
        <w:t>In the event of any taking by the Company of a record of the holders of any class and/or series of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purpose of determining the holders thereof who are entitled to receive any dividend or other distribution, the Company shall mail to the Holder, at least ten days prior to the date specified herein, a notice specifying the date on which any such record is to be taken for the purpose of such dividend or distribution.</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4.   R</w:t>
      </w:r>
      <w:r>
        <w:rPr>
          <w:rFonts w:ascii="Times New Roman" w:cs="Times New Roman" w:eastAsia="Times New Roman" w:hAnsi="Times New Roman"/>
          <w:sz w:val="14"/>
          <w:szCs w:val="14"/>
          <w:b w:val="1"/>
          <w:bCs w:val="1"/>
          <w:color w:val="auto"/>
        </w:rPr>
        <w:t>EPRESENTATIONS OF</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4"/>
          <w:szCs w:val="14"/>
          <w:b w:val="1"/>
          <w:bCs w:val="1"/>
          <w:color w:val="auto"/>
        </w:rPr>
        <w:t>OLDER</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ind w:right="320" w:firstLine="960"/>
        <w:spacing w:after="0" w:line="270" w:lineRule="auto"/>
        <w:rPr>
          <w:sz w:val="20"/>
          <w:szCs w:val="20"/>
          <w:color w:val="auto"/>
        </w:rPr>
      </w:pPr>
      <w:r>
        <w:rPr>
          <w:rFonts w:ascii="Times New Roman" w:cs="Times New Roman" w:eastAsia="Times New Roman" w:hAnsi="Times New Roman"/>
          <w:sz w:val="17"/>
          <w:szCs w:val="17"/>
          <w:b w:val="1"/>
          <w:bCs w:val="1"/>
          <w:color w:val="auto"/>
        </w:rPr>
        <w:t>4.1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Acquisition of Warrant for Personal Account. </w:t>
      </w:r>
      <w:r>
        <w:rPr>
          <w:rFonts w:ascii="Times New Roman" w:cs="Times New Roman" w:eastAsia="Times New Roman" w:hAnsi="Times New Roman"/>
          <w:sz w:val="17"/>
          <w:szCs w:val="17"/>
          <w:color w:val="auto"/>
        </w:rPr>
        <w:t>The Holder represents and warrants that it is acquiring this Warrant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Shares solely for its account for investment and not with a view to or for sale or distribution of said Warrant or Exercise Shares or any part thereof. The Holder also represents that the entire legal and beneficial interests of this Warrant and Exercise Shares the Holder is acquiring is being acquired for, and will be held for, its account only.</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00"/>
          </w:cols>
          <w:pgMar w:left="620" w:top="260" w:right="679" w:bottom="1440" w:gutter="0" w:footer="0" w:header="0"/>
        </w:sectPr>
      </w:pPr>
    </w:p>
    <w:bookmarkStart w:id="437" w:name="page438"/>
    <w:bookmarkEnd w:id="437"/>
    <w:p>
      <w:pPr>
        <w:ind w:left="9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4.2   Securities Are Not Registered.</w:t>
      </w:r>
    </w:p>
    <w:p>
      <w:pPr>
        <w:spacing w:after="0" w:line="118" w:lineRule="exact"/>
        <w:rPr>
          <w:sz w:val="20"/>
          <w:szCs w:val="20"/>
          <w:color w:val="auto"/>
        </w:rPr>
      </w:pPr>
    </w:p>
    <w:p>
      <w:pPr>
        <w:ind w:firstLine="1386"/>
        <w:spacing w:after="0" w:line="267"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The Holder understands that this Warrant and the Exercise Shares have not been registered under the Securities Act of 1933,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on the basis that no distribution or public offering of the stock of the Company is to be effected. The Holder realizes that the basis for the exemption may not be present if, notwithstanding its representations, the Holder has a present intention of acquiring the securities for a fixed or determinable period in the future, selling (in connection with a distribution or otherwise), granting any participation in, or otherwise distributing the securities. The Holder has no such present intention.</w:t>
      </w:r>
    </w:p>
    <w:p>
      <w:pPr>
        <w:spacing w:after="0" w:line="167" w:lineRule="exact"/>
        <w:rPr>
          <w:sz w:val="20"/>
          <w:szCs w:val="20"/>
          <w:color w:val="auto"/>
        </w:rPr>
      </w:pPr>
    </w:p>
    <w:p>
      <w:pPr>
        <w:ind w:right="100" w:firstLine="1386"/>
        <w:spacing w:after="0" w:line="277"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The Holder recognizes that this Warrant and the Exercise Shares must be held indefinitely unless they are subsequently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under the Act or an exemption from such registration is available. The Holder recognizes that the Company has no obligation to register this Warrant or the Exercise Shares of the Company, or to comply with any exemption from such registration.</w:t>
      </w:r>
    </w:p>
    <w:p>
      <w:pPr>
        <w:spacing w:after="0" w:line="160" w:lineRule="exact"/>
        <w:rPr>
          <w:sz w:val="20"/>
          <w:szCs w:val="20"/>
          <w:color w:val="auto"/>
        </w:rPr>
      </w:pPr>
    </w:p>
    <w:p>
      <w:pPr>
        <w:ind w:right="20" w:firstLine="1386"/>
        <w:spacing w:after="0" w:line="267"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The Holder is aware that neither this Warrant nor the Exercise Shares may be sold pursuant to Rule 144 adopted under the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unless certain conditions are met, including, among other things, the existence of a public market for the shares, the availability of certain current public information about the Company, the resale following the required holding period under Rule 144 and the number of shares being sold during any three month period not exceeding specified limitations. Holder is aware that the conditions for resale set forth in Rule 144 have not been satisfied and that the Company presently has no plans to satisfy these conditions in the foreseeable future.</w:t>
      </w:r>
    </w:p>
    <w:p>
      <w:pPr>
        <w:spacing w:after="0" w:line="2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4.3   Disposition of Warrant and Exercise Shares.</w:t>
      </w:r>
    </w:p>
    <w:p>
      <w:pPr>
        <w:spacing w:after="0" w:line="11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The Holder further agrees not to make any disposition of all or any part of this Warrant or Exercise Shares in any event unless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until:</w:t>
      </w:r>
    </w:p>
    <w:p>
      <w:pPr>
        <w:spacing w:after="0" w:line="98" w:lineRule="exact"/>
        <w:rPr>
          <w:sz w:val="20"/>
          <w:szCs w:val="20"/>
          <w:color w:val="auto"/>
        </w:rPr>
      </w:pPr>
    </w:p>
    <w:p>
      <w:pPr>
        <w:ind w:left="420" w:right="220" w:firstLine="1331"/>
        <w:spacing w:after="0" w:line="298" w:lineRule="auto"/>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The Company shall have received a letter secured by the Holder from the Securities and Exchange Commission stating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no action will be recommended to the Commission with respect to the proposed disposition;</w:t>
      </w:r>
    </w:p>
    <w:p>
      <w:pPr>
        <w:spacing w:after="0" w:line="37" w:lineRule="exact"/>
        <w:rPr>
          <w:sz w:val="20"/>
          <w:szCs w:val="20"/>
          <w:color w:val="auto"/>
        </w:rPr>
      </w:pPr>
    </w:p>
    <w:p>
      <w:pPr>
        <w:ind w:left="420" w:right="160" w:firstLine="1331"/>
        <w:spacing w:after="0" w:line="298" w:lineRule="auto"/>
        <w:rPr>
          <w:sz w:val="20"/>
          <w:szCs w:val="20"/>
          <w:color w:val="auto"/>
        </w:rPr>
      </w:pP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There is then in effect a registration statement under the Act covering such proposed disposition and such disposition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 in accordance with said registration statement; or</w:t>
      </w:r>
    </w:p>
    <w:p>
      <w:pPr>
        <w:spacing w:after="0" w:line="37" w:lineRule="exact"/>
        <w:rPr>
          <w:sz w:val="20"/>
          <w:szCs w:val="20"/>
          <w:color w:val="auto"/>
        </w:rPr>
      </w:pPr>
    </w:p>
    <w:p>
      <w:pPr>
        <w:ind w:left="420" w:right="60" w:firstLine="1331"/>
        <w:spacing w:after="0" w:line="264" w:lineRule="auto"/>
        <w:rPr>
          <w:sz w:val="20"/>
          <w:szCs w:val="20"/>
          <w:color w:val="auto"/>
        </w:rPr>
      </w:pP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The Holder shall have notified the Company of the proposed disposition and shall have furnished the Company with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detailed statement of the circumstances surrounding the proposed disposition, and if reasonably requested by the Company, the Holder shall have furnished the Company with an opinion of counsel, reasonably satisfactory to the Company, for the Holder to the effect that such disposition will not require registration of such Warrant or Exercise Shares under the Act or any applicable state securities laws. The Company agrees that it will not require an opinion of counsel with respect to transactions under Rule 144 of the Act, except in unusual circumstances, and will not require an opinion of counsel with respect to any transfer to an affiliate of Holder.</w:t>
      </w:r>
    </w:p>
    <w:p>
      <w:pPr>
        <w:spacing w:after="0" w:line="6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The Holder understands and agrees that all certificates evidencing the shares to be issued to the Holder may bear the following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legend:</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00"/>
          </w:cols>
          <w:pgMar w:left="620" w:top="263" w:right="679" w:bottom="1440" w:gutter="0" w:footer="0" w:header="0"/>
        </w:sectPr>
      </w:pPr>
    </w:p>
    <w:bookmarkStart w:id="438" w:name="page439"/>
    <w:bookmarkEnd w:id="438"/>
    <w:p>
      <w:pPr>
        <w:ind w:left="420"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THESE SECURITIES HAVE NOT BEEN REGISTERED UNDER THE SECURITIES ACT OF 1933, AS 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THEY MAY NOT BE SOLD, OFFERED FOR SALE, PLEDGED OR HYPOTHECATED IN THE ABSENCE OF AN EFFECTIVE REGISTRATION STATEMENT AS TO THE SECURITIES UNDER THE ACT OR AN OPINION OF COUNSEL SATISFACTORY TO THE COMPANY THAT SUCH REGISTRATION IS NOT REQUIRED OR UNLESS SOLD PURSUANT TO RULE 144 UNDER THE ACT.</w:t>
      </w:r>
    </w:p>
    <w:p>
      <w:pPr>
        <w:spacing w:after="0" w:line="1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Accredited Investor Status. </w:t>
      </w:r>
      <w:r>
        <w:rPr>
          <w:rFonts w:ascii="Times New Roman" w:cs="Times New Roman" w:eastAsia="Times New Roman" w:hAnsi="Times New Roman"/>
          <w:sz w:val="17"/>
          <w:szCs w:val="17"/>
          <w:color w:val="auto"/>
        </w:rPr>
        <w:t>The Holder is an “accredited investor” as defined in Regulation D promulgated under the Act.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5.   A</w:t>
      </w:r>
      <w:r>
        <w:rPr>
          <w:rFonts w:ascii="Times New Roman" w:cs="Times New Roman" w:eastAsia="Times New Roman" w:hAnsi="Times New Roman"/>
          <w:sz w:val="14"/>
          <w:szCs w:val="14"/>
          <w:b w:val="1"/>
          <w:bCs w:val="1"/>
          <w:color w:val="auto"/>
        </w:rPr>
        <w:t>DJUSTMENT OF</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RICE AND</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7"/>
          <w:szCs w:val="17"/>
          <w:b w:val="1"/>
          <w:bCs w:val="1"/>
          <w:color w:val="auto"/>
        </w:rPr>
        <w:t>.</w:t>
      </w:r>
    </w:p>
    <w:p>
      <w:pPr>
        <w:spacing w:after="0" w:line="223" w:lineRule="exact"/>
        <w:rPr>
          <w:sz w:val="20"/>
          <w:szCs w:val="20"/>
          <w:color w:val="auto"/>
        </w:rPr>
      </w:pPr>
    </w:p>
    <w:p>
      <w:pPr>
        <w:ind w:firstLine="960"/>
        <w:spacing w:after="0" w:line="264" w:lineRule="auto"/>
        <w:rPr>
          <w:sz w:val="20"/>
          <w:szCs w:val="20"/>
          <w:color w:val="auto"/>
        </w:rPr>
      </w:pPr>
      <w:r>
        <w:rPr>
          <w:rFonts w:ascii="Times New Roman" w:cs="Times New Roman" w:eastAsia="Times New Roman" w:hAnsi="Times New Roman"/>
          <w:sz w:val="17"/>
          <w:szCs w:val="17"/>
          <w:b w:val="1"/>
          <w:bCs w:val="1"/>
          <w:color w:val="auto"/>
        </w:rPr>
        <w:t>5.1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Changes in Securities. </w:t>
      </w:r>
      <w:r>
        <w:rPr>
          <w:rFonts w:ascii="Times New Roman" w:cs="Times New Roman" w:eastAsia="Times New Roman" w:hAnsi="Times New Roman"/>
          <w:sz w:val="17"/>
          <w:szCs w:val="17"/>
          <w:color w:val="auto"/>
        </w:rPr>
        <w:t>In the event of changes in the series of equity securities of the Company comprising the Exercise Shares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 of stock dividends, splits, recapitalizations, reclassifications, combinations or exchanges of such shares of equity securities, the number and class and/or series of Exercise Shares available under this Warrant in the aggregate and the Exercise Price shall be correspondingly adjusted to give the Holder of this Warrant, on exercise for the same Aggregate Exercise Price, the total number and class and/or series of shares as the Holder would have owned had this Warrant been exercised prior to the event and had the Holder continued to hold such shares until after the event requiring adjustment. The form of this Warrant need not be changed because of any adjustment in the number of Exercise Shares subject to this Warrant.</w:t>
      </w:r>
    </w:p>
    <w:p>
      <w:pPr>
        <w:spacing w:after="0" w:line="173" w:lineRule="exact"/>
        <w:rPr>
          <w:sz w:val="20"/>
          <w:szCs w:val="20"/>
          <w:color w:val="auto"/>
        </w:rPr>
      </w:pPr>
    </w:p>
    <w:p>
      <w:pPr>
        <w:ind w:firstLine="960"/>
        <w:spacing w:after="0" w:line="261" w:lineRule="auto"/>
        <w:rPr>
          <w:sz w:val="20"/>
          <w:szCs w:val="20"/>
          <w:color w:val="auto"/>
        </w:rPr>
      </w:pPr>
      <w:r>
        <w:rPr>
          <w:rFonts w:ascii="Times New Roman" w:cs="Times New Roman" w:eastAsia="Times New Roman" w:hAnsi="Times New Roman"/>
          <w:sz w:val="17"/>
          <w:szCs w:val="17"/>
          <w:b w:val="1"/>
          <w:bCs w:val="1"/>
          <w:color w:val="auto"/>
        </w:rPr>
        <w:t>5.2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Organic Changes. </w:t>
      </w:r>
      <w:r>
        <w:rPr>
          <w:rFonts w:ascii="Times New Roman" w:cs="Times New Roman" w:eastAsia="Times New Roman" w:hAnsi="Times New Roman"/>
          <w:sz w:val="17"/>
          <w:szCs w:val="17"/>
          <w:color w:val="auto"/>
        </w:rPr>
        <w:t>In the event of, at any time during the Exercise Period, any capital reorganization of the capital stock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(other than (a) a change in par value or from par value to no par value or no par value to par value or as a result of a stock dividend or subdivision, split-up or combination of shares, or (b) a Change in Control) (an “</w:t>
      </w:r>
      <w:r>
        <w:rPr>
          <w:rFonts w:ascii="Times New Roman" w:cs="Times New Roman" w:eastAsia="Times New Roman" w:hAnsi="Times New Roman"/>
          <w:sz w:val="17"/>
          <w:szCs w:val="17"/>
          <w:b w:val="1"/>
          <w:bCs w:val="1"/>
          <w:i w:val="1"/>
          <w:iCs w:val="1"/>
          <w:color w:val="auto"/>
        </w:rPr>
        <w:t>Organic Change</w:t>
      </w:r>
      <w:r>
        <w:rPr>
          <w:rFonts w:ascii="Times New Roman" w:cs="Times New Roman" w:eastAsia="Times New Roman" w:hAnsi="Times New Roman"/>
          <w:sz w:val="17"/>
          <w:szCs w:val="17"/>
          <w:color w:val="auto"/>
        </w:rPr>
        <w:t>”), then, as a condition of such Organic Change, lawful and adequate provisions shall be made by the Company whereby the Holder hereof shall thereafter have the right to purchase and receive (in lieu of the Exercise Shares of the Company immediately theretofore purchasable and receivable upon the exercise of the rights represented hereby) such shares of stock, securities or other assets or property as may be issued or payable with respect to or in exchange for a number of outstanding shares of such Exercise Shares equal to the number of shares of such stock immediately theretofore purchasable and receivable upon the exercise of the rights represented hereby, and the Exercise Price shall be appropriately adjusted so that the Aggregate Exercise Price after such Organic Change shall be equal to the Aggregate Exercise Price immediately prior to such Organic Change.</w:t>
      </w:r>
    </w:p>
    <w:p>
      <w:pPr>
        <w:spacing w:after="0" w:line="178" w:lineRule="exact"/>
        <w:rPr>
          <w:sz w:val="20"/>
          <w:szCs w:val="20"/>
          <w:color w:val="auto"/>
        </w:rPr>
      </w:pPr>
    </w:p>
    <w:p>
      <w:pPr>
        <w:ind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4"/>
          <w:szCs w:val="14"/>
          <w:b w:val="1"/>
          <w:bCs w:val="1"/>
          <w:color w:val="auto"/>
        </w:rPr>
        <w:t>RACTIONAL</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fractional shares shall be issued upon the exercise of this Warrant as a consequence of any adjustment pursuant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All Exercise Shares (including fractions) to be issued upon exercise of this Warrant shall be aggregated for purposes of determining whether the exercise would result in the issuance of any fractional share. If, after aggregation, the exercise would result in the issuance of a fractional share, the Company shall, in lieu of issuance of any fractional share, pay the Holder otherwise entitled to such fraction a sum in cash equal to the product resulting from multiplying the then current fair market value of one Exercise Share by such fraction.</w:t>
      </w: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7.   A</w:t>
      </w:r>
      <w:r>
        <w:rPr>
          <w:rFonts w:ascii="Times New Roman" w:cs="Times New Roman" w:eastAsia="Times New Roman" w:hAnsi="Times New Roman"/>
          <w:sz w:val="14"/>
          <w:szCs w:val="14"/>
          <w:b w:val="1"/>
          <w:bCs w:val="1"/>
          <w:color w:val="auto"/>
        </w:rPr>
        <w:t>UTOMATIC</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7"/>
          <w:szCs w:val="17"/>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7"/>
          <w:szCs w:val="17"/>
          <w:b w:val="1"/>
          <w:bCs w:val="1"/>
          <w:color w:val="auto"/>
        </w:rPr>
        <w:t xml:space="preserve"> IPO </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HANGE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17"/>
          <w:szCs w:val="17"/>
          <w:b w:val="1"/>
          <w:bCs w:val="1"/>
          <w:color w:val="auto"/>
        </w:rPr>
        <w:t>; E</w:t>
      </w:r>
      <w:r>
        <w:rPr>
          <w:rFonts w:ascii="Times New Roman" w:cs="Times New Roman" w:eastAsia="Times New Roman" w:hAnsi="Times New Roman"/>
          <w:sz w:val="14"/>
          <w:szCs w:val="14"/>
          <w:b w:val="1"/>
          <w:bCs w:val="1"/>
          <w:color w:val="auto"/>
        </w:rPr>
        <w:t>ARLY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jc w:val="both"/>
        <w:ind w:right="4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Automatic Exercise; Early Termination. </w:t>
      </w:r>
      <w:r>
        <w:rPr>
          <w:rFonts w:ascii="Times New Roman" w:cs="Times New Roman" w:eastAsia="Times New Roman" w:hAnsi="Times New Roman"/>
          <w:sz w:val="17"/>
          <w:szCs w:val="17"/>
          <w:color w:val="auto"/>
        </w:rPr>
        <w:t>In the event of an IPO or a Change of Control at any time during the Exercise Period,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provide to the Holder ten (10) days advance written notice of such IPO or Change of Control. Notwithstanding anything in this Warrant to the contrary, in the event of an IPO or a Change of Control and the fair market value of one Exercise Share</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00"/>
          </w:cols>
          <w:pgMar w:left="620" w:top="260" w:right="679" w:bottom="1440" w:gutter="0" w:footer="0" w:header="0"/>
        </w:sectPr>
      </w:pPr>
    </w:p>
    <w:bookmarkStart w:id="439" w:name="page440"/>
    <w:bookmarkEnd w:id="439"/>
    <w:p>
      <w:pPr>
        <w:ind w:right="6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would be greater than the Exercise Price in effect on such date immediately prior to such IPO or Change of Control, then this Warrant shall automatically be deemed to be exercised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above effective immediately prior to and contingent upon the consummation of such IPO or Change of Control. In the event of an IPO or a Change of Control where the fair market value of one Exercise Share would be less than the Exercise Price in effect immediately prior to such IPO or Change of Control, then this Warrant will terminate immediately prior to the consummation of such IPO or Change of Control.</w:t>
      </w:r>
    </w:p>
    <w:p>
      <w:pPr>
        <w:spacing w:after="0" w:line="169" w:lineRule="exact"/>
        <w:rPr>
          <w:sz w:val="20"/>
          <w:szCs w:val="20"/>
          <w:color w:val="auto"/>
        </w:rPr>
      </w:pPr>
    </w:p>
    <w:p>
      <w:pPr>
        <w:jc w:val="both"/>
        <w:ind w:right="160" w:firstLine="960"/>
        <w:spacing w:after="0" w:line="277" w:lineRule="auto"/>
        <w:rPr>
          <w:sz w:val="20"/>
          <w:szCs w:val="20"/>
          <w:color w:val="auto"/>
        </w:rPr>
      </w:pPr>
      <w:r>
        <w:rPr>
          <w:rFonts w:ascii="Times New Roman" w:cs="Times New Roman" w:eastAsia="Times New Roman" w:hAnsi="Times New Roman"/>
          <w:sz w:val="17"/>
          <w:szCs w:val="17"/>
          <w:b w:val="1"/>
          <w:bCs w:val="1"/>
          <w:color w:val="auto"/>
        </w:rPr>
        <w:t>7.2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Voluntary Cancellation. </w:t>
      </w:r>
      <w:r>
        <w:rPr>
          <w:rFonts w:ascii="Times New Roman" w:cs="Times New Roman" w:eastAsia="Times New Roman" w:hAnsi="Times New Roman"/>
          <w:sz w:val="17"/>
          <w:szCs w:val="17"/>
          <w:color w:val="auto"/>
        </w:rPr>
        <w:t>Notwithstanding anything in this Warrant to the contrary, the Company hereby agrees and acknowledges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this Warrant may be cancelled and terminated for no consideration at any time prior to the end of the Exercise Period by delivery of written notice by the Holder to the Company.</w:t>
      </w:r>
    </w:p>
    <w:p>
      <w:pPr>
        <w:spacing w:after="0" w:line="160" w:lineRule="exact"/>
        <w:rPr>
          <w:sz w:val="20"/>
          <w:szCs w:val="20"/>
          <w:color w:val="auto"/>
        </w:rPr>
      </w:pPr>
    </w:p>
    <w:p>
      <w:pPr>
        <w:ind w:firstLine="426"/>
        <w:spacing w:after="0" w:line="259" w:lineRule="auto"/>
        <w:rPr>
          <w:sz w:val="20"/>
          <w:szCs w:val="20"/>
          <w:color w:val="auto"/>
        </w:rPr>
      </w:pP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4"/>
          <w:szCs w:val="14"/>
          <w:b w:val="1"/>
          <w:bCs w:val="1"/>
          <w:color w:val="auto"/>
        </w:rPr>
        <w:t>ARKET</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TAND</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 hereby agrees that it will not, without the prior written consent of the managing underwriter,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during the period commencing on the date of the final prospectus relating to the registration by the Company of shares of its Common Stock or any other equity securities under the Securities Act on a registration statement on Form S-1, and ending on the date specified by the Company (as determined by the holders of capital stock of the Company representing a majority of the voting power of all then-outstanding shares of capital stock of the Company) and the managing underwriter (which period may exceed 180 days in the case of the IPO),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The foregoing provisions of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shall not apply to the sale of any shares to an underwriter pursuant to an underwriting agreement and shall be applicable to the Holders only if all executive officers and directors of the Company are subject to the same restrictions. The underwriters in connection with such registration are intended third-party beneficiaries of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or that are necessary to give further effect thereto.</w:t>
      </w:r>
    </w:p>
    <w:p>
      <w:pPr>
        <w:spacing w:after="0" w:line="181" w:lineRule="exact"/>
        <w:rPr>
          <w:sz w:val="20"/>
          <w:szCs w:val="20"/>
          <w:color w:val="auto"/>
        </w:rPr>
      </w:pPr>
    </w:p>
    <w:p>
      <w:pPr>
        <w:ind w:right="60" w:firstLine="426"/>
        <w:spacing w:after="0" w:line="261" w:lineRule="auto"/>
        <w:rPr>
          <w:sz w:val="20"/>
          <w:szCs w:val="20"/>
          <w:color w:val="auto"/>
        </w:rPr>
      </w:pPr>
      <w:r>
        <w:rPr>
          <w:rFonts w:ascii="Times New Roman" w:cs="Times New Roman" w:eastAsia="Times New Roman" w:hAnsi="Times New Roman"/>
          <w:sz w:val="17"/>
          <w:szCs w:val="17"/>
          <w:b w:val="1"/>
          <w:bCs w:val="1"/>
          <w:color w:val="auto"/>
        </w:rPr>
        <w:t>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in and of itself shall not entitle the Holder to vote or receive dividends or other distributions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respect to, or be deemed the holder of, the Exercise Shares or any other securities of the Company that may at any time be issuable upon the exercise hereof for any purpose, nor shall anything contained herein be construed to confer upon the Holder, as such, any of the rights of a stockholder of the Company or any right to vote for the election of directors or upon any other matter submitted to the stockholders of the Company at any meeting thereof, or to give or withhold consent to any corporate action (whether upon any recapitalization, issuance or reclassification of equity securities, consolidation, merger, conveyance or otherwise) or to receive notice of meetings, or to receive purchase or subscription rights or otherwise, until the Warrant shall have been exercised as provided herein. For clarity,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shall be construed as limiting the rights of the Holder only with respect to the Warrant, the Exercise Shares and other securities of the Company that may at any time be issuable upon the exercise hereof for any purpose, and shall not be construed as limiting the rights of the Holder with respect to any other securities of the Company.</w:t>
      </w:r>
    </w:p>
    <w:p>
      <w:pPr>
        <w:spacing w:after="0" w:line="178" w:lineRule="exact"/>
        <w:rPr>
          <w:sz w:val="20"/>
          <w:szCs w:val="20"/>
          <w:color w:val="auto"/>
        </w:rPr>
      </w:pPr>
    </w:p>
    <w:p>
      <w:pPr>
        <w:ind w:right="10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RANSFER OF</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is not transferable, in whole or in part, by the Holder without the prior written consent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any attempted assignment without such consent shall be void. A change in control of the Holder, for example by merger, sale of stock or sale 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40"/>
          </w:cols>
          <w:pgMar w:left="620" w:top="264" w:right="639" w:bottom="1440" w:gutter="0" w:footer="0" w:header="0"/>
        </w:sectPr>
      </w:pPr>
    </w:p>
    <w:bookmarkStart w:id="440" w:name="page441"/>
    <w:bookmarkEnd w:id="440"/>
    <w:p>
      <w:pPr>
        <w:ind w:right="1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assets, shall not be deemed to be an assignment under this Warrant. Subject to the foregoing restrictions, applicable laws and the restriction on transfer set forth on the first page of this Warrant, in connection with any transfer of this Warrant, the Holder shall deliver this Warrant and the form of assignment attached hereto as </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to the Company, and the transferee shall sign an investment representation letter in form and substance satisfactory to the Company.</w:t>
      </w:r>
    </w:p>
    <w:p>
      <w:pPr>
        <w:spacing w:after="0" w:line="167" w:lineRule="exact"/>
        <w:rPr>
          <w:sz w:val="20"/>
          <w:szCs w:val="20"/>
          <w:color w:val="auto"/>
        </w:rPr>
      </w:pPr>
    </w:p>
    <w:p>
      <w:pPr>
        <w:ind w:right="20"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GREEMENT TO</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4"/>
          <w:szCs w:val="14"/>
          <w:b w:val="1"/>
          <w:bCs w:val="1"/>
          <w:color w:val="auto"/>
        </w:rPr>
        <w:t>ECOME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ARTY TO</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condition to the issuance of the Exercise Shares upon exercise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at the request of the Company, Holder shall execute and deliver any applicable securityholders’ agreement, investor rights agreement, voting agreement, drag along agreement, right of first refusal and co-sale agreement or similar agreement (or a joinder to any existing agreement) that the Company and/or the holders of its securities may enter into or that otherwise that may be in effect from time to time (and which may contain, among other provisions, additional restrictions on transfer).</w:t>
      </w:r>
    </w:p>
    <w:p>
      <w:pPr>
        <w:spacing w:after="0" w:line="167" w:lineRule="exact"/>
        <w:rPr>
          <w:sz w:val="20"/>
          <w:szCs w:val="20"/>
          <w:color w:val="auto"/>
        </w:rPr>
      </w:pPr>
    </w:p>
    <w:p>
      <w:pPr>
        <w:ind w:right="40"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4"/>
          <w:szCs w:val="14"/>
          <w:b w:val="1"/>
          <w:bCs w:val="1"/>
          <w:color w:val="auto"/>
        </w:rPr>
        <w:t>OST</w:t>
      </w:r>
      <w:r>
        <w:rPr>
          <w:rFonts w:ascii="Times New Roman" w:cs="Times New Roman" w:eastAsia="Times New Roman" w:hAnsi="Times New Roman"/>
          <w:sz w:val="17"/>
          <w:szCs w:val="17"/>
          <w:b w:val="1"/>
          <w:bCs w:val="1"/>
          <w:color w:val="auto"/>
        </w:rPr>
        <w:t>, S</w:t>
      </w:r>
      <w:r>
        <w:rPr>
          <w:rFonts w:ascii="Times New Roman" w:cs="Times New Roman" w:eastAsia="Times New Roman" w:hAnsi="Times New Roman"/>
          <w:sz w:val="14"/>
          <w:szCs w:val="14"/>
          <w:b w:val="1"/>
          <w:bCs w:val="1"/>
          <w:color w:val="auto"/>
        </w:rPr>
        <w:t>TOLEN</w:t>
      </w:r>
      <w:r>
        <w:rPr>
          <w:rFonts w:ascii="Times New Roman" w:cs="Times New Roman" w:eastAsia="Times New Roman" w:hAnsi="Times New Roman"/>
          <w:sz w:val="17"/>
          <w:szCs w:val="17"/>
          <w:b w:val="1"/>
          <w:bCs w:val="1"/>
          <w:color w:val="auto"/>
        </w:rPr>
        <w:t>, M</w:t>
      </w:r>
      <w:r>
        <w:rPr>
          <w:rFonts w:ascii="Times New Roman" w:cs="Times New Roman" w:eastAsia="Times New Roman" w:hAnsi="Times New Roman"/>
          <w:sz w:val="14"/>
          <w:szCs w:val="14"/>
          <w:b w:val="1"/>
          <w:bCs w:val="1"/>
          <w:color w:val="auto"/>
        </w:rPr>
        <w:t>UTILATED OR</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4"/>
          <w:szCs w:val="14"/>
          <w:b w:val="1"/>
          <w:bCs w:val="1"/>
          <w:color w:val="auto"/>
        </w:rPr>
        <w:t>ESTROYED</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this Warrant is lost, stolen, mutilated or destroyed, the Company may,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167" w:lineRule="exact"/>
        <w:rPr>
          <w:sz w:val="20"/>
          <w:szCs w:val="20"/>
          <w:color w:val="auto"/>
        </w:rPr>
      </w:pPr>
    </w:p>
    <w:p>
      <w:pPr>
        <w:ind w:right="12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UMULATIVE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4"/>
          <w:szCs w:val="14"/>
          <w:b w:val="1"/>
          <w:bCs w:val="1"/>
          <w:color w:val="auto"/>
        </w:rPr>
        <w:t>EMEDIES</w:t>
      </w:r>
      <w:r>
        <w:rPr>
          <w:rFonts w:ascii="Times New Roman" w:cs="Times New Roman" w:eastAsia="Times New Roman" w:hAnsi="Times New Roman"/>
          <w:sz w:val="17"/>
          <w:szCs w:val="17"/>
          <w:color w:val="auto"/>
        </w:rPr>
        <w:t>. The rights and remedies provided in this Warrant are cumulative and are not exclusive of, and are in addition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not in substitution for, any other rights or remedies available at law, in equity or otherwise.</w:t>
      </w:r>
    </w:p>
    <w:p>
      <w:pPr>
        <w:spacing w:after="0" w:line="142" w:lineRule="exact"/>
        <w:rPr>
          <w:sz w:val="20"/>
          <w:szCs w:val="20"/>
          <w:color w:val="auto"/>
        </w:rPr>
      </w:pPr>
    </w:p>
    <w:p>
      <w:pPr>
        <w:ind w:right="380" w:firstLine="426"/>
        <w:spacing w:after="0" w:line="267" w:lineRule="auto"/>
        <w:rPr>
          <w:sz w:val="20"/>
          <w:szCs w:val="20"/>
          <w:color w:val="auto"/>
        </w:rPr>
      </w:pPr>
      <w:r>
        <w:rPr>
          <w:rFonts w:ascii="Times New Roman" w:cs="Times New Roman" w:eastAsia="Times New Roman" w:hAnsi="Times New Roman"/>
          <w:sz w:val="17"/>
          <w:szCs w:val="17"/>
          <w:b w:val="1"/>
          <w:bCs w:val="1"/>
          <w:color w:val="auto"/>
        </w:rPr>
        <w:t>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4"/>
          <w:szCs w:val="14"/>
          <w:b w:val="1"/>
          <w:bCs w:val="1"/>
          <w:color w:val="auto"/>
        </w:rPr>
        <w:t>QUITABLE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4"/>
          <w:szCs w:val="14"/>
          <w:b w:val="1"/>
          <w:bCs w:val="1"/>
          <w:color w:val="auto"/>
        </w:rPr>
        <w:t>ELIEF</w:t>
      </w:r>
      <w:r>
        <w:rPr>
          <w:rFonts w:ascii="Times New Roman" w:cs="Times New Roman" w:eastAsia="Times New Roman" w:hAnsi="Times New Roman"/>
          <w:sz w:val="17"/>
          <w:szCs w:val="17"/>
          <w:color w:val="auto"/>
        </w:rPr>
        <w:t>. Each of the Company and the Holder acknowledges that a breach or threatened breach by such party of any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under this Warrant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w:t>
      </w:r>
    </w:p>
    <w:p>
      <w:pPr>
        <w:spacing w:after="0" w:line="167" w:lineRule="exact"/>
        <w:rPr>
          <w:sz w:val="20"/>
          <w:szCs w:val="20"/>
          <w:color w:val="auto"/>
        </w:rPr>
      </w:pPr>
    </w:p>
    <w:p>
      <w:pPr>
        <w:ind w:right="180" w:firstLine="426"/>
        <w:spacing w:after="0" w:line="264" w:lineRule="auto"/>
        <w:rPr>
          <w:sz w:val="20"/>
          <w:szCs w:val="20"/>
          <w:color w:val="auto"/>
        </w:rPr>
      </w:pPr>
      <w:r>
        <w:rPr>
          <w:rFonts w:ascii="Times New Roman" w:cs="Times New Roman" w:eastAsia="Times New Roman" w:hAnsi="Times New Roman"/>
          <w:sz w:val="17"/>
          <w:szCs w:val="17"/>
          <w:b w:val="1"/>
          <w:bCs w:val="1"/>
          <w:color w:val="auto"/>
        </w:rPr>
        <w:t>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4"/>
          <w:szCs w:val="14"/>
          <w:b w:val="1"/>
          <w:bCs w:val="1"/>
          <w:color w:val="auto"/>
        </w:rPr>
        <w:t>ETC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notices required or permitted hereunder shall be in writing and shall be deemed effectively given: (a) upon personal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to the party to be notified, (b) when sent by electronic transmission or facsimile if sent during normal business hours of the recipient, if not, then on the next business day, (c) five days after having been sent by registered or certified mail, return receipt requested, postage prepaid, or (d) one day after deposit with a nationally recognized overnight courier, specifying next day delivery, with written verification of receipt. All communications shall be sent to each of the Company and the Holder at the address listed on their respective signature pages hereto or at such other address as the Company or Holder may designate by ten days’ advance written notice to the other party.</w:t>
      </w:r>
    </w:p>
    <w:p>
      <w:pPr>
        <w:spacing w:after="0" w:line="173" w:lineRule="exact"/>
        <w:rPr>
          <w:sz w:val="20"/>
          <w:szCs w:val="20"/>
          <w:color w:val="auto"/>
        </w:rPr>
      </w:pPr>
    </w:p>
    <w:p>
      <w:pPr>
        <w:ind w:right="12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UCCESSOR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SSIGNS</w:t>
      </w:r>
      <w:r>
        <w:rPr>
          <w:rFonts w:ascii="Times New Roman" w:cs="Times New Roman" w:eastAsia="Times New Roman" w:hAnsi="Times New Roman"/>
          <w:sz w:val="17"/>
          <w:szCs w:val="17"/>
          <w:color w:val="auto"/>
        </w:rPr>
        <w:t>. This Warrant and the rights evidenced hereby shall be binding upon and shall inure to the benefit of the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and the successors of the Company and the successors and permitted assigns of the Holder. Such successors and/or permitted assigns of the Holder shall be deemed to be a Holder for all purposes hereunder.</w:t>
      </w:r>
    </w:p>
    <w:p>
      <w:pPr>
        <w:spacing w:after="0" w:line="160" w:lineRule="exact"/>
        <w:rPr>
          <w:sz w:val="20"/>
          <w:szCs w:val="20"/>
          <w:color w:val="auto"/>
        </w:rPr>
      </w:pPr>
    </w:p>
    <w:p>
      <w:pPr>
        <w:ind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4"/>
          <w:szCs w:val="14"/>
          <w:b w:val="1"/>
          <w:bCs w:val="1"/>
          <w:color w:val="auto"/>
        </w:rPr>
        <w:t>ARTY</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4"/>
          <w:szCs w:val="14"/>
          <w:b w:val="1"/>
          <w:bCs w:val="1"/>
          <w:color w:val="auto"/>
        </w:rPr>
        <w:t>ENEFICIARIES</w:t>
      </w:r>
      <w:r>
        <w:rPr>
          <w:rFonts w:ascii="Times New Roman" w:cs="Times New Roman" w:eastAsia="Times New Roman" w:hAnsi="Times New Roman"/>
          <w:sz w:val="17"/>
          <w:szCs w:val="17"/>
          <w:color w:val="auto"/>
        </w:rPr>
        <w:t>. This Warrant is for the sole benefit of the Company and the Holder and their respective successors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case of the Holder, permitted assigns and nothing herein, express or implied, is intended to or shall confer upon any other Person any legal or equitable right, benefit or remedy of any nature whatsoever, under or by reason of this Warrant.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640"/>
          </w:cols>
          <w:pgMar w:left="620" w:top="264" w:right="639" w:bottom="1440" w:gutter="0" w:footer="0" w:header="0"/>
        </w:sectPr>
      </w:pPr>
    </w:p>
    <w:bookmarkStart w:id="441" w:name="page442"/>
    <w:bookmarkEnd w:id="441"/>
    <w:p>
      <w:pPr>
        <w:ind w:left="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4"/>
          <w:szCs w:val="14"/>
          <w:b w:val="1"/>
          <w:bCs w:val="1"/>
          <w:color w:val="auto"/>
        </w:rPr>
        <w:t>EADINGS</w:t>
      </w:r>
      <w:r>
        <w:rPr>
          <w:rFonts w:ascii="Times New Roman" w:cs="Times New Roman" w:eastAsia="Times New Roman" w:hAnsi="Times New Roman"/>
          <w:sz w:val="17"/>
          <w:szCs w:val="17"/>
          <w:color w:val="auto"/>
        </w:rPr>
        <w:t>. The headings in this Warrant are for reference only and shall not affect the interpretation of this Warrant.</w:t>
      </w:r>
    </w:p>
    <w:p>
      <w:pPr>
        <w:spacing w:after="0" w:line="223"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b w:val="1"/>
          <w:bCs w:val="1"/>
          <w:color w:val="auto"/>
        </w:rPr>
        <w:t>19.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MENDMENT AND</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4"/>
          <w:szCs w:val="14"/>
          <w:b w:val="1"/>
          <w:bCs w:val="1"/>
          <w:color w:val="auto"/>
        </w:rPr>
        <w:t>ODIFICATION</w:t>
      </w:r>
      <w:r>
        <w:rPr>
          <w:rFonts w:ascii="Times New Roman" w:cs="Times New Roman" w:eastAsia="Times New Roman" w:hAnsi="Times New Roman"/>
          <w:sz w:val="17"/>
          <w:szCs w:val="17"/>
          <w:b w:val="1"/>
          <w:bCs w:val="1"/>
          <w:color w:val="auto"/>
        </w:rPr>
        <w:t>; W</w:t>
      </w:r>
      <w:r>
        <w:rPr>
          <w:rFonts w:ascii="Times New Roman" w:cs="Times New Roman" w:eastAsia="Times New Roman" w:hAnsi="Times New Roman"/>
          <w:sz w:val="14"/>
          <w:szCs w:val="14"/>
          <w:b w:val="1"/>
          <w:bCs w:val="1"/>
          <w:color w:val="auto"/>
        </w:rPr>
        <w:t>AIVER</w:t>
      </w:r>
      <w:r>
        <w:rPr>
          <w:rFonts w:ascii="Times New Roman" w:cs="Times New Roman" w:eastAsia="Times New Roman" w:hAnsi="Times New Roman"/>
          <w:sz w:val="17"/>
          <w:szCs w:val="17"/>
          <w:color w:val="auto"/>
        </w:rPr>
        <w:t>. Except as otherwise provided herein, this Warrant may only be amended, modified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3" w:lineRule="exact"/>
        <w:rPr>
          <w:sz w:val="20"/>
          <w:szCs w:val="20"/>
          <w:color w:val="auto"/>
        </w:rPr>
      </w:pPr>
    </w:p>
    <w:p>
      <w:pPr>
        <w:ind w:right="14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7"/>
          <w:szCs w:val="17"/>
          <w:color w:val="auto"/>
        </w:rPr>
        <w:t>. If any term or provision of this Warrant is invalid, illegal or unenforceable in any jurisdiction, such invalidity, illegality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unenforceability shall not affect any other term or provision of this Warrant or invalidate or render unenforceable such term or provision in any other jurisdiction.</w:t>
      </w:r>
    </w:p>
    <w:p>
      <w:pPr>
        <w:spacing w:after="0" w:line="160" w:lineRule="exact"/>
        <w:rPr>
          <w:sz w:val="20"/>
          <w:szCs w:val="20"/>
          <w:color w:val="auto"/>
        </w:rPr>
      </w:pPr>
    </w:p>
    <w:p>
      <w:pPr>
        <w:ind w:right="62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t>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4"/>
          <w:szCs w:val="14"/>
          <w:b w:val="1"/>
          <w:bCs w:val="1"/>
          <w:color w:val="auto"/>
        </w:rPr>
        <w:t>CCEPTANCE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of this Warrant by the Holder shall constitute acceptance of and agreement to all of the terms and conditions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contained herein.</w:t>
      </w:r>
    </w:p>
    <w:p>
      <w:pPr>
        <w:spacing w:after="0" w:line="142" w:lineRule="exact"/>
        <w:rPr>
          <w:sz w:val="20"/>
          <w:szCs w:val="20"/>
          <w:color w:val="auto"/>
        </w:rPr>
      </w:pPr>
    </w:p>
    <w:p>
      <w:pPr>
        <w:ind w:right="220" w:firstLine="426"/>
        <w:spacing w:after="0" w:line="277" w:lineRule="auto"/>
        <w:rPr>
          <w:sz w:val="20"/>
          <w:szCs w:val="20"/>
          <w:color w:val="auto"/>
        </w:rPr>
      </w:pPr>
      <w:r>
        <w:rPr>
          <w:rFonts w:ascii="Times New Roman" w:cs="Times New Roman" w:eastAsia="Times New Roman" w:hAnsi="Times New Roman"/>
          <w:sz w:val="17"/>
          <w:szCs w:val="17"/>
          <w:b w:val="1"/>
          <w:bCs w:val="1"/>
          <w:color w:val="auto"/>
        </w:rPr>
        <w:t>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and all rights, obligations and liabilities hereunder shall be governed by and construed under the laws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State of Delaware as applied to agreements among Delaware residents, made and to be performed entirely within the State of Delaware without giving effect to conflicts of laws principles.</w:t>
      </w:r>
    </w:p>
    <w:p>
      <w:pPr>
        <w:spacing w:after="0" w:line="160" w:lineRule="exact"/>
        <w:rPr>
          <w:sz w:val="20"/>
          <w:szCs w:val="20"/>
          <w:color w:val="auto"/>
        </w:rPr>
      </w:pPr>
    </w:p>
    <w:p>
      <w:pPr>
        <w:ind w:right="140" w:firstLine="426"/>
        <w:spacing w:after="0" w:line="270" w:lineRule="auto"/>
        <w:rPr>
          <w:sz w:val="20"/>
          <w:szCs w:val="20"/>
          <w:color w:val="auto"/>
        </w:rPr>
      </w:pPr>
      <w:r>
        <w:rPr>
          <w:rFonts w:ascii="Times New Roman" w:cs="Times New Roman" w:eastAsia="Times New Roman" w:hAnsi="Times New Roman"/>
          <w:sz w:val="17"/>
          <w:szCs w:val="17"/>
          <w:b w:val="1"/>
          <w:bCs w:val="1"/>
          <w:color w:val="auto"/>
        </w:rPr>
        <w:t>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OUNTERPARTS</w:t>
      </w:r>
      <w:r>
        <w:rPr>
          <w:rFonts w:ascii="Times New Roman" w:cs="Times New Roman" w:eastAsia="Times New Roman" w:hAnsi="Times New Roman"/>
          <w:sz w:val="17"/>
          <w:szCs w:val="17"/>
          <w:color w:val="auto"/>
        </w:rPr>
        <w:t>. This Warrant may be executed in counterparts, each of which shall be deemed an original, but all of which together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to be one and the same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40"/>
          </w:cols>
          <w:pgMar w:left="620" w:top="262" w:right="63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7"/>
          <w:szCs w:val="17"/>
          <w:color w:val="auto"/>
        </w:rPr>
        <w:t>, the parties have caused this Warrant to be executed as of the date first written above.</w:t>
      </w:r>
    </w:p>
    <w:p>
      <w:pPr>
        <w:spacing w:after="0" w:line="24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b w:val="1"/>
          <w:bCs w:val="1"/>
          <w:color w:val="auto"/>
        </w:rPr>
        <w:t>PATHOS AI, INC.</w:t>
      </w:r>
    </w:p>
    <w:p>
      <w:pPr>
        <w:spacing w:after="0" w:line="225" w:lineRule="exact"/>
        <w:rPr>
          <w:sz w:val="20"/>
          <w:szCs w:val="20"/>
          <w:color w:val="auto"/>
        </w:rPr>
      </w:pPr>
    </w:p>
    <w:tbl>
      <w:tblPr>
        <w:tblLayout w:type="fixed"/>
        <w:tblInd w:w="598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Mike Mauceri</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Mike Mauceri</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Acting CFO</w:t>
            </w:r>
          </w:p>
        </w:tc>
      </w:tr>
    </w:tbl>
    <w:p>
      <w:pPr>
        <w:spacing w:after="0" w:line="19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Address:</w:t>
      </w:r>
    </w:p>
    <w:p>
      <w:pPr>
        <w:spacing w:after="0" w:line="2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c/o The Corporation Trust Company</w:t>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Corporation Trust Center</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1209 Orange Street</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Wilmington, DE 19801</w:t>
      </w:r>
    </w:p>
    <w:p>
      <w:pPr>
        <w:spacing w:after="0" w:line="20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b w:val="1"/>
          <w:bCs w:val="1"/>
          <w:color w:val="auto"/>
        </w:rPr>
        <w:t>TEMPUS LABS, INC.</w:t>
      </w:r>
    </w:p>
    <w:p>
      <w:pPr>
        <w:spacing w:after="0" w:line="225" w:lineRule="exact"/>
        <w:rPr>
          <w:sz w:val="20"/>
          <w:szCs w:val="20"/>
          <w:color w:val="auto"/>
        </w:rPr>
      </w:pPr>
    </w:p>
    <w:tbl>
      <w:tblPr>
        <w:tblLayout w:type="fixed"/>
        <w:tblInd w:w="598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Jim Rogers</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Jim Rogers</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9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Address:</w:t>
      </w:r>
    </w:p>
    <w:p>
      <w:pPr>
        <w:spacing w:after="0" w:line="2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600 West Chicago Ave.</w:t>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Suite 510</w:t>
      </w:r>
    </w:p>
    <w:p>
      <w:pPr>
        <w:spacing w:after="0" w:line="1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Chicago, Illinois 60654</w:t>
      </w:r>
    </w:p>
    <w:p>
      <w:pPr>
        <w:sectPr>
          <w:pgSz w:w="11900" w:h="16838" w:orient="portrait"/>
          <w:cols w:equalWidth="0" w:num="1">
            <w:col w:w="10240"/>
          </w:cols>
          <w:pgMar w:left="1040" w:top="263" w:right="619" w:bottom="1440" w:gutter="0" w:footer="0" w:header="0"/>
        </w:sectPr>
      </w:pPr>
    </w:p>
    <w:bookmarkStart w:id="443" w:name="page444"/>
    <w:bookmarkEnd w:id="44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7"/>
          <w:szCs w:val="17"/>
          <w:b w:val="1"/>
          <w:bCs w:val="1"/>
          <w:color w:val="auto"/>
        </w:rPr>
        <w:t xml:space="preserve"> A</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7"/>
          <w:szCs w:val="17"/>
          <w:b w:val="1"/>
          <w:bCs w:val="1"/>
          <w:color w:val="auto"/>
        </w:rPr>
        <w:t>: P</w:t>
      </w:r>
      <w:r>
        <w:rPr>
          <w:rFonts w:ascii="Times New Roman" w:cs="Times New Roman" w:eastAsia="Times New Roman" w:hAnsi="Times New Roman"/>
          <w:sz w:val="14"/>
          <w:szCs w:val="14"/>
          <w:b w:val="1"/>
          <w:bCs w:val="1"/>
          <w:color w:val="auto"/>
        </w:rPr>
        <w:t>ATHOS</w:t>
      </w:r>
      <w:r>
        <w:rPr>
          <w:rFonts w:ascii="Times New Roman" w:cs="Times New Roman" w:eastAsia="Times New Roman" w:hAnsi="Times New Roman"/>
          <w:sz w:val="17"/>
          <w:szCs w:val="17"/>
          <w:b w:val="1"/>
          <w:bCs w:val="1"/>
          <w:color w:val="auto"/>
        </w:rPr>
        <w:t xml:space="preserve"> AI,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7"/>
          <w:szCs w:val="17"/>
          <w:b w:val="1"/>
          <w:bCs w:val="1"/>
          <w:color w:val="auto"/>
        </w:rPr>
        <w:t>.</w:t>
      </w:r>
    </w:p>
    <w:p>
      <w:pPr>
        <w:spacing w:after="0" w:line="221" w:lineRule="exact"/>
        <w:rPr>
          <w:sz w:val="20"/>
          <w:szCs w:val="20"/>
          <w:color w:val="auto"/>
        </w:rPr>
      </w:pPr>
    </w:p>
    <w:p>
      <w:pPr>
        <w:jc w:val="both"/>
        <w:ind w:right="260"/>
        <w:spacing w:after="0" w:line="291" w:lineRule="auto"/>
        <w:rPr>
          <w:sz w:val="20"/>
          <w:szCs w:val="20"/>
          <w:color w:val="auto"/>
        </w:rPr>
      </w:pP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The undersigned hereby elects to purchase           shares of Common Stock (the “</w:t>
      </w:r>
      <w:r>
        <w:rPr>
          <w:rFonts w:ascii="Times New Roman" w:cs="Times New Roman" w:eastAsia="Times New Roman" w:hAnsi="Times New Roman"/>
          <w:sz w:val="17"/>
          <w:szCs w:val="17"/>
          <w:b w:val="1"/>
          <w:bCs w:val="1"/>
          <w:i w:val="1"/>
          <w:iCs w:val="1"/>
          <w:color w:val="auto"/>
        </w:rPr>
        <w:t>Exercise Shares</w:t>
      </w:r>
      <w:r>
        <w:rPr>
          <w:rFonts w:ascii="Times New Roman" w:cs="Times New Roman" w:eastAsia="Times New Roman" w:hAnsi="Times New Roman"/>
          <w:sz w:val="17"/>
          <w:szCs w:val="17"/>
          <w:color w:val="auto"/>
        </w:rPr>
        <w:t>”) of Pathos AI,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the terms of the attached Warrant, and tenders herewith payment of the exercise price in full, together with all applicable transfer taxes,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-178435</wp:posOffset>
            </wp:positionV>
            <wp:extent cx="55308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6">
                      <a:extLst>
                        <a:ext uri="{28A0092B-C50C-407E-A947-70E740481C1C}"/>
                      </a:extLst>
                    </a:blip>
                    <a:srcRect/>
                    <a:stretch>
                      <a:fillRect/>
                    </a:stretch>
                  </pic:blipFill>
                  <pic:spPr bwMode="auto">
                    <a:xfrm>
                      <a:off x="0" y="0"/>
                      <a:ext cx="553085" cy="8255"/>
                    </a:xfrm>
                    <a:prstGeom prst="rect">
                      <a:avLst/>
                    </a:prstGeom>
                    <a:noFill/>
                  </pic:spPr>
                </pic:pic>
              </a:graphicData>
            </a:graphic>
          </wp:anchor>
        </w:drawing>
      </w:r>
    </w:p>
    <w:p>
      <w:pPr>
        <w:spacing w:after="0" w:line="344"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Please issue a certificate or certificates representing said Exercise Shares, if applicable, in the name of the undersigned or in such other name as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specified below:</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The undersigned represents that (i) the aforesaid Exercise Shares are being acquired for the account of the undersigned for investment and not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view to, or for resale in connection with, the distribution thereof and that the undersigned has no present intention of distributing or reselling such shares; (ii) the undersigned is aware of the Company’s business affairs and financial condition and has acquired sufficient information about the Company to reach an informed and knowledgeable decision regarding its investment in the Company; (iii) the undersigned is experienced in making investments of this type and has such knowledge and background in financial and business matters that the undersigned is capable of evaluating the merits and risks of this investment and protecting the undersigned’s own interests; (iv) the undersigned understands that Exercise Shares issuable upon exercise of this Warrant have not been registered under the Securities Act of 1933, as 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by reason of a specific exemption from the registration provisions of the Act, which exemption depends upon, among other things, the bona fide nature of the investment intent as expressed herein, and, because such securities have not been registered under the Act, they must be held indefinitely unless subsequently registered under the Act or an exemption from such registration is available; (v) the undersigned is aware that the aforesaid Exercise Shares may not be sold pursuant to Rule 144 adopted under the Act unless certain conditions are met and until the undersigned has held the shares for the number of years prescribed by Rule 144, that the conditions for use of the Rule may include the availability of current information to the public about the Company and the Company has not made such information available and has no present plans to do so; and (vi) the undersigned agrees not to make any disposition of all or any part of the aforesaid shares of Exercise Shares unless and until there is then in effect a registration statement under the Act covering such proposed disposition and such disposition is made in accordance with said registration statement, or, if reasonably requested by the Company, the undersigned has provided the Company with an opinion of counsel satisfactory to the Company, stating that such registration is not required, subject to any exceptions set forth in the attached Warrant.</w:t>
      </w:r>
    </w:p>
    <w:p>
      <w:pPr>
        <w:spacing w:after="0" w:line="388" w:lineRule="exact"/>
        <w:rPr>
          <w:sz w:val="20"/>
          <w:szCs w:val="20"/>
          <w:color w:val="auto"/>
        </w:rPr>
      </w:pPr>
    </w:p>
    <w:p>
      <w:pPr>
        <w:ind w:right="140" w:firstLine="426"/>
        <w:spacing w:after="0" w:line="270" w:lineRule="auto"/>
        <w:rPr>
          <w:sz w:val="20"/>
          <w:szCs w:val="20"/>
          <w:color w:val="auto"/>
        </w:rPr>
      </w:pP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The undersigned acknowledges and agrees that, if requested by the Company, the undersigned shall execute and deliver any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securityholders’ agreement, investor rights agreement, voting agreement, drag along agreement, right of first refusal and co-sale agreement or similar agreement (or a joinder to any existing agreement) that the Company and/or the holders of its securities may enter into or that otherwise that may be in effect from time to time (and which may contain, among other provisions, additional restrictions on transfer).</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40"/>
          </w:cols>
          <w:pgMar w:left="620" w:top="263" w:right="639" w:bottom="1440" w:gutter="0" w:footer="0" w:header="0"/>
        </w:sectPr>
      </w:pPr>
    </w:p>
    <w:bookmarkStart w:id="444" w:name="page445"/>
    <w:bookmarkEnd w:id="444"/>
    <w:p>
      <w:pPr>
        <w:spacing w:after="0"/>
        <w:tabs>
          <w:tab w:leader="none" w:pos="594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7">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page">
              <wp:posOffset>388620</wp:posOffset>
            </wp:positionH>
            <wp:positionV relativeFrom="page">
              <wp:posOffset>313055</wp:posOffset>
            </wp:positionV>
            <wp:extent cx="677164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8">
                      <a:extLst>
                        <a:ext uri="{28A0092B-C50C-407E-A947-70E740481C1C}"/>
                      </a:extLst>
                    </a:blip>
                    <a:srcRect/>
                    <a:stretch>
                      <a:fillRect/>
                    </a:stretch>
                  </pic:blipFill>
                  <pic:spPr bwMode="auto">
                    <a:xfrm>
                      <a:off x="0" y="0"/>
                      <a:ext cx="6771640" cy="8255"/>
                    </a:xfrm>
                    <a:prstGeom prst="rect">
                      <a:avLst/>
                    </a:prstGeom>
                    <a:noFill/>
                  </pic:spPr>
                </pic:pic>
              </a:graphicData>
            </a:graphic>
          </wp:anchor>
        </w:drawing>
        <w:t>(Date)</w:t>
      </w:r>
      <w:r>
        <w:rPr>
          <w:sz w:val="20"/>
          <w:szCs w:val="20"/>
          <w:color w:val="auto"/>
        </w:rPr>
        <w:tab/>
      </w: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219710</wp:posOffset>
            </wp:positionV>
            <wp:extent cx="29794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9">
                      <a:extLst>
                        <a:ext uri="{28A0092B-C50C-407E-A947-70E740481C1C}"/>
                      </a:extLst>
                    </a:blip>
                    <a:srcRect/>
                    <a:stretch>
                      <a:fillRect/>
                    </a:stretch>
                  </pic:blipFill>
                  <pic:spPr bwMode="auto">
                    <a:xfrm>
                      <a:off x="0" y="0"/>
                      <a:ext cx="2979420" cy="8255"/>
                    </a:xfrm>
                    <a:prstGeom prst="rect">
                      <a:avLst/>
                    </a:prstGeom>
                    <a:noFill/>
                  </pic:spPr>
                </pic:pic>
              </a:graphicData>
            </a:graphic>
          </wp:anchor>
        </w:drawing>
      </w:r>
    </w:p>
    <w:p>
      <w:pPr>
        <w:spacing w:after="0" w:line="333"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7"/>
          <w:szCs w:val="17"/>
          <w:color w:val="auto"/>
        </w:rPr>
        <w:t>(Print name)</w:t>
      </w:r>
    </w:p>
    <w:p>
      <w:pPr>
        <w:spacing w:after="0" w:line="1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9839"/>
          </w:cols>
          <w:pgMar w:left="620" w:top="500" w:right="1440" w:bottom="1440" w:gutter="0" w:footer="0" w:header="0"/>
        </w:sectPr>
      </w:pPr>
    </w:p>
    <w:bookmarkStart w:id="445" w:name="page446"/>
    <w:bookmarkEnd w:id="44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0">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7"/>
          <w:szCs w:val="17"/>
          <w:b w:val="1"/>
          <w:bCs w:val="1"/>
          <w:color w:val="auto"/>
        </w:rPr>
        <w:t xml:space="preserve"> B</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ASSIGNMENT FORM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assign the foregoing Warrant, execute this form and supply required information.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 not use this form to purchase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4"/>
          <w:szCs w:val="14"/>
          <w:b w:val="1"/>
          <w:bCs w:val="1"/>
          <w:color w:val="auto"/>
        </w:rPr>
        <w:t>ALUE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4"/>
          <w:szCs w:val="14"/>
          <w:b w:val="1"/>
          <w:bCs w:val="1"/>
          <w:color w:val="auto"/>
        </w:rPr>
        <w:t>ECEIVED</w:t>
      </w:r>
      <w:r>
        <w:rPr>
          <w:rFonts w:ascii="Times New Roman" w:cs="Times New Roman" w:eastAsia="Times New Roman" w:hAnsi="Times New Roman"/>
          <w:sz w:val="17"/>
          <w:szCs w:val="17"/>
          <w:color w:val="auto"/>
        </w:rPr>
        <w:t>, the foregoing Warrant and all rights evidenced thereby are hereby assigned to</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20320</wp:posOffset>
            </wp:positionV>
            <wp:extent cx="589216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1">
                      <a:extLst>
                        <a:ext uri="{28A0092B-C50C-407E-A947-70E740481C1C}"/>
                      </a:extLst>
                    </a:blip>
                    <a:srcRect/>
                    <a:stretch>
                      <a:fillRect/>
                    </a:stretch>
                  </pic:blipFill>
                  <pic:spPr bwMode="auto">
                    <a:xfrm>
                      <a:off x="0" y="0"/>
                      <a:ext cx="5892165" cy="8255"/>
                    </a:xfrm>
                    <a:prstGeom prst="rect">
                      <a:avLst/>
                    </a:prstGeom>
                    <a:noFill/>
                  </pic:spPr>
                </pic:pic>
              </a:graphicData>
            </a:graphic>
          </wp:anchor>
        </w:drawing>
      </w:r>
    </w:p>
    <w:p>
      <w:pPr>
        <w:spacing w:after="0" w:line="4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(Please Print)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20320</wp:posOffset>
            </wp:positionV>
            <wp:extent cx="589216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2">
                      <a:extLst>
                        <a:ext uri="{28A0092B-C50C-407E-A947-70E740481C1C}"/>
                      </a:extLst>
                    </a:blip>
                    <a:srcRect/>
                    <a:stretch>
                      <a:fillRect/>
                    </a:stretch>
                  </pic:blipFill>
                  <pic:spPr bwMode="auto">
                    <a:xfrm>
                      <a:off x="0" y="0"/>
                      <a:ext cx="5892165" cy="8255"/>
                    </a:xfrm>
                    <a:prstGeom prst="rect">
                      <a:avLst/>
                    </a:prstGeom>
                    <a:noFill/>
                  </pic:spPr>
                </pic:pic>
              </a:graphicData>
            </a:graphic>
          </wp:anchor>
        </w:drawing>
      </w:r>
    </w:p>
    <w:p>
      <w:pPr>
        <w:spacing w:after="0" w:line="4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(Please Print)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20320</wp:posOffset>
            </wp:positionV>
            <wp:extent cx="589216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3">
                      <a:extLst>
                        <a:ext uri="{28A0092B-C50C-407E-A947-70E740481C1C}"/>
                      </a:extLst>
                    </a:blip>
                    <a:srcRect/>
                    <a:stretch>
                      <a:fillRect/>
                    </a:stretch>
                  </pic:blipFill>
                  <pic:spPr bwMode="auto">
                    <a:xfrm>
                      <a:off x="0" y="0"/>
                      <a:ext cx="5892165" cy="8255"/>
                    </a:xfrm>
                    <a:prstGeom prst="rect">
                      <a:avLst/>
                    </a:prstGeom>
                    <a:noFill/>
                  </pic:spPr>
                </pic:pic>
              </a:graphicData>
            </a:graphic>
          </wp:anchor>
        </w:drawing>
      </w:r>
    </w:p>
    <w:p>
      <w:pPr>
        <w:spacing w:after="0" w:line="4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(Please Print)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Assignee’s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-123190</wp:posOffset>
            </wp:positionV>
            <wp:extent cx="29876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4">
                      <a:extLst>
                        <a:ext uri="{28A0092B-C50C-407E-A947-70E740481C1C}"/>
                      </a:extLst>
                    </a:blip>
                    <a:srcRect/>
                    <a:stretch>
                      <a:fillRect/>
                    </a:stretch>
                  </pic:blipFill>
                  <pic:spPr bwMode="auto">
                    <a:xfrm>
                      <a:off x="0" y="0"/>
                      <a:ext cx="298767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-3810</wp:posOffset>
            </wp:positionV>
            <wp:extent cx="33210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5">
                      <a:extLst>
                        <a:ext uri="{28A0092B-C50C-407E-A947-70E740481C1C}"/>
                      </a:extLst>
                    </a:blip>
                    <a:srcRect/>
                    <a:stretch>
                      <a:fillRect/>
                    </a:stretch>
                  </pic:blipFill>
                  <pic:spPr bwMode="auto">
                    <a:xfrm>
                      <a:off x="0" y="0"/>
                      <a:ext cx="332105" cy="8255"/>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-3810</wp:posOffset>
            </wp:positionV>
            <wp:extent cx="1104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6">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8890</wp:posOffset>
            </wp:positionV>
            <wp:extent cx="298767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7">
                      <a:extLst>
                        <a:ext uri="{28A0092B-C50C-407E-A947-70E740481C1C}"/>
                      </a:extLst>
                    </a:blip>
                    <a:srcRect/>
                    <a:stretch>
                      <a:fillRect/>
                    </a:stretch>
                  </pic:blipFill>
                  <pic:spPr bwMode="auto">
                    <a:xfrm>
                      <a:off x="0" y="0"/>
                      <a:ext cx="298767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8890</wp:posOffset>
            </wp:positionV>
            <wp:extent cx="298767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8">
                      <a:extLst>
                        <a:ext uri="{28A0092B-C50C-407E-A947-70E740481C1C}"/>
                      </a:extLst>
                    </a:blip>
                    <a:srcRect/>
                    <a:stretch>
                      <a:fillRect/>
                    </a:stretch>
                  </pic:blipFill>
                  <pic:spPr bwMode="auto">
                    <a:xfrm>
                      <a:off x="0" y="0"/>
                      <a:ext cx="2987675" cy="8255"/>
                    </a:xfrm>
                    <a:prstGeom prst="rect">
                      <a:avLst/>
                    </a:prstGeom>
                    <a:noFill/>
                  </pic:spPr>
                </pic:pic>
              </a:graphicData>
            </a:graphic>
          </wp:anchor>
        </w:drawing>
      </w:r>
    </w:p>
    <w:p>
      <w:pPr>
        <w:spacing w:after="0" w:line="19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b w:val="1"/>
          <w:bCs w:val="1"/>
          <w:color w:val="auto"/>
        </w:rPr>
        <w:t>NOTE</w:t>
      </w:r>
      <w:r>
        <w:rPr>
          <w:rFonts w:ascii="Times New Roman" w:cs="Times New Roman" w:eastAsia="Times New Roman" w:hAnsi="Times New Roman"/>
          <w:sz w:val="17"/>
          <w:szCs w:val="17"/>
          <w:color w:val="auto"/>
        </w:rPr>
        <w:t>: The signature to this Assignment Form must correspond with the name as it appears on the face of this Warrant, without alteration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enlargement or any change whatever. Officers of corporations and those acting in a fiduciary or other representative capacity should file proper evidence of authority to assign the foregoing Warrant.</w:t>
      </w:r>
    </w:p>
    <w:p>
      <w:pPr>
        <w:spacing w:after="0" w:line="16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color w:val="auto"/>
        </w:rPr>
        <w:t>NOTE</w:t>
      </w:r>
      <w:r>
        <w:rPr>
          <w:rFonts w:ascii="Times New Roman" w:cs="Times New Roman" w:eastAsia="Times New Roman" w:hAnsi="Times New Roman"/>
          <w:sz w:val="17"/>
          <w:szCs w:val="17"/>
          <w:color w:val="auto"/>
        </w:rPr>
        <w:t>: As a condition to the assignment of this Warrant, if requested by the Company, the assignee of this Warrant shall execute and deliver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securityholders’ agreement, investor rights agreement, voting agreement, drag along agreement, right of first refusal and co-sale agreement or similar agreement (or a joinder to any existing agreement) that the Company and/or the holders of its securities may enter into or that otherwise that may be in effect from time to time (and which may contain, among other provisions, additional restrictions on transfer).</w:t>
      </w:r>
    </w:p>
    <w:p>
      <w:pPr>
        <w:spacing w:after="0" w:line="166"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7"/>
          <w:szCs w:val="17"/>
          <w:b w:val="1"/>
          <w:bCs w:val="1"/>
          <w:color w:val="auto"/>
        </w:rPr>
        <w:t>NOTE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HE ASSIGNEE OF THIS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4"/>
          <w:szCs w:val="14"/>
          <w:b w:val="1"/>
          <w:bCs w:val="1"/>
          <w:color w:val="auto"/>
        </w:rPr>
        <w:t>ARRANT AGREES TO BE BOUND BY ALL THE TERMS AND OBLIGATIONS OF THIS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4"/>
          <w:szCs w:val="14"/>
          <w:b w:val="1"/>
          <w:bCs w:val="1"/>
          <w:color w:val="auto"/>
        </w:rPr>
        <w:t>ARRANT AS IF ASSIGNEE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4"/>
          <w:szCs w:val="14"/>
          <w:b w:val="1"/>
          <w:bCs w:val="1"/>
          <w:color w:val="auto"/>
        </w:rPr>
        <w:t xml:space="preserve">WERE THE ORIGINAL </w:t>
      </w: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4"/>
          <w:szCs w:val="14"/>
          <w:b w:val="1"/>
          <w:bCs w:val="1"/>
          <w:color w:val="auto"/>
        </w:rPr>
        <w:t>OLDER PARTY THERETO</w:t>
      </w:r>
      <w:r>
        <w:rPr>
          <w:rFonts w:ascii="Times New Roman" w:cs="Times New Roman" w:eastAsia="Times New Roman" w:hAnsi="Times New Roman"/>
          <w:sz w:val="17"/>
          <w:szCs w:val="17"/>
          <w:b w:val="1"/>
          <w:bCs w:val="1"/>
          <w:color w:val="auto"/>
        </w:rPr>
        <w:t>.</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40"/>
          </w:cols>
          <w:pgMar w:left="620" w:top="262" w:right="639" w:bottom="1440" w:gutter="0" w:footer="0" w:header="0"/>
        </w:sectPr>
      </w:pPr>
    </w:p>
    <w:bookmarkStart w:id="446" w:name="page447"/>
    <w:bookmarkEnd w:id="446"/>
    <w:p>
      <w:pPr>
        <w:ind w:left="9660"/>
        <w:spacing w:after="0"/>
        <w:rPr>
          <w:sz w:val="20"/>
          <w:szCs w:val="20"/>
          <w:color w:val="auto"/>
        </w:rPr>
      </w:pPr>
      <w:r>
        <w:rPr>
          <w:rFonts w:ascii="Times New Roman" w:cs="Times New Roman" w:eastAsia="Times New Roman" w:hAnsi="Times New Roman"/>
          <w:sz w:val="17"/>
          <w:szCs w:val="17"/>
          <w:b w:val="1"/>
          <w:bCs w:val="1"/>
          <w:color w:val="auto"/>
        </w:rPr>
        <w:t>Exhibit 10.27</w:t>
      </w:r>
    </w:p>
    <w:p>
      <w:pPr>
        <w:spacing w:after="0" w:line="223"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TEMPUS AI, INC. HAS DETERMINED THE INFORMATION (I) IS NOT MATERIAL AND (II) WOULD LIKELY CAUSE COMPETITIVE HARM TO TEMPUS AI, INC. IF PUBLICLY DISCLOSED.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JOINT VENTURE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by and 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SOFTBANK GROUP CORP.</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SOFTBANK GROUP JAPAN CORPORATION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PEGASOS CORP.</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May 18, 2024</w:t>
      </w:r>
    </w:p>
    <w:p>
      <w:pPr>
        <w:sectPr>
          <w:pgSz w:w="11900" w:h="16838" w:orient="portrait"/>
          <w:cols w:equalWidth="0" w:num="1">
            <w:col w:w="10660"/>
          </w:cols>
          <w:pgMar w:left="620" w:top="118" w:right="619" w:bottom="1440" w:gutter="0" w:footer="0" w:header="0"/>
        </w:sectPr>
      </w:pPr>
    </w:p>
    <w:bookmarkStart w:id="447" w:name="page448"/>
    <w:bookmarkEnd w:id="447"/>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19"/>
                <w:szCs w:val="19"/>
                <w:color w:val="auto"/>
              </w:rPr>
            </w:pPr>
          </w:p>
        </w:tc>
        <w:tc>
          <w:tcPr>
            <w:tcW w:w="7940" w:type="dxa"/>
            <w:vAlign w:val="bottom"/>
          </w:tcPr>
          <w:p>
            <w:pPr>
              <w:ind w:left="41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360" w:type="dxa"/>
            <w:vAlign w:val="bottom"/>
          </w:tcPr>
          <w:p>
            <w:pPr>
              <w:spacing w:after="0"/>
              <w:rPr>
                <w:sz w:val="19"/>
                <w:szCs w:val="19"/>
                <w:color w:val="auto"/>
              </w:rPr>
            </w:pPr>
          </w:p>
        </w:tc>
      </w:tr>
      <w:tr>
        <w:trPr>
          <w:trHeight w:val="444"/>
        </w:trPr>
        <w:tc>
          <w:tcPr>
            <w:tcW w:w="3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Definitions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Purpose of Joint Venture</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Joint Venture Entity</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4.</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Closing; Conditions to Close</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Reasonable Best Efforts to Complete; Closing Regulatory Approvals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Funding of the Company</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Governance of the Company</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Transfer of Company Securities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Additional Covenants of the Initial Shareholders and the Company</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Representations and Warranties of the SBG Shareholder</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Representations and Warranties of the Tempus Shareholder</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12.</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Fair Market Value</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13.</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Term and Termination; Withdrawal of Shareholders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r>
      <w:tr>
        <w:trPr>
          <w:trHeight w:val="314"/>
        </w:trPr>
        <w:tc>
          <w:tcPr>
            <w:tcW w:w="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14.</w:t>
            </w:r>
          </w:p>
        </w:tc>
        <w:tc>
          <w:tcPr>
            <w:tcW w:w="794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General Provisions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7"/>
          <w:szCs w:val="17"/>
          <w:color w:val="auto"/>
        </w:rPr>
        <w:t>- i -</w:t>
      </w:r>
    </w:p>
    <w:p>
      <w:pPr>
        <w:sectPr>
          <w:pgSz w:w="11900" w:h="16838" w:orient="portrait"/>
          <w:cols w:equalWidth="0" w:num="1">
            <w:col w:w="10600"/>
          </w:cols>
          <w:pgMar w:left="620" w:top="263" w:right="679" w:bottom="1440" w:gutter="0" w:footer="0" w:header="0"/>
        </w:sectPr>
      </w:pPr>
    </w:p>
    <w:bookmarkStart w:id="448" w:name="page449"/>
    <w:bookmarkEnd w:id="448"/>
    <w:tbl>
      <w:tblPr>
        <w:tblLayout w:type="fixed"/>
        <w:tblInd w:w="0" w:type="dxa"/>
        <w:tblCellMar>
          <w:top w:w="0" w:type="dxa"/>
          <w:left w:w="0" w:type="dxa"/>
          <w:bottom w:w="0" w:type="dxa"/>
          <w:right w:w="0" w:type="dxa"/>
        </w:tblCellMar>
      </w:tblPr>
      <w:tr>
        <w:trPr>
          <w:trHeight w:val="229"/>
        </w:trPr>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340" w:type="dxa"/>
            <w:vAlign w:val="bottom"/>
          </w:tcPr>
          <w:p>
            <w:pPr>
              <w:jc w:val="center"/>
              <w:ind w:left="2293"/>
              <w:spacing w:after="0"/>
              <w:rPr>
                <w:sz w:val="20"/>
                <w:szCs w:val="20"/>
                <w:color w:val="auto"/>
              </w:rPr>
            </w:pPr>
            <w:r>
              <w:rPr>
                <w:rFonts w:ascii="Times New Roman" w:cs="Times New Roman" w:eastAsia="Times New Roman" w:hAnsi="Times New Roman"/>
                <w:sz w:val="17"/>
                <w:szCs w:val="17"/>
                <w:b w:val="1"/>
                <w:bCs w:val="1"/>
                <w:color w:val="auto"/>
              </w:rPr>
              <w:t>TABLE OF SCHEDULES</w:t>
            </w:r>
          </w:p>
        </w:tc>
      </w:tr>
      <w:tr>
        <w:trPr>
          <w:trHeight w:val="426"/>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Schedule 7.11</w:t>
            </w: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Shareholder Reserved Matters</w:t>
            </w:r>
          </w:p>
        </w:tc>
      </w:tr>
      <w:tr>
        <w:trPr>
          <w:trHeight w:val="227"/>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Schedule 7.13(a)</w:t>
            </w: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Initial Business Plan Principles</w:t>
            </w:r>
          </w:p>
        </w:tc>
      </w:tr>
      <w:tr>
        <w:trPr>
          <w:trHeight w:val="418"/>
        </w:trPr>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40" w:type="dxa"/>
            <w:vAlign w:val="bottom"/>
          </w:tcPr>
          <w:p>
            <w:pPr>
              <w:jc w:val="center"/>
              <w:ind w:left="2293"/>
              <w:spacing w:after="0"/>
              <w:rPr>
                <w:sz w:val="20"/>
                <w:szCs w:val="20"/>
                <w:color w:val="auto"/>
              </w:rPr>
            </w:pPr>
            <w:r>
              <w:rPr>
                <w:rFonts w:ascii="Times New Roman" w:cs="Times New Roman" w:eastAsia="Times New Roman" w:hAnsi="Times New Roman"/>
                <w:sz w:val="17"/>
                <w:szCs w:val="17"/>
                <w:b w:val="1"/>
                <w:bCs w:val="1"/>
                <w:color w:val="auto"/>
              </w:rPr>
              <w:t>TABLE OF EXHIBITS</w:t>
            </w:r>
          </w:p>
        </w:tc>
      </w:tr>
      <w:tr>
        <w:trPr>
          <w:trHeight w:val="400"/>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A</w:t>
            </w: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Form of Articles of Incorporation</w:t>
            </w:r>
          </w:p>
        </w:tc>
      </w:tr>
      <w:tr>
        <w:trPr>
          <w:trHeight w:val="20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B</w:t>
            </w: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Form of License Fees Payment Timing Confirmation</w:t>
            </w:r>
          </w:p>
        </w:tc>
      </w:tr>
      <w:tr>
        <w:trPr>
          <w:trHeight w:val="20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C</w:t>
            </w: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Form of SBG Subscription Agreement</w:t>
            </w:r>
          </w:p>
        </w:tc>
      </w:tr>
      <w:tr>
        <w:trPr>
          <w:trHeight w:val="20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D-1</w:t>
            </w: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Form of Tempus Common Stock Subscription Agreement</w:t>
            </w:r>
          </w:p>
        </w:tc>
      </w:tr>
      <w:tr>
        <w:trPr>
          <w:trHeight w:val="227"/>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Exhibit D-2</w:t>
            </w: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43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Form of Tempus Class A Stock Subscription Agreement</w:t>
            </w:r>
          </w:p>
        </w:tc>
      </w:tr>
      <w:tr>
        <w:trPr>
          <w:trHeight w:val="353"/>
        </w:trPr>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40" w:type="dxa"/>
            <w:vAlign w:val="bottom"/>
          </w:tcPr>
          <w:p>
            <w:pPr>
              <w:jc w:val="center"/>
              <w:ind w:left="2313"/>
              <w:spacing w:after="0"/>
              <w:rPr>
                <w:sz w:val="20"/>
                <w:szCs w:val="20"/>
                <w:color w:val="auto"/>
              </w:rPr>
            </w:pPr>
            <w:r>
              <w:rPr>
                <w:rFonts w:ascii="Times New Roman" w:cs="Times New Roman" w:eastAsia="Times New Roman" w:hAnsi="Times New Roman"/>
                <w:sz w:val="17"/>
                <w:szCs w:val="17"/>
                <w:color w:val="auto"/>
              </w:rPr>
              <w:t>-ii-</w:t>
            </w:r>
          </w:p>
        </w:tc>
      </w:tr>
    </w:tbl>
    <w:p>
      <w:pPr>
        <w:jc w:val="center"/>
        <w:ind w:left="2313"/>
        <w:spacing w:after="0"/>
        <w:rPr>
          <w:sz w:val="20"/>
          <w:szCs w:val="20"/>
          <w:color w:val="auto"/>
        </w:rPr>
        <w:sectPr>
          <w:pgSz w:w="11900" w:h="16838" w:orient="portrait"/>
          <w:cols w:equalWidth="0" w:num="1">
            <w:col w:w="9839"/>
          </w:cols>
          <w:pgMar w:left="620" w:top="263" w:right="1440"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449" w:name="page450"/>
    <w:bookmarkEnd w:id="44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JOINT VENTURE AGREEMENT</w:t>
      </w:r>
    </w:p>
    <w:p>
      <w:pPr>
        <w:spacing w:after="0" w:line="225" w:lineRule="exact"/>
        <w:rPr>
          <w:sz w:val="20"/>
          <w:szCs w:val="20"/>
          <w:color w:val="auto"/>
        </w:rPr>
      </w:pPr>
    </w:p>
    <w:p>
      <w:pPr>
        <w:jc w:val="both"/>
        <w:ind w:firstLine="426"/>
        <w:spacing w:after="0" w:line="262" w:lineRule="auto"/>
        <w:rPr>
          <w:sz w:val="20"/>
          <w:szCs w:val="20"/>
          <w:color w:val="auto"/>
        </w:rPr>
      </w:pPr>
      <w:r>
        <w:rPr>
          <w:rFonts w:ascii="Times New Roman" w:cs="Times New Roman" w:eastAsia="Times New Roman" w:hAnsi="Times New Roman"/>
          <w:sz w:val="17"/>
          <w:szCs w:val="17"/>
          <w:color w:val="auto"/>
        </w:rPr>
        <w:t>This JOINT VENTURE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effective as of May 18, 2024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by and among SoftBank Group Corp., a Japanese </w:t>
      </w:r>
      <w:r>
        <w:rPr>
          <w:rFonts w:ascii="Times New Roman" w:cs="Times New Roman" w:eastAsia="Times New Roman" w:hAnsi="Times New Roman"/>
          <w:sz w:val="17"/>
          <w:szCs w:val="17"/>
          <w:i w:val="1"/>
          <w:iCs w:val="1"/>
          <w:color w:val="auto"/>
        </w:rPr>
        <w:t>kabushiki kaisha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SBG Shareholder</w:t>
      </w:r>
      <w:r>
        <w:rPr>
          <w:rFonts w:ascii="Times New Roman" w:cs="Times New Roman" w:eastAsia="Times New Roman" w:hAnsi="Times New Roman"/>
          <w:sz w:val="17"/>
          <w:szCs w:val="17"/>
          <w:color w:val="auto"/>
        </w:rPr>
        <w:t xml:space="preserve">”), SoftBank Group Japan Corporation, a Japanese </w:t>
      </w:r>
      <w:r>
        <w:rPr>
          <w:rFonts w:ascii="Times New Roman" w:cs="Times New Roman" w:eastAsia="Times New Roman" w:hAnsi="Times New Roman"/>
          <w:sz w:val="17"/>
          <w:szCs w:val="17"/>
          <w:i w:val="1"/>
          <w:iCs w:val="1"/>
          <w:color w:val="auto"/>
        </w:rPr>
        <w:t>kabushiki kaisha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SBG 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Shareholder</w:t>
      </w:r>
      <w:r>
        <w:rPr>
          <w:rFonts w:ascii="Times New Roman" w:cs="Times New Roman" w:eastAsia="Times New Roman" w:hAnsi="Times New Roman"/>
          <w:sz w:val="17"/>
          <w:szCs w:val="17"/>
          <w:color w:val="auto"/>
        </w:rPr>
        <w:t>”), Tempus AI, Inc., a Delaware corporation (the “</w:t>
      </w:r>
      <w:r>
        <w:rPr>
          <w:rFonts w:ascii="Times New Roman" w:cs="Times New Roman" w:eastAsia="Times New Roman" w:hAnsi="Times New Roman"/>
          <w:sz w:val="17"/>
          <w:szCs w:val="17"/>
          <w:u w:val="single" w:color="auto"/>
          <w:color w:val="auto"/>
        </w:rPr>
        <w:t>Tempus Shareholder</w:t>
      </w:r>
      <w:r>
        <w:rPr>
          <w:rFonts w:ascii="Times New Roman" w:cs="Times New Roman" w:eastAsia="Times New Roman" w:hAnsi="Times New Roman"/>
          <w:sz w:val="17"/>
          <w:szCs w:val="17"/>
          <w:color w:val="auto"/>
        </w:rPr>
        <w:t xml:space="preserve">”) and Pegasos Corp., a Japanese </w:t>
      </w:r>
      <w:r>
        <w:rPr>
          <w:rFonts w:ascii="Times New Roman" w:cs="Times New Roman" w:eastAsia="Times New Roman" w:hAnsi="Times New Roman"/>
          <w:sz w:val="17"/>
          <w:szCs w:val="17"/>
          <w:i w:val="1"/>
          <w:iCs w:val="1"/>
          <w:color w:val="auto"/>
        </w:rPr>
        <w:t>kabushiki kaisha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The SBG Shareholder and the Tempus Shareholder are hereunder also referred to together as the “</w:t>
      </w:r>
      <w:r>
        <w:rPr>
          <w:rFonts w:ascii="Times New Roman" w:cs="Times New Roman" w:eastAsia="Times New Roman" w:hAnsi="Times New Roman"/>
          <w:sz w:val="17"/>
          <w:szCs w:val="17"/>
          <w:u w:val="single" w:color="auto"/>
          <w:color w:val="auto"/>
        </w:rPr>
        <w:t>Initial Shareholders</w:t>
      </w:r>
      <w:r>
        <w:rPr>
          <w:rFonts w:ascii="Times New Roman" w:cs="Times New Roman" w:eastAsia="Times New Roman" w:hAnsi="Times New Roman"/>
          <w:sz w:val="17"/>
          <w:szCs w:val="17"/>
          <w:color w:val="auto"/>
        </w:rPr>
        <w:t>” and each individually as</w:t>
      </w:r>
    </w:p>
    <w:p>
      <w:pPr>
        <w:spacing w:after="0" w:line="1"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Initial Shareholder</w:t>
      </w:r>
      <w:r>
        <w:rPr>
          <w:rFonts w:ascii="Times New Roman" w:cs="Times New Roman" w:eastAsia="Times New Roman" w:hAnsi="Times New Roman"/>
          <w:sz w:val="17"/>
          <w:szCs w:val="17"/>
          <w:color w:val="auto"/>
        </w:rPr>
        <w:t xml:space="preserve">.” Unless otherwise specified in this Agreement or the context otherwise requires, any capitalized terms used in this Agreement have the meanings assigned to such terms in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ectPr>
          <w:pgSz w:w="11900" w:h="16838" w:orient="portrait"/>
          <w:cols w:equalWidth="0" w:num="1">
            <w:col w:w="10660"/>
          </w:cols>
          <w:pgMar w:left="620" w:top="262" w:right="619" w:bottom="1440" w:gutter="0" w:footer="0" w:header="0"/>
        </w:sectPr>
      </w:pP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A. 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SBG Shareholder is an investment and holding company headquartered in Tokyo, Japan.</w:t>
      </w:r>
    </w:p>
    <w:p>
      <w:pPr>
        <w:spacing w:after="0" w:line="200" w:lineRule="exact"/>
        <w:rPr>
          <w:sz w:val="20"/>
          <w:szCs w:val="20"/>
          <w:color w:val="auto"/>
        </w:rPr>
      </w:pPr>
    </w:p>
    <w:p>
      <w:pPr>
        <w:sectPr>
          <w:pgSz w:w="11900" w:h="16838" w:orient="portrait"/>
          <w:cols w:equalWidth="0" w:num="2">
            <w:col w:w="640" w:space="120"/>
            <w:col w:w="9900"/>
          </w:cols>
          <w:pgMar w:left="620" w:top="262" w:right="619" w:bottom="1440" w:gutter="0" w:footer="0" w:header="0"/>
          <w:type w:val="continuous"/>
        </w:sectPr>
      </w:pPr>
    </w:p>
    <w:p>
      <w:pPr>
        <w:spacing w:after="0" w:line="23" w:lineRule="exact"/>
        <w:rPr>
          <w:sz w:val="20"/>
          <w:szCs w:val="20"/>
          <w:color w:val="auto"/>
        </w:rPr>
      </w:pPr>
    </w:p>
    <w:p>
      <w:pPr>
        <w:ind w:right="800" w:firstLine="426"/>
        <w:spacing w:after="0" w:line="295" w:lineRule="auto"/>
        <w:rPr>
          <w:sz w:val="20"/>
          <w:szCs w:val="20"/>
          <w:color w:val="auto"/>
        </w:rPr>
      </w:pPr>
      <w:r>
        <w:rPr>
          <w:rFonts w:ascii="Times New Roman" w:cs="Times New Roman" w:eastAsia="Times New Roman" w:hAnsi="Times New Roman"/>
          <w:sz w:val="17"/>
          <w:szCs w:val="17"/>
          <w:color w:val="auto"/>
        </w:rPr>
        <w:t>B.  The Tempus Shareholder is a developer and provider of an intelligent diagnostics platform using artificial intelligence for practical applications in healthcare, including for purposes of developing new treatment plans for patients with cancer.</w:t>
      </w:r>
    </w:p>
    <w:p>
      <w:pPr>
        <w:spacing w:after="0" w:line="147" w:lineRule="exact"/>
        <w:rPr>
          <w:sz w:val="20"/>
          <w:szCs w:val="20"/>
          <w:color w:val="auto"/>
        </w:rPr>
      </w:pPr>
    </w:p>
    <w:p>
      <w:pPr>
        <w:ind w:right="60" w:firstLine="426"/>
        <w:spacing w:after="0" w:line="295" w:lineRule="auto"/>
        <w:rPr>
          <w:sz w:val="20"/>
          <w:szCs w:val="20"/>
          <w:color w:val="auto"/>
        </w:rPr>
      </w:pPr>
      <w:r>
        <w:rPr>
          <w:rFonts w:ascii="Times New Roman" w:cs="Times New Roman" w:eastAsia="Times New Roman" w:hAnsi="Times New Roman"/>
          <w:sz w:val="17"/>
          <w:szCs w:val="17"/>
          <w:color w:val="auto"/>
        </w:rPr>
        <w:t>C.  Prior to the execution of this Agreement, the SBG Shareholder or one or more of its Affiliates has subscribed for certain Series G-5 Preferred Stock of the Tempus Shareholder pursuant to certain financing documents.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D.   Concurrently with the execution of this Agreement, (1) the Tempus Shareholder and the Company have entered into the IP License</w:t>
      </w:r>
    </w:p>
    <w:p>
      <w:pPr>
        <w:sectPr>
          <w:pgSz w:w="11900" w:h="16838" w:orient="portrait"/>
          <w:cols w:equalWidth="0" w:num="1">
            <w:col w:w="10660"/>
          </w:cols>
          <w:pgMar w:left="620" w:top="262" w:right="619" w:bottom="1440" w:gutter="0" w:footer="0" w:header="0"/>
          <w:type w:val="continuous"/>
        </w:sectPr>
      </w:pPr>
    </w:p>
    <w:p>
      <w:pPr>
        <w:spacing w:after="0" w:line="3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Agreement, (2) the Tempus Shareholder and the Company have entered into the Data License Agreement, (3) the SBG Shareholder (or its designated Affiliates) and the Company have entered into the SBG Services Agreement and (4) the Tempus Shareholder and the Company have entered into the Tempus Services Agreement, each of which will become effective on, and contingent upon, the Closing, except the Data License Agreement which will become effective on the Effective Date.</w:t>
      </w:r>
    </w:p>
    <w:p>
      <w:pPr>
        <w:spacing w:after="0" w:line="174" w:lineRule="exact"/>
        <w:rPr>
          <w:sz w:val="20"/>
          <w:szCs w:val="20"/>
          <w:color w:val="auto"/>
        </w:rPr>
      </w:pPr>
    </w:p>
    <w:p>
      <w:pPr>
        <w:ind w:right="220" w:firstLine="426"/>
        <w:spacing w:after="0" w:line="295" w:lineRule="auto"/>
        <w:rPr>
          <w:sz w:val="20"/>
          <w:szCs w:val="20"/>
          <w:color w:val="auto"/>
        </w:rPr>
      </w:pPr>
      <w:r>
        <w:rPr>
          <w:rFonts w:ascii="Times New Roman" w:cs="Times New Roman" w:eastAsia="Times New Roman" w:hAnsi="Times New Roman"/>
          <w:sz w:val="17"/>
          <w:szCs w:val="17"/>
          <w:color w:val="auto"/>
        </w:rPr>
        <w:t>E.  The Initial Shareholders desire to form a joint venture to pursue the Business, which joint venture will operate through the Company, as set forth herein.</w:t>
      </w:r>
    </w:p>
    <w:p>
      <w:pPr>
        <w:spacing w:after="0" w:line="147" w:lineRule="exact"/>
        <w:rPr>
          <w:sz w:val="20"/>
          <w:szCs w:val="20"/>
          <w:color w:val="auto"/>
        </w:rPr>
      </w:pPr>
    </w:p>
    <w:p>
      <w:pPr>
        <w:ind w:right="340" w:firstLine="426"/>
        <w:spacing w:after="0" w:line="295" w:lineRule="auto"/>
        <w:rPr>
          <w:sz w:val="20"/>
          <w:szCs w:val="20"/>
          <w:color w:val="auto"/>
        </w:rPr>
      </w:pPr>
      <w:r>
        <w:rPr>
          <w:rFonts w:ascii="Times New Roman" w:cs="Times New Roman" w:eastAsia="Times New Roman" w:hAnsi="Times New Roman"/>
          <w:sz w:val="17"/>
          <w:szCs w:val="17"/>
          <w:color w:val="auto"/>
        </w:rPr>
        <w:t>NOW THEREFORE, for valuable consideration, the receipt and adequacy of which are hereby acknowledged, the Initial Shareholders hereby agree as follows: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Definitions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For purposes of this Agreement:</w:t>
      </w:r>
    </w:p>
    <w:p>
      <w:pPr>
        <w:spacing w:after="0" w:line="223" w:lineRule="exact"/>
        <w:rPr>
          <w:sz w:val="20"/>
          <w:szCs w:val="20"/>
          <w:color w:val="auto"/>
        </w:rPr>
      </w:pPr>
    </w:p>
    <w:p>
      <w:pPr>
        <w:ind w:right="180" w:firstLine="426"/>
        <w:spacing w:after="0" w:line="295"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(a) that is controlled by, controls or is under common control with a Shareholder (collectively, a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or (b) that is controlled by, controls or is under common control with any such Controlled Person, in each case for so long as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60"/>
          </w:cols>
          <w:pgMar w:left="620" w:top="262" w:right="619" w:bottom="1440" w:gutter="0" w:footer="0" w:header="0"/>
          <w:type w:val="continuous"/>
        </w:sectPr>
      </w:pPr>
    </w:p>
    <w:bookmarkStart w:id="450" w:name="page451"/>
    <w:bookmarkEnd w:id="450"/>
    <w:p>
      <w:pPr>
        <w:ind w:right="20"/>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such control continues. For purposes of this definition, “</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(including, with correlative meaning, the terms “controlling”, “controlled by” and “under common control with”) shall mean (x) the possession, directly or indirectly, of power to direct or cause the direction of management or policies of such Person (whether through ownership of securities or voting rights or other ownership interests, by Contract or otherwise); (y) the ownership of more than 50% of the issued share capital or other voting rights of such entity; or (z) the power to appoint a majority of the directors, managers, partners or other individuals exercising similar authority with respect to such Person by virtue of ownership of voting rights or management or Contract or in any other manner. Notwithstanding the foregoing, for purposes hereof, neither the Company nor any Person controlled by the Company shall be deemed to be an Affiliate of any Shareholder or any Affiliate of a Shareholder, and no Shareholder nor any Affiliate thereof shall be deemed to be an Affiliate of any other Shareholder or any Affiliate thereof by virtue of its equity ownership in the Company.</w:t>
      </w:r>
    </w:p>
    <w:p>
      <w:pPr>
        <w:spacing w:after="0" w:line="173" w:lineRule="exact"/>
        <w:rPr>
          <w:sz w:val="20"/>
          <w:szCs w:val="20"/>
          <w:color w:val="auto"/>
        </w:rPr>
      </w:pPr>
    </w:p>
    <w:p>
      <w:pPr>
        <w:ind w:right="200" w:firstLine="426"/>
        <w:spacing w:after="0" w:line="298"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Articles</w:t>
      </w:r>
      <w:r>
        <w:rPr>
          <w:rFonts w:ascii="Times New Roman" w:cs="Times New Roman" w:eastAsia="Times New Roman" w:hAnsi="Times New Roman"/>
          <w:sz w:val="17"/>
          <w:szCs w:val="17"/>
          <w:color w:val="auto"/>
        </w:rPr>
        <w:t>” means the amended and restated articles of incorporation (</w:t>
      </w:r>
      <w:r>
        <w:rPr>
          <w:rFonts w:ascii="Times New Roman" w:cs="Times New Roman" w:eastAsia="Times New Roman" w:hAnsi="Times New Roman"/>
          <w:sz w:val="17"/>
          <w:szCs w:val="17"/>
          <w:i w:val="1"/>
          <w:iCs w:val="1"/>
          <w:color w:val="auto"/>
        </w:rPr>
        <w:t>teikan</w:t>
      </w:r>
      <w:r>
        <w:rPr>
          <w:rFonts w:ascii="Times New Roman" w:cs="Times New Roman" w:eastAsia="Times New Roman" w:hAnsi="Times New Roman"/>
          <w:sz w:val="17"/>
          <w:szCs w:val="17"/>
          <w:color w:val="auto"/>
        </w:rPr>
        <w:t xml:space="preserve">) of the Company, which articles as of immediately prior to the Closing shall be in a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Big 4 Accounting Firm</w:t>
      </w:r>
      <w:r>
        <w:rPr>
          <w:rFonts w:ascii="Times New Roman" w:cs="Times New Roman" w:eastAsia="Times New Roman" w:hAnsi="Times New Roman"/>
          <w:sz w:val="17"/>
          <w:szCs w:val="17"/>
          <w:color w:val="auto"/>
        </w:rPr>
        <w:t>” means KPMG, PricewaterhouseCoopers, Deloitte &amp; Touche or Ernst &amp; Young.</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w:t>
      </w:r>
      <w:r>
        <w:rPr>
          <w:rFonts w:ascii="Times New Roman" w:cs="Times New Roman" w:eastAsia="Times New Roman" w:hAnsi="Times New Roman"/>
          <w:sz w:val="17"/>
          <w:szCs w:val="17"/>
          <w:i w:val="1"/>
          <w:iCs w:val="1"/>
          <w:color w:val="auto"/>
        </w:rPr>
        <w:t>torishimariyaku-kai</w:t>
      </w:r>
      <w:r>
        <w:rPr>
          <w:rFonts w:ascii="Times New Roman" w:cs="Times New Roman" w:eastAsia="Times New Roman" w:hAnsi="Times New Roman"/>
          <w:sz w:val="17"/>
          <w:szCs w:val="17"/>
          <w:color w:val="auto"/>
        </w:rPr>
        <w:t>) of the Company.</w:t>
      </w:r>
    </w:p>
    <w:p>
      <w:pPr>
        <w:spacing w:after="0" w:line="225" w:lineRule="exact"/>
        <w:rPr>
          <w:sz w:val="20"/>
          <w:szCs w:val="20"/>
          <w:color w:val="auto"/>
        </w:rPr>
      </w:pPr>
    </w:p>
    <w:p>
      <w:pPr>
        <w:ind w:right="100" w:firstLine="426"/>
        <w:spacing w:after="0" w:line="295"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Board Additional Funding Determination Date</w:t>
      </w:r>
      <w:r>
        <w:rPr>
          <w:rFonts w:ascii="Times New Roman" w:cs="Times New Roman" w:eastAsia="Times New Roman" w:hAnsi="Times New Roman"/>
          <w:sz w:val="17"/>
          <w:szCs w:val="17"/>
          <w:color w:val="auto"/>
        </w:rPr>
        <w:t xml:space="preserve">” means each date on which (a) the Board determines that the Company requires Additional Funding and (b) the Board authorizes the Total Additional Funding Amount, in each case in accordance with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right="60" w:firstLine="426"/>
        <w:spacing w:after="0" w:line="269"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xml:space="preserve">” means: (a) the business of performing clinical sequencing in Japan, organizing patient data for patients in Japan and building a real-world data business utilizing such Japanese patient data; serving as a sales agent within Japan on behalf of the Tempus Shareholder for real-world data of patients based outside Japan, as may be expanded from time to time in accordance with </w:t>
      </w:r>
      <w:r>
        <w:rPr>
          <w:rFonts w:ascii="Times New Roman" w:cs="Times New Roman" w:eastAsia="Times New Roman" w:hAnsi="Times New Roman"/>
          <w:sz w:val="17"/>
          <w:szCs w:val="17"/>
          <w:u w:val="single" w:color="auto"/>
          <w:color w:val="auto"/>
        </w:rPr>
        <w:t>Section 7.13(e)</w:t>
      </w:r>
      <w:r>
        <w:rPr>
          <w:rFonts w:ascii="Times New Roman" w:cs="Times New Roman" w:eastAsia="Times New Roman" w:hAnsi="Times New Roman"/>
          <w:sz w:val="17"/>
          <w:szCs w:val="17"/>
          <w:color w:val="auto"/>
        </w:rPr>
        <w:t xml:space="preserve"> and (b) such other business within Japan as mutually agreed by the Shareholders pursuant to this Agreement.</w:t>
      </w:r>
    </w:p>
    <w:p>
      <w:pPr>
        <w:spacing w:after="0" w:line="169" w:lineRule="exact"/>
        <w:rPr>
          <w:sz w:val="20"/>
          <w:szCs w:val="20"/>
          <w:color w:val="auto"/>
        </w:rPr>
      </w:pPr>
    </w:p>
    <w:p>
      <w:pPr>
        <w:ind w:right="460" w:firstLine="426"/>
        <w:spacing w:after="0" w:line="295"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 day on which commercial banks in both California, United States and Japan are open to conduct their regular banking business.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u w:val="single" w:color="auto"/>
          <w:color w:val="auto"/>
        </w:rPr>
        <w:t>CFIUS</w:t>
      </w:r>
      <w:r>
        <w:rPr>
          <w:rFonts w:ascii="Times New Roman" w:cs="Times New Roman" w:eastAsia="Times New Roman" w:hAnsi="Times New Roman"/>
          <w:sz w:val="17"/>
          <w:szCs w:val="17"/>
          <w:color w:val="auto"/>
        </w:rPr>
        <w:t>” means the Committee on Foreign Investment in the United States, along with any member agency thereof acting in such capacity.</w:t>
      </w:r>
    </w:p>
    <w:p>
      <w:pPr>
        <w:spacing w:after="0" w:line="223"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u w:val="single" w:color="auto"/>
          <w:color w:val="auto"/>
        </w:rPr>
        <w:t>CFIUS Clearance</w:t>
      </w:r>
      <w:r>
        <w:rPr>
          <w:rFonts w:ascii="Times New Roman" w:cs="Times New Roman" w:eastAsia="Times New Roman" w:hAnsi="Times New Roman"/>
          <w:sz w:val="17"/>
          <w:szCs w:val="17"/>
          <w:color w:val="auto"/>
        </w:rPr>
        <w:t>” shall occur only when one of the following conditions has been satisfied: (a) the SBG Shareholder and the Tempus Shareholder shall have received written notice from CFIUS stating that CFIUS has concluded that the transactions contemplated hereby are not a “covered transaction” as that term is defined under the DPA, and therefore are not subject to review by CFIUS; (b) the SBG Shareholder and the Tempus Shareholder shall have received written notice from CFIUS stating that the assessment, review or investigation of the transactions contemplated hereby under the DPA has concluded and that CFIUS has determined that there are no unresolved national security concerns; (c) CFIUS shall have sent a report to the President of the United States (the “</w:t>
      </w: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requesting the President’s decision or determination with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40"/>
          </w:cols>
          <w:pgMar w:left="620" w:top="264" w:right="639" w:bottom="1440" w:gutter="0" w:footer="0" w:header="0"/>
        </w:sectPr>
      </w:pPr>
    </w:p>
    <w:bookmarkStart w:id="451" w:name="page452"/>
    <w:bookmarkEnd w:id="451"/>
    <w:p>
      <w:pPr>
        <w:ind w:right="60"/>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regard to the transactions contemplated hereby and either (i) the period under the DPA during which the President may announce his decision to take action to suspend, prohibit or place any limitations on the transactions contemplated hereby has expired without any such action being threatened, announced or taken or (ii) the President shall have announced a decision not to take any action to suspend or prohibit the transactions contemplated hereby; or (d) the SBG Shareholder and the Tempus Shareholder shall have received written notice from CFIUS stating that CFIUS is not able to conclude action under the DPA with respect to the transactions contemplated hereby on the basis of the CFIUS Declaration and that the SBG Shareholder and the Tempus Shareholder may file a written notice, but CFIUS has not requested that the SBG Shareholder and the Tempus Shareholder file a written notice and has not initiated a unilateral CFIUS review of the transactions contemplated hereby under the DPA.</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1.10   “</w:t>
      </w:r>
      <w:r>
        <w:rPr>
          <w:rFonts w:ascii="Times New Roman" w:cs="Times New Roman" w:eastAsia="Times New Roman" w:hAnsi="Times New Roman"/>
          <w:sz w:val="17"/>
          <w:szCs w:val="17"/>
          <w:u w:val="single" w:color="auto"/>
          <w:color w:val="auto"/>
        </w:rPr>
        <w:t>Class A Stock</w:t>
      </w:r>
      <w:r>
        <w:rPr>
          <w:rFonts w:ascii="Times New Roman" w:cs="Times New Roman" w:eastAsia="Times New Roman" w:hAnsi="Times New Roman"/>
          <w:sz w:val="17"/>
          <w:szCs w:val="17"/>
          <w:color w:val="auto"/>
        </w:rPr>
        <w:t>” means non-voting Class A Stock of the Company (</w:t>
      </w:r>
      <w:r>
        <w:rPr>
          <w:rFonts w:ascii="Times New Roman" w:cs="Times New Roman" w:eastAsia="Times New Roman" w:hAnsi="Times New Roman"/>
          <w:sz w:val="17"/>
          <w:szCs w:val="17"/>
          <w:i w:val="1"/>
          <w:iCs w:val="1"/>
          <w:color w:val="auto"/>
        </w:rPr>
        <w:t>A-shu-shurui-kabushiki</w:t>
      </w:r>
      <w:r>
        <w:rPr>
          <w:rFonts w:ascii="Times New Roman" w:cs="Times New Roman" w:eastAsia="Times New Roman" w:hAnsi="Times New Roman"/>
          <w:sz w:val="17"/>
          <w:szCs w:val="17"/>
          <w:color w:val="auto"/>
        </w:rPr>
        <w:t>) as authorized by the Articles.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u w:val="single" w:color="auto"/>
          <w:color w:val="auto"/>
        </w:rPr>
        <w:t>Closing Regulatory Approvals</w:t>
      </w:r>
      <w:r>
        <w:rPr>
          <w:rFonts w:ascii="Times New Roman" w:cs="Times New Roman" w:eastAsia="Times New Roman" w:hAnsi="Times New Roman"/>
          <w:sz w:val="17"/>
          <w:szCs w:val="17"/>
          <w:color w:val="auto"/>
        </w:rPr>
        <w:t xml:space="preserve">” means the Regulatory Approvals described in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1.12 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Common Stock (</w:t>
      </w:r>
      <w:r>
        <w:rPr>
          <w:rFonts w:ascii="Times New Roman" w:cs="Times New Roman" w:eastAsia="Times New Roman" w:hAnsi="Times New Roman"/>
          <w:sz w:val="17"/>
          <w:szCs w:val="17"/>
          <w:i w:val="1"/>
          <w:iCs w:val="1"/>
          <w:color w:val="auto"/>
        </w:rPr>
        <w:t>futsū kabushiki</w:t>
      </w:r>
      <w:r>
        <w:rPr>
          <w:rFonts w:ascii="Times New Roman" w:cs="Times New Roman" w:eastAsia="Times New Roman" w:hAnsi="Times New Roman"/>
          <w:sz w:val="17"/>
          <w:szCs w:val="17"/>
          <w:color w:val="auto"/>
        </w:rPr>
        <w:t>) of the Company as authorized by the Articles.</w:t>
      </w:r>
    </w:p>
    <w:p>
      <w:pPr>
        <w:spacing w:after="0" w:line="225" w:lineRule="exact"/>
        <w:rPr>
          <w:sz w:val="20"/>
          <w:szCs w:val="20"/>
          <w:color w:val="auto"/>
        </w:rPr>
      </w:pPr>
    </w:p>
    <w:p>
      <w:pPr>
        <w:ind w:right="560" w:firstLine="426"/>
        <w:spacing w:after="0" w:line="295" w:lineRule="auto"/>
        <w:rPr>
          <w:sz w:val="20"/>
          <w:szCs w:val="20"/>
          <w:color w:val="auto"/>
        </w:rPr>
      </w:pPr>
      <w:r>
        <w:rPr>
          <w:rFonts w:ascii="Times New Roman" w:cs="Times New Roman" w:eastAsia="Times New Roman" w:hAnsi="Times New Roman"/>
          <w:sz w:val="17"/>
          <w:szCs w:val="17"/>
          <w:color w:val="auto"/>
        </w:rPr>
        <w:t>1.13  “</w:t>
      </w:r>
      <w:r>
        <w:rPr>
          <w:rFonts w:ascii="Times New Roman" w:cs="Times New Roman" w:eastAsia="Times New Roman" w:hAnsi="Times New Roman"/>
          <w:sz w:val="17"/>
          <w:szCs w:val="17"/>
          <w:u w:val="single" w:color="auto"/>
          <w:color w:val="auto"/>
        </w:rPr>
        <w:t>Companies Act</w:t>
      </w:r>
      <w:r>
        <w:rPr>
          <w:rFonts w:ascii="Times New Roman" w:cs="Times New Roman" w:eastAsia="Times New Roman" w:hAnsi="Times New Roman"/>
          <w:sz w:val="17"/>
          <w:szCs w:val="17"/>
          <w:color w:val="auto"/>
        </w:rPr>
        <w:t>” means the Companies Act of Japan (Act No. 86 of 2005 as amended) along with certain associated governmental ordinances.</w:t>
      </w:r>
    </w:p>
    <w:p>
      <w:pPr>
        <w:spacing w:after="0" w:line="147" w:lineRule="exact"/>
        <w:rPr>
          <w:sz w:val="20"/>
          <w:szCs w:val="20"/>
          <w:color w:val="auto"/>
        </w:rPr>
      </w:pPr>
    </w:p>
    <w:p>
      <w:pPr>
        <w:ind w:right="560" w:firstLine="426"/>
        <w:spacing w:after="0" w:line="295" w:lineRule="auto"/>
        <w:rPr>
          <w:sz w:val="20"/>
          <w:szCs w:val="20"/>
          <w:color w:val="auto"/>
        </w:rPr>
      </w:pPr>
      <w:r>
        <w:rPr>
          <w:rFonts w:ascii="Times New Roman" w:cs="Times New Roman" w:eastAsia="Times New Roman" w:hAnsi="Times New Roman"/>
          <w:sz w:val="17"/>
          <w:szCs w:val="17"/>
          <w:color w:val="auto"/>
        </w:rPr>
        <w:t>1.14  “</w:t>
      </w:r>
      <w:r>
        <w:rPr>
          <w:rFonts w:ascii="Times New Roman" w:cs="Times New Roman" w:eastAsia="Times New Roman" w:hAnsi="Times New Roman"/>
          <w:sz w:val="17"/>
          <w:szCs w:val="17"/>
          <w:u w:val="single" w:color="auto"/>
          <w:color w:val="auto"/>
        </w:rPr>
        <w:t>Company Interest</w:t>
      </w:r>
      <w:r>
        <w:rPr>
          <w:rFonts w:ascii="Times New Roman" w:cs="Times New Roman" w:eastAsia="Times New Roman" w:hAnsi="Times New Roman"/>
          <w:sz w:val="17"/>
          <w:szCs w:val="17"/>
          <w:color w:val="auto"/>
        </w:rPr>
        <w:t>” means, as of any applicable time, any and all issued and outstanding Company Shares, excluding any shares of Company Securities issued to employees of the Company pursuant to an Employee Incentive Plan.</w:t>
      </w:r>
    </w:p>
    <w:p>
      <w:pPr>
        <w:spacing w:after="0" w:line="147" w:lineRule="exact"/>
        <w:rPr>
          <w:sz w:val="20"/>
          <w:szCs w:val="20"/>
          <w:color w:val="auto"/>
        </w:rPr>
      </w:pPr>
    </w:p>
    <w:p>
      <w:pPr>
        <w:ind w:right="180" w:firstLine="426"/>
        <w:spacing w:after="0" w:line="276" w:lineRule="auto"/>
        <w:rPr>
          <w:sz w:val="20"/>
          <w:szCs w:val="20"/>
          <w:color w:val="auto"/>
        </w:rPr>
      </w:pPr>
      <w:r>
        <w:rPr>
          <w:rFonts w:ascii="Times New Roman" w:cs="Times New Roman" w:eastAsia="Times New Roman" w:hAnsi="Times New Roman"/>
          <w:sz w:val="17"/>
          <w:szCs w:val="17"/>
          <w:color w:val="auto"/>
        </w:rPr>
        <w:t>1.15  “</w:t>
      </w:r>
      <w:r>
        <w:rPr>
          <w:rFonts w:ascii="Times New Roman" w:cs="Times New Roman" w:eastAsia="Times New Roman" w:hAnsi="Times New Roman"/>
          <w:sz w:val="17"/>
          <w:szCs w:val="17"/>
          <w:u w:val="single" w:color="auto"/>
          <w:color w:val="auto"/>
        </w:rPr>
        <w:t>Company Securities</w:t>
      </w:r>
      <w:r>
        <w:rPr>
          <w:rFonts w:ascii="Times New Roman" w:cs="Times New Roman" w:eastAsia="Times New Roman" w:hAnsi="Times New Roman"/>
          <w:sz w:val="17"/>
          <w:szCs w:val="17"/>
          <w:color w:val="auto"/>
        </w:rPr>
        <w:t>” means shares of Common Stock, shares of Class A Stock, other new series or class of capital stock or other equity interests of the Company, including any securities or other instruments convertible into or exchangeable for, and options, warrants or other rights to acquire, any shares or other equity interests of the Company.</w:t>
      </w:r>
    </w:p>
    <w:p>
      <w:pPr>
        <w:spacing w:after="0" w:line="162" w:lineRule="exact"/>
        <w:rPr>
          <w:sz w:val="20"/>
          <w:szCs w:val="20"/>
          <w:color w:val="auto"/>
        </w:rPr>
      </w:pPr>
    </w:p>
    <w:p>
      <w:pPr>
        <w:ind w:right="140" w:firstLine="426"/>
        <w:spacing w:after="0" w:line="276" w:lineRule="auto"/>
        <w:rPr>
          <w:sz w:val="20"/>
          <w:szCs w:val="20"/>
          <w:color w:val="auto"/>
        </w:rPr>
      </w:pPr>
      <w:r>
        <w:rPr>
          <w:rFonts w:ascii="Times New Roman" w:cs="Times New Roman" w:eastAsia="Times New Roman" w:hAnsi="Times New Roman"/>
          <w:sz w:val="17"/>
          <w:szCs w:val="17"/>
          <w:color w:val="auto"/>
        </w:rPr>
        <w:t>1.16  “</w:t>
      </w:r>
      <w:r>
        <w:rPr>
          <w:rFonts w:ascii="Times New Roman" w:cs="Times New Roman" w:eastAsia="Times New Roman" w:hAnsi="Times New Roman"/>
          <w:sz w:val="17"/>
          <w:szCs w:val="17"/>
          <w:u w:val="single" w:color="auto"/>
          <w:color w:val="auto"/>
        </w:rPr>
        <w:t>Company Shares</w:t>
      </w:r>
      <w:r>
        <w:rPr>
          <w:rFonts w:ascii="Times New Roman" w:cs="Times New Roman" w:eastAsia="Times New Roman" w:hAnsi="Times New Roman"/>
          <w:sz w:val="17"/>
          <w:szCs w:val="17"/>
          <w:color w:val="auto"/>
        </w:rPr>
        <w:t>” means, as of any applicable time, any and all issued and outstanding shares of Common Stock, Class A Stock or other new series or class of capital stock of the Company on an as converted to Common Stock basis (without giving regard to whether they are actually convertible to Common Stock as of such applicable time).</w:t>
      </w:r>
    </w:p>
    <w:p>
      <w:pPr>
        <w:spacing w:after="0" w:line="162" w:lineRule="exact"/>
        <w:rPr>
          <w:sz w:val="20"/>
          <w:szCs w:val="20"/>
          <w:color w:val="auto"/>
        </w:rPr>
      </w:pPr>
    </w:p>
    <w:p>
      <w:pPr>
        <w:ind w:right="720" w:firstLine="426"/>
        <w:spacing w:after="0" w:line="295" w:lineRule="auto"/>
        <w:rPr>
          <w:sz w:val="20"/>
          <w:szCs w:val="20"/>
          <w:color w:val="auto"/>
        </w:rPr>
      </w:pPr>
      <w:r>
        <w:rPr>
          <w:rFonts w:ascii="Times New Roman" w:cs="Times New Roman" w:eastAsia="Times New Roman" w:hAnsi="Times New Roman"/>
          <w:sz w:val="17"/>
          <w:szCs w:val="17"/>
          <w:color w:val="auto"/>
        </w:rPr>
        <w:t>1.17  “</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means any legally binding agreement, lease, license, contract, note, mortgage, indenture, arrangement or other similar obligation.</w:t>
      </w:r>
    </w:p>
    <w:p>
      <w:pPr>
        <w:spacing w:after="0" w:line="145" w:lineRule="exact"/>
        <w:rPr>
          <w:sz w:val="20"/>
          <w:szCs w:val="20"/>
          <w:color w:val="auto"/>
        </w:rPr>
      </w:pPr>
    </w:p>
    <w:p>
      <w:pPr>
        <w:ind w:right="280" w:firstLine="426"/>
        <w:spacing w:after="0" w:line="298" w:lineRule="auto"/>
        <w:rPr>
          <w:sz w:val="20"/>
          <w:szCs w:val="20"/>
          <w:color w:val="auto"/>
        </w:rPr>
      </w:pPr>
      <w:r>
        <w:rPr>
          <w:rFonts w:ascii="Times New Roman" w:cs="Times New Roman" w:eastAsia="Times New Roman" w:hAnsi="Times New Roman"/>
          <w:sz w:val="17"/>
          <w:szCs w:val="17"/>
          <w:color w:val="auto"/>
        </w:rPr>
        <w:t>1.18  “</w:t>
      </w:r>
      <w:r>
        <w:rPr>
          <w:rFonts w:ascii="Times New Roman" w:cs="Times New Roman" w:eastAsia="Times New Roman" w:hAnsi="Times New Roman"/>
          <w:sz w:val="17"/>
          <w:szCs w:val="17"/>
          <w:u w:val="single" w:color="auto"/>
          <w:color w:val="auto"/>
        </w:rPr>
        <w:t>Corporate Auditor</w:t>
      </w:r>
      <w:r>
        <w:rPr>
          <w:rFonts w:ascii="Times New Roman" w:cs="Times New Roman" w:eastAsia="Times New Roman" w:hAnsi="Times New Roman"/>
          <w:sz w:val="17"/>
          <w:szCs w:val="17"/>
          <w:color w:val="auto"/>
        </w:rPr>
        <w:t>” means a corporate auditor (</w:t>
      </w:r>
      <w:r>
        <w:rPr>
          <w:rFonts w:ascii="Times New Roman" w:cs="Times New Roman" w:eastAsia="Times New Roman" w:hAnsi="Times New Roman"/>
          <w:sz w:val="17"/>
          <w:szCs w:val="17"/>
          <w:i w:val="1"/>
          <w:iCs w:val="1"/>
          <w:color w:val="auto"/>
        </w:rPr>
        <w:t>kansa-yaku</w:t>
      </w:r>
      <w:r>
        <w:rPr>
          <w:rFonts w:ascii="Times New Roman" w:cs="Times New Roman" w:eastAsia="Times New Roman" w:hAnsi="Times New Roman"/>
          <w:sz w:val="17"/>
          <w:szCs w:val="17"/>
          <w:color w:val="auto"/>
        </w:rPr>
        <w:t>) of the Company with the powers and duties as specified in the Companies Act, the Articles and this Agreement.</w:t>
      </w:r>
    </w:p>
    <w:p>
      <w:pPr>
        <w:spacing w:after="0" w:line="144" w:lineRule="exact"/>
        <w:rPr>
          <w:sz w:val="20"/>
          <w:szCs w:val="20"/>
          <w:color w:val="auto"/>
        </w:rPr>
      </w:pPr>
    </w:p>
    <w:p>
      <w:pPr>
        <w:ind w:firstLine="426"/>
        <w:spacing w:after="0" w:line="295" w:lineRule="auto"/>
        <w:rPr>
          <w:sz w:val="20"/>
          <w:szCs w:val="20"/>
          <w:color w:val="auto"/>
        </w:rPr>
      </w:pPr>
      <w:r>
        <w:rPr>
          <w:rFonts w:ascii="Times New Roman" w:cs="Times New Roman" w:eastAsia="Times New Roman" w:hAnsi="Times New Roman"/>
          <w:sz w:val="17"/>
          <w:szCs w:val="17"/>
          <w:color w:val="auto"/>
        </w:rPr>
        <w:t>1.19  “</w:t>
      </w:r>
      <w:r>
        <w:rPr>
          <w:rFonts w:ascii="Times New Roman" w:cs="Times New Roman" w:eastAsia="Times New Roman" w:hAnsi="Times New Roman"/>
          <w:sz w:val="17"/>
          <w:szCs w:val="17"/>
          <w:u w:val="single" w:color="auto"/>
          <w:color w:val="auto"/>
        </w:rPr>
        <w:t>Data License Agreement</w:t>
      </w:r>
      <w:r>
        <w:rPr>
          <w:rFonts w:ascii="Times New Roman" w:cs="Times New Roman" w:eastAsia="Times New Roman" w:hAnsi="Times New Roman"/>
          <w:sz w:val="17"/>
          <w:szCs w:val="17"/>
          <w:color w:val="auto"/>
        </w:rPr>
        <w:t>” means the data license agreement, dated as of the Effective Date, by and between the Tempus Shareholder and the Company pursuant to which the Tempus Shareholder shall license certain de-identified data to the Company for use in connection with the Business.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20"/>
          </w:cols>
          <w:pgMar w:left="620" w:top="264" w:right="659" w:bottom="1440" w:gutter="0" w:footer="0" w:header="0"/>
        </w:sectPr>
      </w:pPr>
    </w:p>
    <w:bookmarkStart w:id="452" w:name="page453"/>
    <w:bookmarkEnd w:id="452"/>
    <w:p>
      <w:pPr>
        <w:ind w:right="80" w:firstLine="426"/>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1.20  “</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means a director (</w:t>
      </w:r>
      <w:r>
        <w:rPr>
          <w:rFonts w:ascii="Times New Roman" w:cs="Times New Roman" w:eastAsia="Times New Roman" w:hAnsi="Times New Roman"/>
          <w:sz w:val="17"/>
          <w:szCs w:val="17"/>
          <w:i w:val="1"/>
          <w:iCs w:val="1"/>
          <w:color w:val="auto"/>
        </w:rPr>
        <w:t>torishimari-yaku</w:t>
      </w:r>
      <w:r>
        <w:rPr>
          <w:rFonts w:ascii="Times New Roman" w:cs="Times New Roman" w:eastAsia="Times New Roman" w:hAnsi="Times New Roman"/>
          <w:sz w:val="17"/>
          <w:szCs w:val="17"/>
          <w:color w:val="auto"/>
        </w:rPr>
        <w:t>) of the Company with the powers and duties as specified in the Companies Act, the Articles and this Agreement.</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1.21   “</w:t>
      </w:r>
      <w:r>
        <w:rPr>
          <w:rFonts w:ascii="Times New Roman" w:cs="Times New Roman" w:eastAsia="Times New Roman" w:hAnsi="Times New Roman"/>
          <w:sz w:val="17"/>
          <w:szCs w:val="17"/>
          <w:u w:val="single" w:color="auto"/>
          <w:color w:val="auto"/>
        </w:rPr>
        <w:t>DPA</w:t>
      </w:r>
      <w:r>
        <w:rPr>
          <w:rFonts w:ascii="Times New Roman" w:cs="Times New Roman" w:eastAsia="Times New Roman" w:hAnsi="Times New Roman"/>
          <w:sz w:val="17"/>
          <w:szCs w:val="17"/>
          <w:color w:val="auto"/>
        </w:rPr>
        <w:t>” means the Defense Production Act of 1950, as amended, including all implementing regulations thereof.</w:t>
      </w:r>
    </w:p>
    <w:p>
      <w:pPr>
        <w:spacing w:after="0" w:line="223" w:lineRule="exact"/>
        <w:rPr>
          <w:sz w:val="20"/>
          <w:szCs w:val="20"/>
          <w:color w:val="auto"/>
        </w:rPr>
      </w:pPr>
    </w:p>
    <w:p>
      <w:pPr>
        <w:ind w:right="20" w:firstLine="426"/>
        <w:spacing w:after="0" w:line="276" w:lineRule="auto"/>
        <w:rPr>
          <w:sz w:val="20"/>
          <w:szCs w:val="20"/>
          <w:color w:val="auto"/>
        </w:rPr>
      </w:pPr>
      <w:r>
        <w:rPr>
          <w:rFonts w:ascii="Times New Roman" w:cs="Times New Roman" w:eastAsia="Times New Roman" w:hAnsi="Times New Roman"/>
          <w:sz w:val="17"/>
          <w:szCs w:val="17"/>
          <w:color w:val="auto"/>
        </w:rPr>
        <w:t>1.22  “</w:t>
      </w:r>
      <w:r>
        <w:rPr>
          <w:rFonts w:ascii="Times New Roman" w:cs="Times New Roman" w:eastAsia="Times New Roman" w:hAnsi="Times New Roman"/>
          <w:sz w:val="17"/>
          <w:szCs w:val="17"/>
          <w:u w:val="single" w:color="auto"/>
          <w:color w:val="auto"/>
        </w:rPr>
        <w:t>Exempt Issuances</w:t>
      </w:r>
      <w:r>
        <w:rPr>
          <w:rFonts w:ascii="Times New Roman" w:cs="Times New Roman" w:eastAsia="Times New Roman" w:hAnsi="Times New Roman"/>
          <w:sz w:val="17"/>
          <w:szCs w:val="17"/>
          <w:color w:val="auto"/>
        </w:rPr>
        <w:t>” means any (a) Company Securities issued to the SBG Shareholder prior to the Closing Date, (b) Company Securities issued to an Initial Shareholder on the Closing Date, (c) Company Securities issued in connection with any strategic transaction authorized by the Board and (d) Company Securities to be issued to employees of the Company pursuant to an Employee Incentive Plan.</w:t>
      </w:r>
    </w:p>
    <w:p>
      <w:pPr>
        <w:spacing w:after="0" w:line="162" w:lineRule="exact"/>
        <w:rPr>
          <w:sz w:val="20"/>
          <w:szCs w:val="20"/>
          <w:color w:val="auto"/>
        </w:rPr>
      </w:pPr>
    </w:p>
    <w:p>
      <w:pPr>
        <w:ind w:right="1000" w:firstLine="426"/>
        <w:spacing w:after="0" w:line="295" w:lineRule="auto"/>
        <w:rPr>
          <w:sz w:val="20"/>
          <w:szCs w:val="20"/>
          <w:color w:val="auto"/>
        </w:rPr>
      </w:pPr>
      <w:r>
        <w:rPr>
          <w:rFonts w:ascii="Times New Roman" w:cs="Times New Roman" w:eastAsia="Times New Roman" w:hAnsi="Times New Roman"/>
          <w:sz w:val="17"/>
          <w:szCs w:val="17"/>
          <w:color w:val="auto"/>
        </w:rPr>
        <w:t>1.23  “</w:t>
      </w:r>
      <w:r>
        <w:rPr>
          <w:rFonts w:ascii="Times New Roman" w:cs="Times New Roman" w:eastAsia="Times New Roman" w:hAnsi="Times New Roman"/>
          <w:sz w:val="17"/>
          <w:szCs w:val="17"/>
          <w:u w:val="single" w:color="auto"/>
          <w:color w:val="auto"/>
        </w:rPr>
        <w:t>Fair Market Value Determination Date</w:t>
      </w:r>
      <w:r>
        <w:rPr>
          <w:rFonts w:ascii="Times New Roman" w:cs="Times New Roman" w:eastAsia="Times New Roman" w:hAnsi="Times New Roman"/>
          <w:sz w:val="17"/>
          <w:szCs w:val="17"/>
          <w:color w:val="auto"/>
        </w:rPr>
        <w:t>” means the Board Additional Funding Determination Date, the In-Kind Contribution Determination Date or the Consolidation Option Notice Date, as applicable.</w:t>
      </w:r>
    </w:p>
    <w:p>
      <w:pPr>
        <w:spacing w:after="0" w:line="147" w:lineRule="exact"/>
        <w:rPr>
          <w:sz w:val="20"/>
          <w:szCs w:val="20"/>
          <w:color w:val="auto"/>
        </w:rPr>
      </w:pPr>
    </w:p>
    <w:p>
      <w:pPr>
        <w:ind w:right="40" w:firstLine="426"/>
        <w:spacing w:after="0" w:line="276" w:lineRule="auto"/>
        <w:rPr>
          <w:sz w:val="20"/>
          <w:szCs w:val="20"/>
          <w:color w:val="auto"/>
        </w:rPr>
      </w:pPr>
      <w:r>
        <w:rPr>
          <w:rFonts w:ascii="Times New Roman" w:cs="Times New Roman" w:eastAsia="Times New Roman" w:hAnsi="Times New Roman"/>
          <w:sz w:val="17"/>
          <w:szCs w:val="17"/>
          <w:color w:val="auto"/>
        </w:rPr>
        <w:t>1.24  “</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domestic or foreign government, governmental authority, court, tribunal, agency or other regulatory, administrative or judicial agency, arbitral body, commission or organization and any subdivision, branch or department of any of the foregoing, including any securities exchange.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1.25   “</w:t>
      </w:r>
      <w:r>
        <w:rPr>
          <w:rFonts w:ascii="Times New Roman" w:cs="Times New Roman" w:eastAsia="Times New Roman" w:hAnsi="Times New Roman"/>
          <w:sz w:val="17"/>
          <w:szCs w:val="17"/>
          <w:u w:val="single" w:color="auto"/>
          <w:color w:val="auto"/>
        </w:rPr>
        <w:t>IFRS</w:t>
      </w:r>
      <w:r>
        <w:rPr>
          <w:rFonts w:ascii="Times New Roman" w:cs="Times New Roman" w:eastAsia="Times New Roman" w:hAnsi="Times New Roman"/>
          <w:sz w:val="17"/>
          <w:szCs w:val="17"/>
          <w:color w:val="auto"/>
        </w:rPr>
        <w:t>” means International Financial Reporting Standards.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1.26   “</w:t>
      </w:r>
      <w:r>
        <w:rPr>
          <w:rFonts w:ascii="Times New Roman" w:cs="Times New Roman" w:eastAsia="Times New Roman" w:hAnsi="Times New Roman"/>
          <w:sz w:val="17"/>
          <w:szCs w:val="17"/>
          <w:u w:val="single" w:color="auto"/>
          <w:color w:val="auto"/>
        </w:rPr>
        <w:t>Insolvency Event</w:t>
      </w:r>
      <w:r>
        <w:rPr>
          <w:rFonts w:ascii="Times New Roman" w:cs="Times New Roman" w:eastAsia="Times New Roman" w:hAnsi="Times New Roman"/>
          <w:sz w:val="17"/>
          <w:szCs w:val="17"/>
          <w:color w:val="auto"/>
        </w:rPr>
        <w:t>” means with respect to any Person, any of the following:</w:t>
      </w:r>
    </w:p>
    <w:p>
      <w:pPr>
        <w:spacing w:after="0" w:line="223" w:lineRule="exact"/>
        <w:rPr>
          <w:sz w:val="20"/>
          <w:szCs w:val="20"/>
          <w:color w:val="auto"/>
        </w:rPr>
      </w:pPr>
    </w:p>
    <w:p>
      <w:pPr>
        <w:ind w:right="60" w:firstLine="426"/>
        <w:spacing w:after="0" w:line="295" w:lineRule="auto"/>
        <w:rPr>
          <w:sz w:val="20"/>
          <w:szCs w:val="20"/>
          <w:color w:val="auto"/>
        </w:rPr>
      </w:pPr>
      <w:r>
        <w:rPr>
          <w:rFonts w:ascii="Times New Roman" w:cs="Times New Roman" w:eastAsia="Times New Roman" w:hAnsi="Times New Roman"/>
          <w:sz w:val="17"/>
          <w:szCs w:val="17"/>
          <w:color w:val="auto"/>
        </w:rPr>
        <w:t>(a)  inability of the Person to pay its debts when due or the admission by such Person in writing of its inability to pay its debts as they fall due in the ordinary course of business;</w:t>
      </w:r>
    </w:p>
    <w:p>
      <w:pPr>
        <w:spacing w:after="0" w:line="147" w:lineRule="exact"/>
        <w:rPr>
          <w:sz w:val="20"/>
          <w:szCs w:val="20"/>
          <w:color w:val="auto"/>
        </w:rPr>
      </w:pPr>
    </w:p>
    <w:p>
      <w:pPr>
        <w:jc w:val="both"/>
        <w:ind w:firstLine="426"/>
        <w:spacing w:after="0" w:line="295" w:lineRule="auto"/>
        <w:rPr>
          <w:sz w:val="20"/>
          <w:szCs w:val="20"/>
          <w:color w:val="auto"/>
        </w:rPr>
      </w:pPr>
      <w:r>
        <w:rPr>
          <w:rFonts w:ascii="Times New Roman" w:cs="Times New Roman" w:eastAsia="Times New Roman" w:hAnsi="Times New Roman"/>
          <w:sz w:val="17"/>
          <w:szCs w:val="17"/>
          <w:color w:val="auto"/>
        </w:rPr>
        <w:t>(b)  a court of competent jurisdiction makes an order or a resolution is validly and effectively passed, for the bankruptcy, insolvency, winding up, dissolution or judicial management or administration (as the case may be) of such Person otherwise than in the course of reorganization or restructuring;</w:t>
      </w:r>
    </w:p>
    <w:p>
      <w:pPr>
        <w:spacing w:after="0" w:line="147" w:lineRule="exact"/>
        <w:rPr>
          <w:sz w:val="20"/>
          <w:szCs w:val="20"/>
          <w:color w:val="auto"/>
        </w:rPr>
      </w:pPr>
    </w:p>
    <w:p>
      <w:pPr>
        <w:ind w:right="40" w:firstLine="426"/>
        <w:spacing w:after="0" w:line="288" w:lineRule="auto"/>
        <w:rPr>
          <w:sz w:val="20"/>
          <w:szCs w:val="20"/>
          <w:color w:val="auto"/>
        </w:rPr>
      </w:pPr>
      <w:r>
        <w:rPr>
          <w:rFonts w:ascii="Times New Roman" w:cs="Times New Roman" w:eastAsia="Times New Roman" w:hAnsi="Times New Roman"/>
          <w:sz w:val="17"/>
          <w:szCs w:val="17"/>
          <w:color w:val="auto"/>
        </w:rPr>
        <w:t>(c)  any attachment, sequestration, distress, execution or other legal process is levied, enforced or instituted against the assets of such Person and the same is not stayed, discharged, released or satisfied (as the case may be) within [***] days of such, levy or enforcement or institution (as the case may be);</w:t>
      </w:r>
    </w:p>
    <w:p>
      <w:pPr>
        <w:spacing w:after="0" w:line="367" w:lineRule="exact"/>
        <w:rPr>
          <w:sz w:val="20"/>
          <w:szCs w:val="20"/>
          <w:color w:val="auto"/>
        </w:rPr>
      </w:pPr>
    </w:p>
    <w:p>
      <w:pPr>
        <w:ind w:right="120" w:firstLine="426"/>
        <w:spacing w:after="0" w:line="276" w:lineRule="auto"/>
        <w:rPr>
          <w:sz w:val="20"/>
          <w:szCs w:val="20"/>
          <w:color w:val="auto"/>
        </w:rPr>
      </w:pPr>
      <w:r>
        <w:rPr>
          <w:rFonts w:ascii="Times New Roman" w:cs="Times New Roman" w:eastAsia="Times New Roman" w:hAnsi="Times New Roman"/>
          <w:sz w:val="17"/>
          <w:szCs w:val="17"/>
          <w:color w:val="auto"/>
        </w:rPr>
        <w:t>(d)  a liquidator, insolvency practitioner, judicial manager, receiver, administrator, custodian or other similar officer has been appointed (or a petition for the appointment of such officer has been presented) in respect of any assets of such Person and the same is not stayed, discharged, released or satisfied (as the case may be) within [***] days of such appointment or presentation of petition (as the case may be);</w:t>
      </w:r>
    </w:p>
    <w:p>
      <w:pPr>
        <w:spacing w:after="0" w:line="162" w:lineRule="exact"/>
        <w:rPr>
          <w:sz w:val="20"/>
          <w:szCs w:val="20"/>
          <w:color w:val="auto"/>
        </w:rPr>
      </w:pPr>
    </w:p>
    <w:p>
      <w:pPr>
        <w:ind w:right="160" w:firstLine="426"/>
        <w:spacing w:after="0" w:line="295" w:lineRule="auto"/>
        <w:rPr>
          <w:sz w:val="20"/>
          <w:szCs w:val="20"/>
          <w:color w:val="auto"/>
        </w:rPr>
      </w:pPr>
      <w:r>
        <w:rPr>
          <w:rFonts w:ascii="Times New Roman" w:cs="Times New Roman" w:eastAsia="Times New Roman" w:hAnsi="Times New Roman"/>
          <w:sz w:val="17"/>
          <w:szCs w:val="17"/>
          <w:color w:val="auto"/>
        </w:rPr>
        <w:t>(e)  such Person files a petition of bankruptcy or insolvency under applicable Law or a petition of bankruptcy or insolvency is admitted against the Person; or</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20"/>
          </w:cols>
          <w:pgMar w:left="620" w:top="262" w:right="659" w:bottom="1440" w:gutter="0" w:footer="0" w:header="0"/>
        </w:sectPr>
      </w:pPr>
    </w:p>
    <w:bookmarkStart w:id="453" w:name="page454"/>
    <w:bookmarkEnd w:id="453"/>
    <w:p>
      <w:pPr>
        <w:ind w:left="8" w:right="6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  such Person convenes a meeting of its creditors or makes or proposes any arrangement or composition with or any assignment for the benefit of its creditors.</w:t>
      </w:r>
    </w:p>
    <w:p>
      <w:pPr>
        <w:spacing w:after="0" w:line="147" w:lineRule="exact"/>
        <w:rPr>
          <w:sz w:val="20"/>
          <w:szCs w:val="20"/>
          <w:color w:val="auto"/>
        </w:rPr>
      </w:pPr>
    </w:p>
    <w:p>
      <w:pPr>
        <w:jc w:val="both"/>
        <w:ind w:left="8" w:right="120" w:firstLine="426"/>
        <w:spacing w:after="0" w:line="264" w:lineRule="auto"/>
        <w:rPr>
          <w:sz w:val="20"/>
          <w:szCs w:val="20"/>
          <w:color w:val="auto"/>
        </w:rPr>
      </w:pPr>
      <w:r>
        <w:rPr>
          <w:rFonts w:ascii="Times New Roman" w:cs="Times New Roman" w:eastAsia="Times New Roman" w:hAnsi="Times New Roman"/>
          <w:sz w:val="17"/>
          <w:szCs w:val="17"/>
          <w:color w:val="auto"/>
        </w:rPr>
        <w:t>1.27  “</w:t>
      </w: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means all industrial or intellectual property rights under the Laws of any jurisdiction, including (a) patents, utility models, design rights and industrial design property rights; (b) copyrights (throughout this Agreement, including the rights under Articles 27 and 28 of the Copyright Act of Japan) and other rights associated with Works of Authorship and Databases; (c) rights with respect to Trade Secrets;</w:t>
      </w:r>
    </w:p>
    <w:p>
      <w:pPr>
        <w:jc w:val="both"/>
        <w:ind w:left="8" w:right="480" w:hanging="8"/>
        <w:spacing w:after="0" w:line="265" w:lineRule="auto"/>
        <w:tabs>
          <w:tab w:leader="none" w:pos="255"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with respect to trademarks, service marks and trade dress, together with all goodwill associated therewith; (e) other proprietary rights in Technology; (f) rights in or relating to applications, registrations, renewals, extensions, combinations, divisions, continuations and reissues of, and applications for, any of the foregoing; and (g) all causes of action and rights to sue resulting from or arising out of the foregoing.</w:t>
      </w:r>
    </w:p>
    <w:p>
      <w:pPr>
        <w:spacing w:after="0" w:line="171" w:lineRule="exact"/>
        <w:rPr>
          <w:sz w:val="20"/>
          <w:szCs w:val="20"/>
          <w:color w:val="auto"/>
        </w:rPr>
      </w:pPr>
    </w:p>
    <w:p>
      <w:pPr>
        <w:ind w:left="8" w:right="60" w:firstLine="426"/>
        <w:spacing w:after="0" w:line="276" w:lineRule="auto"/>
        <w:rPr>
          <w:sz w:val="20"/>
          <w:szCs w:val="20"/>
          <w:color w:val="auto"/>
        </w:rPr>
      </w:pPr>
      <w:r>
        <w:rPr>
          <w:rFonts w:ascii="Times New Roman" w:cs="Times New Roman" w:eastAsia="Times New Roman" w:hAnsi="Times New Roman"/>
          <w:sz w:val="17"/>
          <w:szCs w:val="17"/>
          <w:color w:val="auto"/>
        </w:rPr>
        <w:t>1.28  “</w:t>
      </w:r>
      <w:r>
        <w:rPr>
          <w:rFonts w:ascii="Times New Roman" w:cs="Times New Roman" w:eastAsia="Times New Roman" w:hAnsi="Times New Roman"/>
          <w:sz w:val="17"/>
          <w:szCs w:val="17"/>
          <w:u w:val="single" w:color="auto"/>
          <w:color w:val="auto"/>
        </w:rPr>
        <w:t>IP License Agreement</w:t>
      </w:r>
      <w:r>
        <w:rPr>
          <w:rFonts w:ascii="Times New Roman" w:cs="Times New Roman" w:eastAsia="Times New Roman" w:hAnsi="Times New Roman"/>
          <w:sz w:val="17"/>
          <w:szCs w:val="17"/>
          <w:color w:val="auto"/>
        </w:rPr>
        <w:t>” means the intellectual property license agreement, dated as of the Effective Date, by and between the Tempus Shareholder and the Company pursuant to which the Tempus Shareholder shall license the Tempus Technology and Tempus trademarks and logos to the Company for use in connection with the Business.</w:t>
      </w:r>
    </w:p>
    <w:p>
      <w:pPr>
        <w:spacing w:after="0" w:line="16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1.29   “</w:t>
      </w:r>
      <w:r>
        <w:rPr>
          <w:rFonts w:ascii="Times New Roman" w:cs="Times New Roman" w:eastAsia="Times New Roman" w:hAnsi="Times New Roman"/>
          <w:sz w:val="17"/>
          <w:szCs w:val="17"/>
          <w:u w:val="single" w:color="auto"/>
          <w:color w:val="auto"/>
        </w:rPr>
        <w:t>JGAAP</w:t>
      </w:r>
      <w:r>
        <w:rPr>
          <w:rFonts w:ascii="Times New Roman" w:cs="Times New Roman" w:eastAsia="Times New Roman" w:hAnsi="Times New Roman"/>
          <w:sz w:val="17"/>
          <w:szCs w:val="17"/>
          <w:color w:val="auto"/>
        </w:rPr>
        <w:t>” means generally accepted accounting principles of Japan.</w:t>
      </w:r>
    </w:p>
    <w:p>
      <w:pPr>
        <w:spacing w:after="0" w:line="223" w:lineRule="exact"/>
        <w:rPr>
          <w:sz w:val="20"/>
          <w:szCs w:val="20"/>
          <w:color w:val="auto"/>
        </w:rPr>
      </w:pPr>
    </w:p>
    <w:p>
      <w:pPr>
        <w:ind w:left="8" w:right="160" w:firstLine="426"/>
        <w:spacing w:after="0" w:line="276" w:lineRule="auto"/>
        <w:rPr>
          <w:sz w:val="20"/>
          <w:szCs w:val="20"/>
          <w:color w:val="auto"/>
        </w:rPr>
      </w:pPr>
      <w:r>
        <w:rPr>
          <w:rFonts w:ascii="Times New Roman" w:cs="Times New Roman" w:eastAsia="Times New Roman" w:hAnsi="Times New Roman"/>
          <w:sz w:val="17"/>
          <w:szCs w:val="17"/>
          <w:color w:val="auto"/>
        </w:rPr>
        <w:t>1.30  “</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any statute, law, constitution, treaty, ordinance, code, rule, regulation, Orders, licenses, permits, approvals and any other binding requirement or determination, or any interpretation, policy or administrative instruction having the force of law of any of the foregoing, of any Governmental Authority that are applicable to the Person and relevant activity, including the Companies Act.</w:t>
      </w:r>
    </w:p>
    <w:p>
      <w:pPr>
        <w:spacing w:after="0" w:line="16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1.31   “</w:t>
      </w:r>
      <w:r>
        <w:rPr>
          <w:rFonts w:ascii="Times New Roman" w:cs="Times New Roman" w:eastAsia="Times New Roman" w:hAnsi="Times New Roman"/>
          <w:sz w:val="17"/>
          <w:szCs w:val="17"/>
          <w:u w:val="single" w:color="auto"/>
          <w:color w:val="auto"/>
        </w:rPr>
        <w:t>Licensed Data</w:t>
      </w:r>
      <w:r>
        <w:rPr>
          <w:rFonts w:ascii="Times New Roman" w:cs="Times New Roman" w:eastAsia="Times New Roman" w:hAnsi="Times New Roman"/>
          <w:sz w:val="17"/>
          <w:szCs w:val="17"/>
          <w:color w:val="auto"/>
        </w:rPr>
        <w:t>” has the meaning set forth in the Data License Agreement.</w:t>
      </w:r>
    </w:p>
    <w:p>
      <w:pPr>
        <w:spacing w:after="0" w:line="223" w:lineRule="exact"/>
        <w:rPr>
          <w:sz w:val="20"/>
          <w:szCs w:val="20"/>
          <w:color w:val="auto"/>
        </w:rPr>
      </w:pPr>
    </w:p>
    <w:p>
      <w:pPr>
        <w:ind w:left="8" w:firstLine="426"/>
        <w:spacing w:after="0" w:line="268" w:lineRule="auto"/>
        <w:rPr>
          <w:sz w:val="20"/>
          <w:szCs w:val="20"/>
          <w:color w:val="auto"/>
        </w:rPr>
      </w:pPr>
      <w:r>
        <w:rPr>
          <w:rFonts w:ascii="Times New Roman" w:cs="Times New Roman" w:eastAsia="Times New Roman" w:hAnsi="Times New Roman"/>
          <w:sz w:val="17"/>
          <w:szCs w:val="17"/>
          <w:color w:val="auto"/>
        </w:rPr>
        <w:t>1.32  “</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(a) any mortgage, lien, pledge, charge, license, security interest or encumbrance of any kind,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or (b) any voting agreement, option, right of first offer, refusal or any transfer restriction in favor of any Person.</w:t>
      </w:r>
    </w:p>
    <w:p>
      <w:pPr>
        <w:spacing w:after="0" w:line="381" w:lineRule="exact"/>
        <w:rPr>
          <w:sz w:val="20"/>
          <w:szCs w:val="20"/>
          <w:color w:val="auto"/>
        </w:rPr>
      </w:pPr>
    </w:p>
    <w:p>
      <w:pPr>
        <w:ind w:left="8" w:right="740" w:firstLine="426"/>
        <w:spacing w:after="0" w:line="295" w:lineRule="auto"/>
        <w:rPr>
          <w:sz w:val="20"/>
          <w:szCs w:val="20"/>
          <w:color w:val="auto"/>
        </w:rPr>
      </w:pPr>
      <w:r>
        <w:rPr>
          <w:rFonts w:ascii="Times New Roman" w:cs="Times New Roman" w:eastAsia="Times New Roman" w:hAnsi="Times New Roman"/>
          <w:sz w:val="17"/>
          <w:szCs w:val="17"/>
          <w:color w:val="auto"/>
        </w:rPr>
        <w:t>1.33  “</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 means any writ, judgment, decree, injunction or similar order of any Governmental Authority (in each such case whether preliminary or final).</w:t>
      </w:r>
    </w:p>
    <w:p>
      <w:pPr>
        <w:spacing w:after="0" w:line="147" w:lineRule="exact"/>
        <w:rPr>
          <w:sz w:val="20"/>
          <w:szCs w:val="20"/>
          <w:color w:val="auto"/>
        </w:rPr>
      </w:pPr>
    </w:p>
    <w:p>
      <w:pPr>
        <w:ind w:left="8" w:right="520" w:firstLine="426"/>
        <w:spacing w:after="0" w:line="295" w:lineRule="auto"/>
        <w:rPr>
          <w:sz w:val="20"/>
          <w:szCs w:val="20"/>
          <w:color w:val="auto"/>
        </w:rPr>
      </w:pPr>
      <w:r>
        <w:rPr>
          <w:rFonts w:ascii="Times New Roman" w:cs="Times New Roman" w:eastAsia="Times New Roman" w:hAnsi="Times New Roman"/>
          <w:sz w:val="17"/>
          <w:szCs w:val="17"/>
          <w:color w:val="auto"/>
        </w:rPr>
        <w:t>1.34 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corporation (including not-for-profit), general or limited partnership, limited liability company, joint venture, estate, trust, association, organization, Governmental Authority or other entity of any kind or nature.</w:t>
      </w:r>
    </w:p>
    <w:p>
      <w:pPr>
        <w:spacing w:after="0" w:line="147" w:lineRule="exact"/>
        <w:rPr>
          <w:sz w:val="20"/>
          <w:szCs w:val="20"/>
          <w:color w:val="auto"/>
        </w:rPr>
      </w:pPr>
    </w:p>
    <w:p>
      <w:pPr>
        <w:ind w:left="8" w:right="80" w:firstLine="426"/>
        <w:spacing w:after="0" w:line="276" w:lineRule="auto"/>
        <w:rPr>
          <w:sz w:val="20"/>
          <w:szCs w:val="20"/>
          <w:color w:val="auto"/>
        </w:rPr>
      </w:pPr>
      <w:r>
        <w:rPr>
          <w:rFonts w:ascii="Times New Roman" w:cs="Times New Roman" w:eastAsia="Times New Roman" w:hAnsi="Times New Roman"/>
          <w:sz w:val="17"/>
          <w:szCs w:val="17"/>
          <w:color w:val="auto"/>
        </w:rPr>
        <w:t>1.35  “</w:t>
      </w:r>
      <w:r>
        <w:rPr>
          <w:rFonts w:ascii="Times New Roman" w:cs="Times New Roman" w:eastAsia="Times New Roman" w:hAnsi="Times New Roman"/>
          <w:sz w:val="17"/>
          <w:szCs w:val="17"/>
          <w:u w:val="single" w:color="auto"/>
          <w:color w:val="auto"/>
        </w:rPr>
        <w:t>Pro Rata Portion</w:t>
      </w:r>
      <w:r>
        <w:rPr>
          <w:rFonts w:ascii="Times New Roman" w:cs="Times New Roman" w:eastAsia="Times New Roman" w:hAnsi="Times New Roman"/>
          <w:sz w:val="17"/>
          <w:szCs w:val="17"/>
          <w:color w:val="auto"/>
        </w:rPr>
        <w:t>” means, with respect to any Shareholder, a fraction determined by dividing the number of Company Shares held by such Shareholder by the number of total issued and outstanding Company Shares, in each case on an as converted to Common Stock basis, as of the date of such calculation (without giving regard to whether they are actually convertible to Common Stock as of such applicable time).</w:t>
      </w:r>
    </w:p>
    <w:p>
      <w:pPr>
        <w:spacing w:after="0" w:line="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68"/>
          </w:cols>
          <w:pgMar w:left="612" w:top="264" w:right="619" w:bottom="1440" w:gutter="0" w:footer="0" w:header="0"/>
        </w:sectPr>
      </w:pPr>
    </w:p>
    <w:bookmarkStart w:id="454" w:name="page455"/>
    <w:bookmarkEnd w:id="454"/>
    <w:p>
      <w:pPr>
        <w:ind w:right="48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1.36  “</w:t>
      </w:r>
      <w:r>
        <w:rPr>
          <w:rFonts w:ascii="Times New Roman" w:cs="Times New Roman" w:eastAsia="Times New Roman" w:hAnsi="Times New Roman"/>
          <w:sz w:val="17"/>
          <w:szCs w:val="17"/>
          <w:u w:val="single" w:color="auto"/>
          <w:color w:val="auto"/>
        </w:rPr>
        <w:t>Regulatory Approvals</w:t>
      </w:r>
      <w:r>
        <w:rPr>
          <w:rFonts w:ascii="Times New Roman" w:cs="Times New Roman" w:eastAsia="Times New Roman" w:hAnsi="Times New Roman"/>
          <w:sz w:val="17"/>
          <w:szCs w:val="17"/>
          <w:color w:val="auto"/>
        </w:rPr>
        <w:t>” means any consents, authorizations, clearances and approvals required by applicable Law, including, for the avoidance of doubt, the Closing Regulatory Approvals.</w:t>
      </w:r>
    </w:p>
    <w:p>
      <w:pPr>
        <w:spacing w:after="0" w:line="147" w:lineRule="exact"/>
        <w:rPr>
          <w:sz w:val="20"/>
          <w:szCs w:val="20"/>
          <w:color w:val="auto"/>
        </w:rPr>
      </w:pPr>
    </w:p>
    <w:p>
      <w:pPr>
        <w:ind w:right="160" w:firstLine="426"/>
        <w:spacing w:after="0" w:line="276" w:lineRule="auto"/>
        <w:rPr>
          <w:sz w:val="20"/>
          <w:szCs w:val="20"/>
          <w:color w:val="auto"/>
        </w:rPr>
      </w:pPr>
      <w:r>
        <w:rPr>
          <w:rFonts w:ascii="Times New Roman" w:cs="Times New Roman" w:eastAsia="Times New Roman" w:hAnsi="Times New Roman"/>
          <w:sz w:val="17"/>
          <w:szCs w:val="17"/>
          <w:color w:val="auto"/>
        </w:rPr>
        <w:t>1.37  “</w:t>
      </w:r>
      <w:r>
        <w:rPr>
          <w:rFonts w:ascii="Times New Roman" w:cs="Times New Roman" w:eastAsia="Times New Roman" w:hAnsi="Times New Roman"/>
          <w:sz w:val="17"/>
          <w:szCs w:val="17"/>
          <w:u w:val="single" w:color="auto"/>
          <w:color w:val="auto"/>
        </w:rPr>
        <w:t>Representative</w:t>
      </w:r>
      <w:r>
        <w:rPr>
          <w:rFonts w:ascii="Times New Roman" w:cs="Times New Roman" w:eastAsia="Times New Roman" w:hAnsi="Times New Roman"/>
          <w:sz w:val="17"/>
          <w:szCs w:val="17"/>
          <w:color w:val="auto"/>
        </w:rPr>
        <w:t>” means, with respect to any Person, any director, principal, partner, manager, member (if such Person is a member-managed limited liability company or similar entity), employee (including any officer), consultant, investment banker, financial advisor, legal counsel, attorney-in-fact, accountant or other advisor, agent or other representative of such Person, in each case acting in their capacity as such.</w:t>
      </w:r>
    </w:p>
    <w:p>
      <w:pPr>
        <w:spacing w:after="0" w:line="160" w:lineRule="exact"/>
        <w:rPr>
          <w:sz w:val="20"/>
          <w:szCs w:val="20"/>
          <w:color w:val="auto"/>
        </w:rPr>
      </w:pPr>
    </w:p>
    <w:p>
      <w:pPr>
        <w:ind w:right="200" w:firstLine="426"/>
        <w:spacing w:after="0" w:line="298" w:lineRule="auto"/>
        <w:rPr>
          <w:sz w:val="20"/>
          <w:szCs w:val="20"/>
          <w:color w:val="auto"/>
        </w:rPr>
      </w:pPr>
      <w:r>
        <w:rPr>
          <w:rFonts w:ascii="Times New Roman" w:cs="Times New Roman" w:eastAsia="Times New Roman" w:hAnsi="Times New Roman"/>
          <w:sz w:val="17"/>
          <w:szCs w:val="17"/>
          <w:color w:val="auto"/>
        </w:rPr>
        <w:t>1.38  “</w:t>
      </w:r>
      <w:r>
        <w:rPr>
          <w:rFonts w:ascii="Times New Roman" w:cs="Times New Roman" w:eastAsia="Times New Roman" w:hAnsi="Times New Roman"/>
          <w:sz w:val="17"/>
          <w:szCs w:val="17"/>
          <w:u w:val="single" w:color="auto"/>
          <w:color w:val="auto"/>
        </w:rPr>
        <w:t>Representative Director</w:t>
      </w:r>
      <w:r>
        <w:rPr>
          <w:rFonts w:ascii="Times New Roman" w:cs="Times New Roman" w:eastAsia="Times New Roman" w:hAnsi="Times New Roman"/>
          <w:sz w:val="17"/>
          <w:szCs w:val="17"/>
          <w:color w:val="auto"/>
        </w:rPr>
        <w:t>” means a representative director (</w:t>
      </w:r>
      <w:r>
        <w:rPr>
          <w:rFonts w:ascii="Times New Roman" w:cs="Times New Roman" w:eastAsia="Times New Roman" w:hAnsi="Times New Roman"/>
          <w:sz w:val="17"/>
          <w:szCs w:val="17"/>
          <w:i w:val="1"/>
          <w:iCs w:val="1"/>
          <w:color w:val="auto"/>
        </w:rPr>
        <w:t>daihyo-torishimari-yaku</w:t>
      </w:r>
      <w:r>
        <w:rPr>
          <w:rFonts w:ascii="Times New Roman" w:cs="Times New Roman" w:eastAsia="Times New Roman" w:hAnsi="Times New Roman"/>
          <w:sz w:val="17"/>
          <w:szCs w:val="17"/>
          <w:color w:val="auto"/>
        </w:rPr>
        <w:t>) who is responsible for executing the business of the Company and who has such other powers and duties as specified in the Companies Act, the Articles and this Agreement.</w:t>
      </w:r>
    </w:p>
    <w:p>
      <w:pPr>
        <w:spacing w:after="0" w:line="144" w:lineRule="exact"/>
        <w:rPr>
          <w:sz w:val="20"/>
          <w:szCs w:val="20"/>
          <w:color w:val="auto"/>
        </w:rPr>
      </w:pPr>
    </w:p>
    <w:p>
      <w:pPr>
        <w:ind w:right="300" w:firstLine="426"/>
        <w:spacing w:after="0" w:line="276" w:lineRule="auto"/>
        <w:rPr>
          <w:sz w:val="20"/>
          <w:szCs w:val="20"/>
          <w:color w:val="auto"/>
        </w:rPr>
      </w:pPr>
      <w:r>
        <w:rPr>
          <w:rFonts w:ascii="Times New Roman" w:cs="Times New Roman" w:eastAsia="Times New Roman" w:hAnsi="Times New Roman"/>
          <w:sz w:val="17"/>
          <w:szCs w:val="17"/>
          <w:color w:val="auto"/>
        </w:rPr>
        <w:t>1.39  “</w:t>
      </w:r>
      <w:r>
        <w:rPr>
          <w:rFonts w:ascii="Times New Roman" w:cs="Times New Roman" w:eastAsia="Times New Roman" w:hAnsi="Times New Roman"/>
          <w:sz w:val="17"/>
          <w:szCs w:val="17"/>
          <w:u w:val="single" w:color="auto"/>
          <w:color w:val="auto"/>
        </w:rPr>
        <w:t>Restricted Territory</w:t>
      </w:r>
      <w:r>
        <w:rPr>
          <w:rFonts w:ascii="Times New Roman" w:cs="Times New Roman" w:eastAsia="Times New Roman" w:hAnsi="Times New Roman"/>
          <w:sz w:val="17"/>
          <w:szCs w:val="17"/>
          <w:color w:val="auto"/>
        </w:rPr>
        <w:t>” means Japan, South Korea, Thailand, Singapore, Malaysia, Indonesia, the Philippines, the United Arab Emirates, Saudi Arabia or any other territory where the Tempus Shareholder or any of its Affiliates, on the one hand, and the SBG Shareholder or any of its Affiliates, on the other hand, have mutually agreed to launch a joint venture or similar commercial relationship.</w:t>
      </w:r>
    </w:p>
    <w:p>
      <w:pPr>
        <w:spacing w:after="0" w:line="162" w:lineRule="exact"/>
        <w:rPr>
          <w:sz w:val="20"/>
          <w:szCs w:val="20"/>
          <w:color w:val="auto"/>
        </w:rPr>
      </w:pPr>
    </w:p>
    <w:p>
      <w:pPr>
        <w:jc w:val="both"/>
        <w:ind w:firstLine="426"/>
        <w:spacing w:after="0" w:line="276" w:lineRule="auto"/>
        <w:rPr>
          <w:sz w:val="20"/>
          <w:szCs w:val="20"/>
          <w:color w:val="auto"/>
        </w:rPr>
      </w:pPr>
      <w:r>
        <w:rPr>
          <w:rFonts w:ascii="Times New Roman" w:cs="Times New Roman" w:eastAsia="Times New Roman" w:hAnsi="Times New Roman"/>
          <w:sz w:val="17"/>
          <w:szCs w:val="17"/>
          <w:color w:val="auto"/>
        </w:rPr>
        <w:t>1.40  “</w:t>
      </w:r>
      <w:r>
        <w:rPr>
          <w:rFonts w:ascii="Times New Roman" w:cs="Times New Roman" w:eastAsia="Times New Roman" w:hAnsi="Times New Roman"/>
          <w:sz w:val="17"/>
          <w:szCs w:val="17"/>
          <w:u w:val="single" w:color="auto"/>
          <w:color w:val="auto"/>
        </w:rPr>
        <w:t>SBG Brand License Agreement</w:t>
      </w:r>
      <w:r>
        <w:rPr>
          <w:rFonts w:ascii="Times New Roman" w:cs="Times New Roman" w:eastAsia="Times New Roman" w:hAnsi="Times New Roman"/>
          <w:sz w:val="17"/>
          <w:szCs w:val="17"/>
          <w:color w:val="auto"/>
        </w:rPr>
        <w:t>” means a brand license agreement in a form reasonably agreed by the SBG Shareholder, to be entered into by and between the SBG Shareholder (or its designated Affiliates), the Company and any other parties identified therein, having an effective date of the Closing Date [***].</w:t>
      </w:r>
    </w:p>
    <w:p>
      <w:pPr>
        <w:spacing w:after="0" w:line="162" w:lineRule="exact"/>
        <w:rPr>
          <w:sz w:val="20"/>
          <w:szCs w:val="20"/>
          <w:color w:val="auto"/>
        </w:rPr>
      </w:pPr>
    </w:p>
    <w:p>
      <w:pPr>
        <w:ind w:right="180" w:firstLine="426"/>
        <w:spacing w:after="0" w:line="266" w:lineRule="auto"/>
        <w:rPr>
          <w:sz w:val="20"/>
          <w:szCs w:val="20"/>
          <w:color w:val="auto"/>
        </w:rPr>
      </w:pPr>
      <w:r>
        <w:rPr>
          <w:rFonts w:ascii="Times New Roman" w:cs="Times New Roman" w:eastAsia="Times New Roman" w:hAnsi="Times New Roman"/>
          <w:sz w:val="17"/>
          <w:szCs w:val="17"/>
          <w:color w:val="auto"/>
        </w:rPr>
        <w:t>1.41  “</w:t>
      </w:r>
      <w:r>
        <w:rPr>
          <w:rFonts w:ascii="Times New Roman" w:cs="Times New Roman" w:eastAsia="Times New Roman" w:hAnsi="Times New Roman"/>
          <w:sz w:val="17"/>
          <w:szCs w:val="17"/>
          <w:u w:val="single" w:color="auto"/>
          <w:color w:val="auto"/>
        </w:rPr>
        <w:t>SBG Material Adverse Effect</w:t>
      </w:r>
      <w:r>
        <w:rPr>
          <w:rFonts w:ascii="Times New Roman" w:cs="Times New Roman" w:eastAsia="Times New Roman" w:hAnsi="Times New Roman"/>
          <w:sz w:val="17"/>
          <w:szCs w:val="17"/>
          <w:color w:val="auto"/>
        </w:rPr>
        <w:t>” means any change, event, claim, circumstance, matter or effect that, individually or in the aggregate with all other changes, events, claims, circumstances, matters and effects (collectively, “</w:t>
      </w:r>
      <w:r>
        <w:rPr>
          <w:rFonts w:ascii="Times New Roman" w:cs="Times New Roman" w:eastAsia="Times New Roman" w:hAnsi="Times New Roman"/>
          <w:sz w:val="17"/>
          <w:szCs w:val="17"/>
          <w:u w:val="single" w:color="auto"/>
          <w:color w:val="auto"/>
        </w:rPr>
        <w:t>Effects</w:t>
      </w:r>
      <w:r>
        <w:rPr>
          <w:rFonts w:ascii="Times New Roman" w:cs="Times New Roman" w:eastAsia="Times New Roman" w:hAnsi="Times New Roman"/>
          <w:sz w:val="17"/>
          <w:szCs w:val="17"/>
          <w:color w:val="auto"/>
        </w:rPr>
        <w:t>”) that is, or would reasonably be expected to be or become, materially adverse to (a) the ability of the SBG Shareholder to perform any of its covenants or obligations under this Agreement or any other Transaction Document or to consummate the transactions contemplated hereby or thereby in accordance with the terms of this Agreement or the other Transaction Documents or (b) the assets, operations, performance, results of operations or prospects of the SBG Shareholder.</w:t>
      </w:r>
    </w:p>
    <w:p>
      <w:pPr>
        <w:spacing w:after="0" w:line="171" w:lineRule="exact"/>
        <w:rPr>
          <w:sz w:val="20"/>
          <w:szCs w:val="20"/>
          <w:color w:val="auto"/>
        </w:rPr>
      </w:pPr>
    </w:p>
    <w:p>
      <w:pPr>
        <w:ind w:right="380" w:firstLine="426"/>
        <w:spacing w:after="0" w:line="276" w:lineRule="auto"/>
        <w:rPr>
          <w:sz w:val="20"/>
          <w:szCs w:val="20"/>
          <w:color w:val="auto"/>
        </w:rPr>
      </w:pPr>
      <w:r>
        <w:rPr>
          <w:rFonts w:ascii="Times New Roman" w:cs="Times New Roman" w:eastAsia="Times New Roman" w:hAnsi="Times New Roman"/>
          <w:sz w:val="17"/>
          <w:szCs w:val="17"/>
          <w:color w:val="auto"/>
        </w:rPr>
        <w:t>1.42  “</w:t>
      </w:r>
      <w:r>
        <w:rPr>
          <w:rFonts w:ascii="Times New Roman" w:cs="Times New Roman" w:eastAsia="Times New Roman" w:hAnsi="Times New Roman"/>
          <w:sz w:val="17"/>
          <w:szCs w:val="17"/>
          <w:u w:val="single" w:color="auto"/>
          <w:color w:val="auto"/>
        </w:rPr>
        <w:t>SBG Services Agreement</w:t>
      </w:r>
      <w:r>
        <w:rPr>
          <w:rFonts w:ascii="Times New Roman" w:cs="Times New Roman" w:eastAsia="Times New Roman" w:hAnsi="Times New Roman"/>
          <w:sz w:val="17"/>
          <w:szCs w:val="17"/>
          <w:color w:val="auto"/>
        </w:rPr>
        <w:t>” means the services agreement, dated as of the Effective Date, by and between the SBG Shareholder (or its designated Affiliates) and the Company pursuant to which the SBG Shareholder (or its designated Affiliates) shall provide certain services to the Company in connection with the Business.</w:t>
      </w:r>
    </w:p>
    <w:p>
      <w:pPr>
        <w:spacing w:after="0" w:line="162" w:lineRule="exact"/>
        <w:rPr>
          <w:sz w:val="20"/>
          <w:szCs w:val="20"/>
          <w:color w:val="auto"/>
        </w:rPr>
      </w:pPr>
    </w:p>
    <w:p>
      <w:pPr>
        <w:ind w:right="60" w:firstLine="426"/>
        <w:spacing w:after="0" w:line="295" w:lineRule="auto"/>
        <w:rPr>
          <w:sz w:val="20"/>
          <w:szCs w:val="20"/>
          <w:color w:val="auto"/>
        </w:rPr>
      </w:pPr>
      <w:r>
        <w:rPr>
          <w:rFonts w:ascii="Times New Roman" w:cs="Times New Roman" w:eastAsia="Times New Roman" w:hAnsi="Times New Roman"/>
          <w:sz w:val="17"/>
          <w:szCs w:val="17"/>
          <w:color w:val="auto"/>
        </w:rPr>
        <w:t>1.43  “</w:t>
      </w:r>
      <w:r>
        <w:rPr>
          <w:rFonts w:ascii="Times New Roman" w:cs="Times New Roman" w:eastAsia="Times New Roman" w:hAnsi="Times New Roman"/>
          <w:sz w:val="17"/>
          <w:szCs w:val="17"/>
          <w:u w:val="single" w:color="auto"/>
          <w:color w:val="auto"/>
        </w:rPr>
        <w:t>SBG Subscription Agreement</w:t>
      </w:r>
      <w:r>
        <w:rPr>
          <w:rFonts w:ascii="Times New Roman" w:cs="Times New Roman" w:eastAsia="Times New Roman" w:hAnsi="Times New Roman"/>
          <w:sz w:val="17"/>
          <w:szCs w:val="17"/>
          <w:color w:val="auto"/>
        </w:rPr>
        <w:t xml:space="preserve">” means the share subscription agreement, by and between the SBG Shareholder and the Company pursuant to which the SBG Shareholder shall subscribe for shares of Common Stock in accordance with </w:t>
      </w:r>
      <w:r>
        <w:rPr>
          <w:rFonts w:ascii="Times New Roman" w:cs="Times New Roman" w:eastAsia="Times New Roman" w:hAnsi="Times New Roman"/>
          <w:sz w:val="17"/>
          <w:szCs w:val="17"/>
          <w:u w:val="single" w:color="auto"/>
          <w:color w:val="auto"/>
        </w:rPr>
        <w:t>Section 6.1(a)(i)</w:t>
      </w:r>
      <w:r>
        <w:rPr>
          <w:rFonts w:ascii="Times New Roman" w:cs="Times New Roman" w:eastAsia="Times New Roman" w:hAnsi="Times New Roman"/>
          <w:sz w:val="17"/>
          <w:szCs w:val="17"/>
          <w:color w:val="auto"/>
        </w:rPr>
        <w:t xml:space="preserve">, in the form attached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640"/>
          </w:cols>
          <w:pgMar w:left="620" w:top="264" w:right="639" w:bottom="1440" w:gutter="0" w:footer="0" w:header="0"/>
        </w:sectPr>
      </w:pPr>
    </w:p>
    <w:bookmarkStart w:id="455" w:name="page456"/>
    <w:bookmarkEnd w:id="455"/>
    <w:p>
      <w:pPr>
        <w:ind w:left="8" w:right="6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1.44  “</w:t>
      </w:r>
      <w:r>
        <w:rPr>
          <w:rFonts w:ascii="Times New Roman" w:cs="Times New Roman" w:eastAsia="Times New Roman" w:hAnsi="Times New Roman"/>
          <w:sz w:val="17"/>
          <w:szCs w:val="17"/>
          <w:u w:val="single" w:color="auto"/>
          <w:color w:val="auto"/>
        </w:rPr>
        <w:t>Shareholders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Shareholder</w:t>
      </w:r>
      <w:r>
        <w:rPr>
          <w:rFonts w:ascii="Times New Roman" w:cs="Times New Roman" w:eastAsia="Times New Roman" w:hAnsi="Times New Roman"/>
          <w:sz w:val="17"/>
          <w:szCs w:val="17"/>
          <w:color w:val="auto"/>
        </w:rPr>
        <w:t>” means the Initial Shareholders and any other holder of Common Stock, Class A Stock or other new series or class of shares of the Company.</w:t>
      </w:r>
    </w:p>
    <w:p>
      <w:pPr>
        <w:spacing w:after="0" w:line="147" w:lineRule="exact"/>
        <w:rPr>
          <w:sz w:val="20"/>
          <w:szCs w:val="20"/>
          <w:color w:val="auto"/>
        </w:rPr>
      </w:pPr>
    </w:p>
    <w:p>
      <w:pPr>
        <w:jc w:val="both"/>
        <w:ind w:left="8" w:firstLine="426"/>
        <w:spacing w:after="0" w:line="269" w:lineRule="auto"/>
        <w:rPr>
          <w:sz w:val="20"/>
          <w:szCs w:val="20"/>
          <w:color w:val="auto"/>
        </w:rPr>
      </w:pPr>
      <w:r>
        <w:rPr>
          <w:rFonts w:ascii="Times New Roman" w:cs="Times New Roman" w:eastAsia="Times New Roman" w:hAnsi="Times New Roman"/>
          <w:sz w:val="17"/>
          <w:szCs w:val="17"/>
          <w:color w:val="auto"/>
        </w:rPr>
        <w:t>1.45  “</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any other Person of which at least a majority of (a) the securities or ownership interests of such other Person having by their terms ordinary voting power to elect a majority of the board of directors or other Persons performing similar functions or (b) the equity or ownership interests of such other Person, in each case, is directly or indirectly owned or controlled by such first Person and/or by one or more of its Subsidiaries.</w:t>
      </w:r>
    </w:p>
    <w:p>
      <w:pPr>
        <w:spacing w:after="0" w:line="16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1.46   “</w:t>
      </w:r>
      <w:r>
        <w:rPr>
          <w:rFonts w:ascii="Times New Roman" w:cs="Times New Roman" w:eastAsia="Times New Roman" w:hAnsi="Times New Roman"/>
          <w:sz w:val="17"/>
          <w:szCs w:val="17"/>
          <w:u w:val="single" w:color="auto"/>
          <w:color w:val="auto"/>
        </w:rPr>
        <w:t>Technology</w:t>
      </w:r>
      <w:r>
        <w:rPr>
          <w:rFonts w:ascii="Times New Roman" w:cs="Times New Roman" w:eastAsia="Times New Roman" w:hAnsi="Times New Roman"/>
          <w:sz w:val="17"/>
          <w:szCs w:val="17"/>
          <w:color w:val="auto"/>
        </w:rPr>
        <w:t>” has the meaning set forth in the IP License Agreement.</w:t>
      </w:r>
    </w:p>
    <w:p>
      <w:pPr>
        <w:spacing w:after="0" w:line="223" w:lineRule="exact"/>
        <w:rPr>
          <w:sz w:val="20"/>
          <w:szCs w:val="20"/>
          <w:color w:val="auto"/>
        </w:rPr>
      </w:pPr>
    </w:p>
    <w:p>
      <w:pPr>
        <w:ind w:left="8" w:firstLine="426"/>
        <w:spacing w:after="0" w:line="276" w:lineRule="auto"/>
        <w:rPr>
          <w:sz w:val="20"/>
          <w:szCs w:val="20"/>
          <w:color w:val="auto"/>
        </w:rPr>
      </w:pPr>
      <w:r>
        <w:rPr>
          <w:rFonts w:ascii="Times New Roman" w:cs="Times New Roman" w:eastAsia="Times New Roman" w:hAnsi="Times New Roman"/>
          <w:sz w:val="17"/>
          <w:szCs w:val="17"/>
          <w:color w:val="auto"/>
        </w:rPr>
        <w:t>1.47  “</w:t>
      </w:r>
      <w:r>
        <w:rPr>
          <w:rFonts w:ascii="Times New Roman" w:cs="Times New Roman" w:eastAsia="Times New Roman" w:hAnsi="Times New Roman"/>
          <w:sz w:val="17"/>
          <w:szCs w:val="17"/>
          <w:u w:val="single" w:color="auto"/>
          <w:color w:val="auto"/>
        </w:rPr>
        <w:t>Tempus Class A Stock Subscription Agreement</w:t>
      </w:r>
      <w:r>
        <w:rPr>
          <w:rFonts w:ascii="Times New Roman" w:cs="Times New Roman" w:eastAsia="Times New Roman" w:hAnsi="Times New Roman"/>
          <w:sz w:val="17"/>
          <w:szCs w:val="17"/>
          <w:color w:val="auto"/>
        </w:rPr>
        <w:t xml:space="preserve">” means the share subscription agreement, by and between the Tempus Shareholder and the Company pursuant to which the Tempus Shareholder shall subscribe for shares of Class A Stock in accordance with </w:t>
      </w:r>
      <w:r>
        <w:rPr>
          <w:rFonts w:ascii="Times New Roman" w:cs="Times New Roman" w:eastAsia="Times New Roman" w:hAnsi="Times New Roman"/>
          <w:sz w:val="17"/>
          <w:szCs w:val="17"/>
          <w:u w:val="single" w:color="auto"/>
          <w:color w:val="auto"/>
        </w:rPr>
        <w:t>Section 6.1(a)(iii)</w:t>
      </w:r>
      <w:r>
        <w:rPr>
          <w:rFonts w:ascii="Times New Roman" w:cs="Times New Roman" w:eastAsia="Times New Roman" w:hAnsi="Times New Roman"/>
          <w:sz w:val="17"/>
          <w:szCs w:val="17"/>
          <w:color w:val="auto"/>
        </w:rPr>
        <w:t xml:space="preserve">, in the form attached as </w:t>
      </w:r>
      <w:r>
        <w:rPr>
          <w:rFonts w:ascii="Times New Roman" w:cs="Times New Roman" w:eastAsia="Times New Roman" w:hAnsi="Times New Roman"/>
          <w:sz w:val="17"/>
          <w:szCs w:val="17"/>
          <w:u w:val="single" w:color="auto"/>
          <w:color w:val="auto"/>
        </w:rPr>
        <w:t>Exhibit D-2</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8" w:right="120" w:firstLine="426"/>
        <w:spacing w:after="0" w:line="276" w:lineRule="auto"/>
        <w:rPr>
          <w:sz w:val="20"/>
          <w:szCs w:val="20"/>
          <w:color w:val="auto"/>
        </w:rPr>
      </w:pPr>
      <w:r>
        <w:rPr>
          <w:rFonts w:ascii="Times New Roman" w:cs="Times New Roman" w:eastAsia="Times New Roman" w:hAnsi="Times New Roman"/>
          <w:sz w:val="17"/>
          <w:szCs w:val="17"/>
          <w:color w:val="auto"/>
        </w:rPr>
        <w:t>1.48  “</w:t>
      </w:r>
      <w:r>
        <w:rPr>
          <w:rFonts w:ascii="Times New Roman" w:cs="Times New Roman" w:eastAsia="Times New Roman" w:hAnsi="Times New Roman"/>
          <w:sz w:val="17"/>
          <w:szCs w:val="17"/>
          <w:u w:val="single" w:color="auto"/>
          <w:color w:val="auto"/>
        </w:rPr>
        <w:t>Tempus Common Stock Subscription Agreement</w:t>
      </w:r>
      <w:r>
        <w:rPr>
          <w:rFonts w:ascii="Times New Roman" w:cs="Times New Roman" w:eastAsia="Times New Roman" w:hAnsi="Times New Roman"/>
          <w:sz w:val="17"/>
          <w:szCs w:val="17"/>
          <w:color w:val="auto"/>
        </w:rPr>
        <w:t xml:space="preserve">” means the share subscription agreement, by and between the Tempus Shareholder and the Company pursuant to which the Tempus Shareholder shall subscribe for shares of Common Stock in accordance with </w:t>
      </w:r>
      <w:r>
        <w:rPr>
          <w:rFonts w:ascii="Times New Roman" w:cs="Times New Roman" w:eastAsia="Times New Roman" w:hAnsi="Times New Roman"/>
          <w:sz w:val="17"/>
          <w:szCs w:val="17"/>
          <w:u w:val="single" w:color="auto"/>
          <w:color w:val="auto"/>
        </w:rPr>
        <w:t>Section 6.1(a)(ii)</w:t>
      </w:r>
      <w:r>
        <w:rPr>
          <w:rFonts w:ascii="Times New Roman" w:cs="Times New Roman" w:eastAsia="Times New Roman" w:hAnsi="Times New Roman"/>
          <w:sz w:val="17"/>
          <w:szCs w:val="17"/>
          <w:color w:val="auto"/>
        </w:rPr>
        <w:t xml:space="preserve">, in the form attached as </w:t>
      </w:r>
      <w:r>
        <w:rPr>
          <w:rFonts w:ascii="Times New Roman" w:cs="Times New Roman" w:eastAsia="Times New Roman" w:hAnsi="Times New Roman"/>
          <w:sz w:val="17"/>
          <w:szCs w:val="17"/>
          <w:u w:val="single" w:color="auto"/>
          <w:color w:val="auto"/>
        </w:rPr>
        <w:t>Exhibit D-1</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8" w:right="20" w:firstLine="426"/>
        <w:spacing w:after="0" w:line="264" w:lineRule="auto"/>
        <w:rPr>
          <w:sz w:val="20"/>
          <w:szCs w:val="20"/>
          <w:color w:val="auto"/>
        </w:rPr>
      </w:pPr>
      <w:r>
        <w:rPr>
          <w:rFonts w:ascii="Times New Roman" w:cs="Times New Roman" w:eastAsia="Times New Roman" w:hAnsi="Times New Roman"/>
          <w:sz w:val="17"/>
          <w:szCs w:val="17"/>
          <w:color w:val="auto"/>
        </w:rPr>
        <w:t>1.49  “</w:t>
      </w:r>
      <w:r>
        <w:rPr>
          <w:rFonts w:ascii="Times New Roman" w:cs="Times New Roman" w:eastAsia="Times New Roman" w:hAnsi="Times New Roman"/>
          <w:sz w:val="17"/>
          <w:szCs w:val="17"/>
          <w:u w:val="single" w:color="auto"/>
          <w:color w:val="auto"/>
        </w:rPr>
        <w:t>Tempus Material Adverse Effect</w:t>
      </w:r>
      <w:r>
        <w:rPr>
          <w:rFonts w:ascii="Times New Roman" w:cs="Times New Roman" w:eastAsia="Times New Roman" w:hAnsi="Times New Roman"/>
          <w:sz w:val="17"/>
          <w:szCs w:val="17"/>
          <w:color w:val="auto"/>
        </w:rPr>
        <w:t>” means any Effect that is, or would reasonably be expected to be or become, materially adverse to (a) the ability of the Tempus Shareholder to perform any of its covenants or obligations under this Agreement or any other Transaction Document or to consummate the transactions contemplated hereby or thereby in accordance with the terms of this Agreement or the other Transaction Documents or</w:t>
      </w:r>
    </w:p>
    <w:p>
      <w:pPr>
        <w:ind w:left="8" w:right="260" w:hanging="8"/>
        <w:spacing w:after="0" w:line="273" w:lineRule="auto"/>
        <w:tabs>
          <w:tab w:leader="none" w:pos="25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assets (including intangible assets such as the Tempus Technology), operations, performance, results of operations or prospects of the Tempus Shareholder.</w:t>
      </w:r>
    </w:p>
    <w:p>
      <w:pPr>
        <w:spacing w:after="0" w:line="164" w:lineRule="exact"/>
        <w:rPr>
          <w:sz w:val="20"/>
          <w:szCs w:val="20"/>
          <w:color w:val="auto"/>
        </w:rPr>
      </w:pPr>
    </w:p>
    <w:p>
      <w:pPr>
        <w:ind w:left="8" w:right="120" w:firstLine="426"/>
        <w:spacing w:after="0" w:line="295" w:lineRule="auto"/>
        <w:rPr>
          <w:sz w:val="20"/>
          <w:szCs w:val="20"/>
          <w:color w:val="auto"/>
        </w:rPr>
      </w:pPr>
      <w:r>
        <w:rPr>
          <w:rFonts w:ascii="Times New Roman" w:cs="Times New Roman" w:eastAsia="Times New Roman" w:hAnsi="Times New Roman"/>
          <w:sz w:val="17"/>
          <w:szCs w:val="17"/>
          <w:color w:val="auto"/>
        </w:rPr>
        <w:t>1.50  “</w:t>
      </w:r>
      <w:r>
        <w:rPr>
          <w:rFonts w:ascii="Times New Roman" w:cs="Times New Roman" w:eastAsia="Times New Roman" w:hAnsi="Times New Roman"/>
          <w:sz w:val="17"/>
          <w:szCs w:val="17"/>
          <w:u w:val="single" w:color="auto"/>
          <w:color w:val="auto"/>
        </w:rPr>
        <w:t>Tempus Services Agreement</w:t>
      </w:r>
      <w:r>
        <w:rPr>
          <w:rFonts w:ascii="Times New Roman" w:cs="Times New Roman" w:eastAsia="Times New Roman" w:hAnsi="Times New Roman"/>
          <w:sz w:val="17"/>
          <w:szCs w:val="17"/>
          <w:color w:val="auto"/>
        </w:rPr>
        <w:t>” means the services agreement, dated as of the Effective Date, by and between the Tempus Shareholder and the Company pursuant to which the Tempus Shareholder shall provide certain services to the Company in connection with the Business.</w:t>
      </w:r>
    </w:p>
    <w:p>
      <w:pPr>
        <w:spacing w:after="0" w:line="14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1.51   “</w:t>
      </w:r>
      <w:r>
        <w:rPr>
          <w:rFonts w:ascii="Times New Roman" w:cs="Times New Roman" w:eastAsia="Times New Roman" w:hAnsi="Times New Roman"/>
          <w:sz w:val="17"/>
          <w:szCs w:val="17"/>
          <w:u w:val="single" w:color="auto"/>
          <w:color w:val="auto"/>
        </w:rPr>
        <w:t>Tempus Technology</w:t>
      </w:r>
      <w:r>
        <w:rPr>
          <w:rFonts w:ascii="Times New Roman" w:cs="Times New Roman" w:eastAsia="Times New Roman" w:hAnsi="Times New Roman"/>
          <w:sz w:val="17"/>
          <w:szCs w:val="17"/>
          <w:color w:val="auto"/>
        </w:rPr>
        <w:t>” has the meaning set forth in the IP License Agreement.</w:t>
      </w:r>
    </w:p>
    <w:p>
      <w:pPr>
        <w:spacing w:after="0" w:line="223" w:lineRule="exact"/>
        <w:rPr>
          <w:sz w:val="20"/>
          <w:szCs w:val="20"/>
          <w:color w:val="auto"/>
        </w:rPr>
      </w:pPr>
    </w:p>
    <w:p>
      <w:pPr>
        <w:ind w:left="8" w:right="100" w:firstLine="426"/>
        <w:spacing w:after="0" w:line="269" w:lineRule="auto"/>
        <w:rPr>
          <w:sz w:val="20"/>
          <w:szCs w:val="20"/>
          <w:color w:val="auto"/>
        </w:rPr>
      </w:pPr>
      <w:r>
        <w:rPr>
          <w:rFonts w:ascii="Times New Roman" w:cs="Times New Roman" w:eastAsia="Times New Roman" w:hAnsi="Times New Roman"/>
          <w:sz w:val="17"/>
          <w:szCs w:val="17"/>
          <w:color w:val="auto"/>
        </w:rPr>
        <w:t>1.52  “</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means this Agreement, the Tempus Services Agreement, the SBG Services Agreement, the IP License Agreement, the Data License Agreement, the Articles, the SBG Brand License Agreement, the SBG Subscription Agreement, the Tempus Common Stock Subscription Agreement, the Tempus Class A Stock Subscription Agreement, and all other agreements and certificates executed and delivered by or on behalf of the parties hereto in connection with this Agreement or any of the transactions contemplated hereby or thereby.</w:t>
      </w:r>
    </w:p>
    <w:p>
      <w:pPr>
        <w:spacing w:after="0" w:line="169" w:lineRule="exact"/>
        <w:rPr>
          <w:sz w:val="20"/>
          <w:szCs w:val="20"/>
          <w:color w:val="auto"/>
        </w:rPr>
      </w:pPr>
    </w:p>
    <w:p>
      <w:pPr>
        <w:jc w:val="both"/>
        <w:ind w:left="8" w:right="140" w:firstLine="426"/>
        <w:spacing w:after="0" w:line="276" w:lineRule="auto"/>
        <w:rPr>
          <w:sz w:val="20"/>
          <w:szCs w:val="20"/>
          <w:color w:val="auto"/>
        </w:rPr>
      </w:pPr>
      <w:r>
        <w:rPr>
          <w:rFonts w:ascii="Times New Roman" w:cs="Times New Roman" w:eastAsia="Times New Roman" w:hAnsi="Times New Roman"/>
          <w:sz w:val="17"/>
          <w:szCs w:val="17"/>
          <w:color w:val="auto"/>
        </w:rPr>
        <w:t>1.53 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 to, directly or indirectly, sell, transfer, gift, assign, transfer any interest in trust, mortgage, alienate, hypothecate, pledge, encumber, grant a security interest in, or suffer to exist (whether by operation of Law or otherwise) any Lien on, any Company Securities or any right, title or interest therein or otherwise dispose of in any manner whatsoever voluntarily or involuntarily.</w:t>
      </w:r>
    </w:p>
    <w:p>
      <w:pPr>
        <w:spacing w:after="0" w:line="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48"/>
          </w:cols>
          <w:pgMar w:left="612" w:top="265" w:right="63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1.54   “</w:t>
      </w:r>
      <w:r>
        <w:rPr>
          <w:rFonts w:ascii="Times New Roman" w:cs="Times New Roman" w:eastAsia="Times New Roman" w:hAnsi="Times New Roman"/>
          <w:sz w:val="17"/>
          <w:szCs w:val="17"/>
          <w:u w:val="single" w:color="auto"/>
          <w:color w:val="auto"/>
        </w:rPr>
        <w:t>US GAAP</w:t>
      </w:r>
      <w:r>
        <w:rPr>
          <w:rFonts w:ascii="Times New Roman" w:cs="Times New Roman" w:eastAsia="Times New Roman" w:hAnsi="Times New Roman"/>
          <w:sz w:val="17"/>
          <w:szCs w:val="17"/>
          <w:color w:val="auto"/>
        </w:rPr>
        <w:t>” means generally accepted accounting principles of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terms have the meanings set forth in the Sections set forth below:</w:t>
      </w:r>
    </w:p>
    <w:p>
      <w:pPr>
        <w:spacing w:after="0" w:line="245" w:lineRule="exact"/>
        <w:rPr>
          <w:sz w:val="20"/>
          <w:szCs w:val="20"/>
          <w:color w:val="auto"/>
        </w:rPr>
      </w:pPr>
    </w:p>
    <w:tbl>
      <w:tblPr>
        <w:tblLayout w:type="fixed"/>
        <w:tblInd w:w="1280" w:type="dxa"/>
        <w:tblCellMar>
          <w:top w:w="0" w:type="dxa"/>
          <w:left w:w="0" w:type="dxa"/>
          <w:bottom w:w="0" w:type="dxa"/>
          <w:right w:w="0" w:type="dxa"/>
        </w:tblCellMar>
      </w:tblPr>
      <w:tr>
        <w:trPr>
          <w:trHeight w:val="166"/>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Debt Financing</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6.2(g)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Funding</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6.2(b)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Funding Notice</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6.2(c)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Funding Shortfall Amount</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6.2(e)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Funding Shortfall Exercise Notice</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6.2(f)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Funding Shortfall Notice</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6.2(e)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In-Kind Contribution</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6.2(j)</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Agreement</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Preamble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Arbitrator</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14.4(b)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Business Plan</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7.13(c)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CEO Resolution Period</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7.12(b)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CFIUS Declaration</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5.2(a)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CFIUS Notice</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5.2(a)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Closing Cash Amount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 Date</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Register</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6.1(c)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Preamble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Auditing Firm</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7.14(c)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Confidential Information</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14.8(a)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Consolidation Option</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8.4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Consolidation Option Notice</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Consolidation Option Notice Date</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8.4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control</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Controlled Person</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Controlling Interest</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Damages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14.2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Data Protection Laws</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11.6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 Support</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9.5(a)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Data Support Business Opportunity</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9.5(b)(i)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 Support Business Opportunity ROFR</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9.5(b)(iii)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Data Support Business Opportunity ROFR Exercise Notice</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9.5(b)(iii)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 Support Business Opportunity ROFR Notice</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9.5(b)(i)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Data Support Business Opportunity ROFR Period</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9.5(b)(iii)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Deadlock Matter</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7.12(a)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Effective Date</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Preamble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1.41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 Incentive Plan</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7.16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6560" w:type="dxa"/>
            <w:vAlign w:val="bottom"/>
            <w:gridSpan w:val="3"/>
          </w:tcPr>
          <w:p>
            <w:pPr>
              <w:jc w:val="right"/>
              <w:ind w:right="2900"/>
              <w:spacing w:after="0"/>
              <w:rPr>
                <w:sz w:val="20"/>
                <w:szCs w:val="20"/>
                <w:color w:val="auto"/>
              </w:rPr>
            </w:pPr>
            <w:r>
              <w:rPr>
                <w:rFonts w:ascii="Times New Roman" w:cs="Times New Roman" w:eastAsia="Times New Roman" w:hAnsi="Times New Roman"/>
                <w:sz w:val="17"/>
                <w:szCs w:val="17"/>
                <w:color w:val="auto"/>
              </w:rPr>
              <w:t>8</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19"/>
          </w:cols>
          <w:pgMar w:left="1040" w:top="264" w:right="1440" w:bottom="1440" w:gutter="0" w:footer="0" w:header="0"/>
        </w:sectPr>
      </w:pPr>
    </w:p>
    <w:bookmarkStart w:id="457" w:name="page458"/>
    <w:bookmarkEnd w:id="4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166"/>
        </w:trPr>
        <w:tc>
          <w:tcPr>
            <w:tcW w:w="3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Notice</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6.2(d)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Exercising Initial Shareholder</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6.2(e)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Expert</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7.12(c)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Fair Market Value</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FEFTA Notification</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4.2(a)(ii)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Fiscal Year</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7.14(a)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Former Shareholder</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14.8(c)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HIPAA</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11.6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In-Kind Contribution Determination Date</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6.2(j)</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Indemnified Party</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14.2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Indemnifying Party</w:t>
            </w:r>
          </w:p>
        </w:tc>
        <w:tc>
          <w:tcPr>
            <w:tcW w:w="3480" w:type="dxa"/>
            <w:vAlign w:val="bottom"/>
            <w:gridSpan w:val="2"/>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14.2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Independent Appraiser</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India JV</w:t>
            </w:r>
          </w:p>
        </w:tc>
        <w:tc>
          <w:tcPr>
            <w:tcW w:w="3480" w:type="dxa"/>
            <w:vAlign w:val="bottom"/>
            <w:gridSpan w:val="2"/>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9.4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Business Plan</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7.13(a)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Shareholder</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w w:val="99"/>
              </w:rPr>
              <w:t>Preamble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Joinder Agreement</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14.22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Fees</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6.1(d)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Lock-in Period</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 Stop Date</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13.2(b)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 Stop Termination Effective Date</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13.7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Product Offering Updates</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7.13(e)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Product Offerings</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7.13(e)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Outside JV</w:t>
            </w:r>
          </w:p>
        </w:tc>
        <w:tc>
          <w:tcPr>
            <w:tcW w:w="3480" w:type="dxa"/>
            <w:vAlign w:val="bottom"/>
            <w:gridSpan w:val="2"/>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Outside JV Consultation Right</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Outside JV Election</w:t>
            </w:r>
          </w:p>
        </w:tc>
        <w:tc>
          <w:tcPr>
            <w:tcW w:w="3480" w:type="dxa"/>
            <w:vAlign w:val="bottom"/>
            <w:gridSpan w:val="2"/>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Outside JV Negotiation Period</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9.3(a)(i)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Outside JV Notice</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9.3(a)(i)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Outside JV ROFR</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Outside JV ROFR Exercise Notice</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9.3(b)(ii)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Outside JV ROFR Exercise Period</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9.3(b)(ii)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Outside JV ROFR Notice</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9.5(b)(i)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Outside JV ROFR Period</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9.3(b)(ii)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Pre-closing Fees</w:t>
            </w:r>
          </w:p>
        </w:tc>
        <w:tc>
          <w:tcPr>
            <w:tcW w:w="3480" w:type="dxa"/>
            <w:vAlign w:val="bottom"/>
            <w:gridSpan w:val="2"/>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13.7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ROFR Election Notice</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8.2(c)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ROFR Securities</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8.2(b)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SBG Class A Shareholder</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w w:val="99"/>
              </w:rPr>
              <w:t>Preamble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SBG Directors</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7.2(b)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SBG Shareholder</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w w:val="99"/>
              </w:rPr>
              <w:t>Preamble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SBG Shareholder Class A Purchase Price</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6.1(b)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SBG Shareholder Class A Shares</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6.1(b)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SBG Shareholder Common Shares</w:t>
            </w:r>
          </w:p>
        </w:tc>
        <w:tc>
          <w:tcPr>
            <w:tcW w:w="3720" w:type="dxa"/>
            <w:vAlign w:val="bottom"/>
            <w:gridSpan w:val="3"/>
          </w:tcPr>
          <w:p>
            <w:pPr>
              <w:ind w:left="3060"/>
              <w:spacing w:after="0"/>
              <w:rPr>
                <w:sz w:val="20"/>
                <w:szCs w:val="20"/>
                <w:color w:val="auto"/>
              </w:rPr>
            </w:pPr>
            <w:r>
              <w:rPr>
                <w:rFonts w:ascii="Times New Roman" w:cs="Times New Roman" w:eastAsia="Times New Roman" w:hAnsi="Times New Roman"/>
                <w:sz w:val="17"/>
                <w:szCs w:val="17"/>
                <w:color w:val="auto"/>
              </w:rPr>
              <w:t>6.1(a)(i)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SBG Shareholder Common Subscription Amount</w:t>
            </w:r>
          </w:p>
        </w:tc>
        <w:tc>
          <w:tcPr>
            <w:tcW w:w="3720" w:type="dxa"/>
            <w:vAlign w:val="bottom"/>
            <w:gridSpan w:val="3"/>
            <w:shd w:val="clear" w:color="auto" w:fill="CCEEFF"/>
          </w:tcPr>
          <w:p>
            <w:pPr>
              <w:ind w:left="3060"/>
              <w:spacing w:after="0"/>
              <w:rPr>
                <w:sz w:val="20"/>
                <w:szCs w:val="20"/>
                <w:color w:val="auto"/>
              </w:rPr>
            </w:pPr>
            <w:r>
              <w:rPr>
                <w:rFonts w:ascii="Times New Roman" w:cs="Times New Roman" w:eastAsia="Times New Roman" w:hAnsi="Times New Roman"/>
                <w:sz w:val="17"/>
                <w:szCs w:val="17"/>
                <w:color w:val="auto"/>
              </w:rPr>
              <w:t>6.1(a)(i)</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SBG Shareholder Existing Shares</w:t>
            </w:r>
          </w:p>
        </w:tc>
        <w:tc>
          <w:tcPr>
            <w:tcW w:w="3480" w:type="dxa"/>
            <w:vAlign w:val="bottom"/>
            <w:gridSpan w:val="2"/>
          </w:tcPr>
          <w:p>
            <w:pPr>
              <w:ind w:left="3060"/>
              <w:spacing w:after="0"/>
              <w:rPr>
                <w:sz w:val="20"/>
                <w:szCs w:val="20"/>
                <w:color w:val="auto"/>
              </w:rPr>
            </w:pPr>
            <w:r>
              <w:rPr>
                <w:rFonts w:ascii="Times New Roman" w:cs="Times New Roman" w:eastAsia="Times New Roman" w:hAnsi="Times New Roman"/>
                <w:sz w:val="17"/>
                <w:szCs w:val="17"/>
                <w:color w:val="auto"/>
              </w:rPr>
              <w:t>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9</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1" w:right="1440" w:bottom="1440" w:gutter="0" w:footer="0" w:header="0"/>
        </w:sectPr>
      </w:pPr>
    </w:p>
    <w:bookmarkStart w:id="458" w:name="page459"/>
    <w:bookmarkEnd w:id="4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1700" w:type="dxa"/>
        <w:tblCellMar>
          <w:top w:w="0" w:type="dxa"/>
          <w:left w:w="0" w:type="dxa"/>
          <w:bottom w:w="0" w:type="dxa"/>
          <w:right w:w="0" w:type="dxa"/>
        </w:tblCellMar>
      </w:tblPr>
      <w:tr>
        <w:trPr>
          <w:trHeight w:val="166"/>
        </w:trPr>
        <w:tc>
          <w:tcPr>
            <w:tcW w:w="5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w:t>
            </w:r>
          </w:p>
        </w:tc>
        <w:tc>
          <w:tcPr>
            <w:tcW w:w="2120" w:type="dxa"/>
            <w:vAlign w:val="bottom"/>
            <w:gridSpan w:val="3"/>
          </w:tcPr>
          <w:p>
            <w:pPr>
              <w:ind w:left="1440"/>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Executive Resolution Period</w:t>
            </w:r>
          </w:p>
        </w:tc>
        <w:tc>
          <w:tcPr>
            <w:tcW w:w="2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7.12(a)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 Register</w:t>
            </w:r>
          </w:p>
        </w:tc>
        <w:tc>
          <w:tcPr>
            <w:tcW w:w="2120" w:type="dxa"/>
            <w:vAlign w:val="bottom"/>
            <w:gridSpan w:val="3"/>
          </w:tcPr>
          <w:p>
            <w:pPr>
              <w:ind w:left="1440"/>
              <w:spacing w:after="0"/>
              <w:rPr>
                <w:sz w:val="20"/>
                <w:szCs w:val="20"/>
                <w:color w:val="auto"/>
              </w:rPr>
            </w:pPr>
            <w:r>
              <w:rPr>
                <w:rFonts w:ascii="Times New Roman" w:cs="Times New Roman" w:eastAsia="Times New Roman" w:hAnsi="Times New Roman"/>
                <w:sz w:val="17"/>
                <w:szCs w:val="17"/>
                <w:color w:val="auto"/>
              </w:rPr>
              <w:t>6.1(c)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 Reserved Matters</w:t>
            </w:r>
          </w:p>
        </w:tc>
        <w:tc>
          <w:tcPr>
            <w:tcW w:w="2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7.11(a)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SIAC</w:t>
            </w:r>
          </w:p>
        </w:tc>
        <w:tc>
          <w:tcPr>
            <w:tcW w:w="2120" w:type="dxa"/>
            <w:vAlign w:val="bottom"/>
            <w:gridSpan w:val="3"/>
          </w:tcPr>
          <w:p>
            <w:pPr>
              <w:ind w:left="1440"/>
              <w:spacing w:after="0"/>
              <w:rPr>
                <w:sz w:val="20"/>
                <w:szCs w:val="20"/>
                <w:color w:val="auto"/>
              </w:rPr>
            </w:pPr>
            <w:r>
              <w:rPr>
                <w:rFonts w:ascii="Times New Roman" w:cs="Times New Roman" w:eastAsia="Times New Roman" w:hAnsi="Times New Roman"/>
                <w:sz w:val="17"/>
                <w:szCs w:val="17"/>
                <w:color w:val="auto"/>
              </w:rPr>
              <w:t>14.4(a)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SPV</w:t>
            </w:r>
          </w:p>
        </w:tc>
        <w:tc>
          <w:tcPr>
            <w:tcW w:w="18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8.5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Tempus Directors</w:t>
            </w:r>
          </w:p>
        </w:tc>
        <w:tc>
          <w:tcPr>
            <w:tcW w:w="2120" w:type="dxa"/>
            <w:vAlign w:val="bottom"/>
            <w:gridSpan w:val="3"/>
          </w:tcPr>
          <w:p>
            <w:pPr>
              <w:ind w:left="1440"/>
              <w:spacing w:after="0"/>
              <w:rPr>
                <w:sz w:val="20"/>
                <w:szCs w:val="20"/>
                <w:color w:val="auto"/>
              </w:rPr>
            </w:pPr>
            <w:r>
              <w:rPr>
                <w:rFonts w:ascii="Times New Roman" w:cs="Times New Roman" w:eastAsia="Times New Roman" w:hAnsi="Times New Roman"/>
                <w:sz w:val="17"/>
                <w:szCs w:val="17"/>
                <w:color w:val="auto"/>
              </w:rPr>
              <w:t>7.2(b)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Tempus Shareholder</w:t>
            </w:r>
          </w:p>
        </w:tc>
        <w:tc>
          <w:tcPr>
            <w:tcW w:w="2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Preamble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Tempus Shareholder Class A Shares</w:t>
            </w:r>
          </w:p>
        </w:tc>
        <w:tc>
          <w:tcPr>
            <w:tcW w:w="2120" w:type="dxa"/>
            <w:vAlign w:val="bottom"/>
            <w:gridSpan w:val="3"/>
          </w:tcPr>
          <w:p>
            <w:pPr>
              <w:ind w:left="1440"/>
              <w:spacing w:after="0"/>
              <w:rPr>
                <w:sz w:val="20"/>
                <w:szCs w:val="20"/>
                <w:color w:val="auto"/>
              </w:rPr>
            </w:pPr>
            <w:r>
              <w:rPr>
                <w:rFonts w:ascii="Times New Roman" w:cs="Times New Roman" w:eastAsia="Times New Roman" w:hAnsi="Times New Roman"/>
                <w:sz w:val="17"/>
                <w:szCs w:val="17"/>
                <w:color w:val="auto"/>
              </w:rPr>
              <w:t>6.1(a)(iii)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Tempus Shareholder Class A Subscription Amount</w:t>
            </w:r>
          </w:p>
        </w:tc>
        <w:tc>
          <w:tcPr>
            <w:tcW w:w="2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6.1(a)(iii)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Tempus Shareholder Common Shares</w:t>
            </w:r>
          </w:p>
        </w:tc>
        <w:tc>
          <w:tcPr>
            <w:tcW w:w="2120" w:type="dxa"/>
            <w:vAlign w:val="bottom"/>
            <w:gridSpan w:val="3"/>
          </w:tcPr>
          <w:p>
            <w:pPr>
              <w:ind w:left="1440"/>
              <w:spacing w:after="0"/>
              <w:rPr>
                <w:sz w:val="20"/>
                <w:szCs w:val="20"/>
                <w:color w:val="auto"/>
              </w:rPr>
            </w:pPr>
            <w:r>
              <w:rPr>
                <w:rFonts w:ascii="Times New Roman" w:cs="Times New Roman" w:eastAsia="Times New Roman" w:hAnsi="Times New Roman"/>
                <w:sz w:val="17"/>
                <w:szCs w:val="17"/>
                <w:color w:val="auto"/>
              </w:rPr>
              <w:t>6.1(a)(ii)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Tempus Shareholder Common Subscription Amount</w:t>
            </w:r>
          </w:p>
        </w:tc>
        <w:tc>
          <w:tcPr>
            <w:tcW w:w="2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6.1(a)(ii)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Third-Party Data Support Agreement</w:t>
            </w:r>
          </w:p>
        </w:tc>
        <w:tc>
          <w:tcPr>
            <w:tcW w:w="2120" w:type="dxa"/>
            <w:vAlign w:val="bottom"/>
            <w:gridSpan w:val="3"/>
          </w:tcPr>
          <w:p>
            <w:pPr>
              <w:ind w:left="1440"/>
              <w:spacing w:after="0"/>
              <w:rPr>
                <w:sz w:val="20"/>
                <w:szCs w:val="20"/>
                <w:color w:val="auto"/>
              </w:rPr>
            </w:pPr>
            <w:r>
              <w:rPr>
                <w:rFonts w:ascii="Times New Roman" w:cs="Times New Roman" w:eastAsia="Times New Roman" w:hAnsi="Times New Roman"/>
                <w:sz w:val="17"/>
                <w:szCs w:val="17"/>
                <w:color w:val="auto"/>
              </w:rPr>
              <w:t>9.5(b)(i)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Third-Party Outside JV Term Sheet</w:t>
            </w:r>
          </w:p>
        </w:tc>
        <w:tc>
          <w:tcPr>
            <w:tcW w:w="2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9.3(b)(i)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Additional Funding Amount</w:t>
            </w:r>
          </w:p>
        </w:tc>
        <w:tc>
          <w:tcPr>
            <w:tcW w:w="2120" w:type="dxa"/>
            <w:vAlign w:val="bottom"/>
            <w:gridSpan w:val="3"/>
          </w:tcPr>
          <w:p>
            <w:pPr>
              <w:ind w:left="1440"/>
              <w:spacing w:after="0"/>
              <w:rPr>
                <w:sz w:val="20"/>
                <w:szCs w:val="20"/>
                <w:color w:val="auto"/>
              </w:rPr>
            </w:pPr>
            <w:r>
              <w:rPr>
                <w:rFonts w:ascii="Times New Roman" w:cs="Times New Roman" w:eastAsia="Times New Roman" w:hAnsi="Times New Roman"/>
                <w:sz w:val="17"/>
                <w:szCs w:val="17"/>
                <w:color w:val="auto"/>
              </w:rPr>
              <w:t>6.2(b)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Notice</w:t>
            </w:r>
          </w:p>
        </w:tc>
        <w:tc>
          <w:tcPr>
            <w:tcW w:w="2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8.2(b)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Transferring Shareholder</w:t>
            </w:r>
          </w:p>
        </w:tc>
        <w:tc>
          <w:tcPr>
            <w:tcW w:w="2120" w:type="dxa"/>
            <w:vAlign w:val="bottom"/>
            <w:gridSpan w:val="3"/>
          </w:tcPr>
          <w:p>
            <w:pPr>
              <w:ind w:left="1440"/>
              <w:spacing w:after="0"/>
              <w:rPr>
                <w:sz w:val="20"/>
                <w:szCs w:val="20"/>
                <w:color w:val="auto"/>
              </w:rPr>
            </w:pPr>
            <w:r>
              <w:rPr>
                <w:rFonts w:ascii="Times New Roman" w:cs="Times New Roman" w:eastAsia="Times New Roman" w:hAnsi="Times New Roman"/>
                <w:sz w:val="17"/>
                <w:szCs w:val="17"/>
                <w:color w:val="auto"/>
              </w:rPr>
              <w:t>8.2(b)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Opinion</w:t>
            </w:r>
          </w:p>
        </w:tc>
        <w:tc>
          <w:tcPr>
            <w:tcW w:w="21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4.3(e)</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Purpose of Joint Venture</w:t>
      </w:r>
    </w:p>
    <w:p>
      <w:pPr>
        <w:spacing w:after="0" w:line="120" w:lineRule="exact"/>
        <w:rPr>
          <w:sz w:val="20"/>
          <w:szCs w:val="20"/>
          <w:color w:val="auto"/>
        </w:rPr>
      </w:pPr>
    </w:p>
    <w:p>
      <w:pPr>
        <w:ind w:right="360" w:firstLine="426"/>
        <w:spacing w:after="0" w:line="295" w:lineRule="auto"/>
        <w:rPr>
          <w:sz w:val="20"/>
          <w:szCs w:val="20"/>
          <w:color w:val="auto"/>
        </w:rPr>
      </w:pPr>
      <w:r>
        <w:rPr>
          <w:rFonts w:ascii="Times New Roman" w:cs="Times New Roman" w:eastAsia="Times New Roman" w:hAnsi="Times New Roman"/>
          <w:sz w:val="17"/>
          <w:szCs w:val="17"/>
          <w:color w:val="auto"/>
        </w:rPr>
        <w:t>2.1  The Shareholders hereby associate themselves in a joint venture relationship which shall have as its principal purpose the establishment, development and operation of the Business.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Joint Venture Entity</w:t>
      </w:r>
    </w:p>
    <w:p>
      <w:pPr>
        <w:spacing w:after="0" w:line="120" w:lineRule="exact"/>
        <w:rPr>
          <w:sz w:val="20"/>
          <w:szCs w:val="20"/>
          <w:color w:val="auto"/>
        </w:rPr>
      </w:pPr>
    </w:p>
    <w:p>
      <w:pPr>
        <w:ind w:firstLine="426"/>
        <w:spacing w:after="0" w:line="216" w:lineRule="exact"/>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Joint Venture Entity</w:t>
      </w:r>
      <w:r>
        <w:rPr>
          <w:rFonts w:ascii="Times New Roman" w:cs="Times New Roman" w:eastAsia="Times New Roman" w:hAnsi="Times New Roman"/>
          <w:sz w:val="17"/>
          <w:szCs w:val="17"/>
          <w:color w:val="auto"/>
        </w:rPr>
        <w:t xml:space="preserve">. The SBG Shareholder and the Tempus Shareholder agree that the joint venture contemplated by this Agreement shall be carried out by the Company, a Japanese </w:t>
      </w:r>
      <w:r>
        <w:rPr>
          <w:rFonts w:ascii="Times New Roman" w:cs="Times New Roman" w:eastAsia="Times New Roman" w:hAnsi="Times New Roman"/>
          <w:sz w:val="17"/>
          <w:szCs w:val="17"/>
          <w:i w:val="1"/>
          <w:iCs w:val="1"/>
          <w:color w:val="auto"/>
        </w:rPr>
        <w:t>kabushiki kaisha</w:t>
      </w:r>
      <w:r>
        <w:rPr>
          <w:rFonts w:ascii="Times New Roman" w:cs="Times New Roman" w:eastAsia="Times New Roman" w:hAnsi="Times New Roman"/>
          <w:sz w:val="17"/>
          <w:szCs w:val="17"/>
          <w:color w:val="auto"/>
        </w:rPr>
        <w:t xml:space="preserve"> incorporated prior to the Effective Date by the SBG Shareholder. As of immediately prior to the Closing, the Company’s corporate name shall be “</w:t>
      </w:r>
      <w:r>
        <w:rPr>
          <w:rFonts w:ascii="SimSun" w:cs="SimSun" w:eastAsia="SimSun" w:hAnsi="SimSun"/>
          <w:sz w:val="17"/>
          <w:szCs w:val="17"/>
          <w:color w:val="auto"/>
        </w:rPr>
        <w:t>株式会社</w:t>
      </w:r>
      <w:r>
        <w:rPr>
          <w:rFonts w:ascii="Times New Roman" w:cs="Times New Roman" w:eastAsia="Times New Roman" w:hAnsi="Times New Roman"/>
          <w:sz w:val="17"/>
          <w:szCs w:val="17"/>
          <w:color w:val="auto"/>
        </w:rPr>
        <w:t xml:space="preserve">SB TEMPUS” in Japanese and “SB TEMPUS Corp.” in English (which such name may be used by the Company subject to the terms of </w:t>
      </w:r>
      <w:r>
        <w:rPr>
          <w:rFonts w:ascii="Times New Roman" w:cs="Times New Roman" w:eastAsia="Times New Roman" w:hAnsi="Times New Roman"/>
          <w:sz w:val="17"/>
          <w:szCs w:val="17"/>
          <w:u w:val="single" w:color="auto"/>
          <w:color w:val="auto"/>
        </w:rPr>
        <w:t>Section 14.10</w:t>
      </w:r>
      <w:r>
        <w:rPr>
          <w:rFonts w:ascii="Times New Roman" w:cs="Times New Roman" w:eastAsia="Times New Roman" w:hAnsi="Times New Roman"/>
          <w:sz w:val="17"/>
          <w:szCs w:val="17"/>
          <w:color w:val="auto"/>
        </w:rPr>
        <w:t>) and the Company’s articles of incorporation shall be the Articles. As of immediately prior to the Closing, the SBG Shareholder will hold [***] shares of Common Stock (the “</w:t>
      </w:r>
      <w:r>
        <w:rPr>
          <w:rFonts w:ascii="Times New Roman" w:cs="Times New Roman" w:eastAsia="Times New Roman" w:hAnsi="Times New Roman"/>
          <w:sz w:val="17"/>
          <w:szCs w:val="17"/>
          <w:u w:val="single" w:color="auto"/>
          <w:color w:val="auto"/>
        </w:rPr>
        <w:t>SBG Shareholder Existing Shares</w:t>
      </w:r>
      <w:r>
        <w:rPr>
          <w:rFonts w:ascii="Times New Roman" w:cs="Times New Roman" w:eastAsia="Times New Roman" w:hAnsi="Times New Roman"/>
          <w:sz w:val="17"/>
          <w:szCs w:val="17"/>
          <w:color w:val="auto"/>
        </w:rPr>
        <w:t>”) and the Company will hold cash and deposits in an amount equal to ¥[***] (the “</w:t>
      </w:r>
      <w:r>
        <w:rPr>
          <w:rFonts w:ascii="Times New Roman" w:cs="Times New Roman" w:eastAsia="Times New Roman" w:hAnsi="Times New Roman"/>
          <w:sz w:val="17"/>
          <w:szCs w:val="17"/>
          <w:u w:val="single" w:color="auto"/>
          <w:color w:val="auto"/>
        </w:rPr>
        <w:t>Closing Cash Amount</w:t>
      </w:r>
      <w:r>
        <w:rPr>
          <w:rFonts w:ascii="Times New Roman" w:cs="Times New Roman" w:eastAsia="Times New Roman" w:hAnsi="Times New Roman"/>
          <w:sz w:val="17"/>
          <w:szCs w:val="17"/>
          <w:color w:val="auto"/>
        </w:rPr>
        <w:t>”) and will have no other assets or liabilities. The Company shall continue in existence in perpetuity, until dissolved, liquidated and wound up in accordance with this Agreement, the Articles and applicable Law.</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Closing; Conditions to Close</w:t>
      </w:r>
    </w:p>
    <w:p>
      <w:pPr>
        <w:spacing w:after="0" w:line="120" w:lineRule="exact"/>
        <w:rPr>
          <w:sz w:val="20"/>
          <w:szCs w:val="20"/>
          <w:color w:val="auto"/>
        </w:rPr>
      </w:pPr>
    </w:p>
    <w:p>
      <w:pPr>
        <w:jc w:val="both"/>
        <w:ind w:right="60" w:firstLine="426"/>
        <w:spacing w:after="0" w:line="269"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Unless otherwise mutually agreed in writing between the SBG Shareholder and the Tempus Shareholder, the consummation of the transactions described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xml:space="preserve">”) shall take place on the fifth (5th) Business Day after the date that each of the conditions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(other than conditions that by their nature are to be satisfied at the Closing) has been satisfied or, to the extent permitted by applicable Law, waived in writing by the applicable Initial Shareholders (such date,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60"/>
          </w:cols>
          <w:pgMar w:left="620" w:top="261" w:right="619" w:bottom="1440" w:gutter="0" w:footer="0" w:header="0"/>
        </w:sectPr>
      </w:pPr>
    </w:p>
    <w:bookmarkStart w:id="459" w:name="page460"/>
    <w:bookmarkEnd w:id="459"/>
    <w:p>
      <w:pPr>
        <w:jc w:val="both"/>
        <w:ind w:right="360" w:firstLine="42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4.2  </w:t>
      </w:r>
      <w:r>
        <w:rPr>
          <w:rFonts w:ascii="Times New Roman" w:cs="Times New Roman" w:eastAsia="Times New Roman" w:hAnsi="Times New Roman"/>
          <w:sz w:val="17"/>
          <w:szCs w:val="17"/>
          <w:u w:val="single" w:color="auto"/>
          <w:color w:val="auto"/>
        </w:rPr>
        <w:t>Conditions to Closing of Each of the Initial Shareholders</w:t>
      </w:r>
      <w:r>
        <w:rPr>
          <w:rFonts w:ascii="Times New Roman" w:cs="Times New Roman" w:eastAsia="Times New Roman" w:hAnsi="Times New Roman"/>
          <w:sz w:val="17"/>
          <w:szCs w:val="17"/>
          <w:color w:val="auto"/>
        </w:rPr>
        <w:t>. The obligations of each of the Initial Shareholders to consummate the Closing shall be subject to the satisfaction or, to the extent permitted by applicable Law, mutual written waiver by each Initial Shareholder, at or prior to the Closing, of each of the following conditions:</w:t>
      </w:r>
    </w:p>
    <w:p>
      <w:pPr>
        <w:spacing w:after="0" w:line="2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Closing Regulatory Approvals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   The CFIUS Clearance shall have been obtained;</w:t>
      </w:r>
    </w:p>
    <w:p>
      <w:pPr>
        <w:spacing w:after="0" w:line="223" w:lineRule="exact"/>
        <w:rPr>
          <w:sz w:val="20"/>
          <w:szCs w:val="20"/>
          <w:color w:val="auto"/>
        </w:rPr>
      </w:pPr>
    </w:p>
    <w:p>
      <w:pPr>
        <w:ind w:right="100" w:firstLine="960"/>
        <w:spacing w:after="0" w:line="276" w:lineRule="auto"/>
        <w:rPr>
          <w:sz w:val="20"/>
          <w:szCs w:val="20"/>
          <w:color w:val="auto"/>
        </w:rPr>
      </w:pPr>
      <w:r>
        <w:rPr>
          <w:rFonts w:ascii="Times New Roman" w:cs="Times New Roman" w:eastAsia="Times New Roman" w:hAnsi="Times New Roman"/>
          <w:sz w:val="17"/>
          <w:szCs w:val="17"/>
          <w:color w:val="auto"/>
        </w:rPr>
        <w:t>(ii)  the Tempus Shareholder shall have filed a prior notification of an inward direct investment under the Foreign Exchange and Foreign Trade Act of Japan (Act No. 228 of 1949 as amended) (the “</w:t>
      </w:r>
      <w:r>
        <w:rPr>
          <w:rFonts w:ascii="Times New Roman" w:cs="Times New Roman" w:eastAsia="Times New Roman" w:hAnsi="Times New Roman"/>
          <w:sz w:val="17"/>
          <w:szCs w:val="17"/>
          <w:u w:val="single" w:color="auto"/>
          <w:color w:val="auto"/>
        </w:rPr>
        <w:t>FEFTA Notification</w:t>
      </w:r>
      <w:r>
        <w:rPr>
          <w:rFonts w:ascii="Times New Roman" w:cs="Times New Roman" w:eastAsia="Times New Roman" w:hAnsi="Times New Roman"/>
          <w:sz w:val="17"/>
          <w:szCs w:val="17"/>
          <w:color w:val="auto"/>
        </w:rPr>
        <w:t>”) and the applicable waiting period shall have elapsed without objection from any Governmental Authority; and</w:t>
      </w:r>
    </w:p>
    <w:p>
      <w:pPr>
        <w:spacing w:after="0" w:line="162" w:lineRule="exact"/>
        <w:rPr>
          <w:sz w:val="20"/>
          <w:szCs w:val="20"/>
          <w:color w:val="auto"/>
        </w:rPr>
      </w:pPr>
    </w:p>
    <w:p>
      <w:pPr>
        <w:ind w:right="300" w:firstLine="960"/>
        <w:spacing w:after="0" w:line="295" w:lineRule="auto"/>
        <w:rPr>
          <w:sz w:val="20"/>
          <w:szCs w:val="20"/>
          <w:color w:val="auto"/>
        </w:rPr>
      </w:pPr>
      <w:r>
        <w:rPr>
          <w:rFonts w:ascii="Times New Roman" w:cs="Times New Roman" w:eastAsia="Times New Roman" w:hAnsi="Times New Roman"/>
          <w:sz w:val="17"/>
          <w:szCs w:val="17"/>
          <w:color w:val="auto"/>
        </w:rPr>
        <w:t xml:space="preserve">(iii)  all other approvals by a Governmental Authority which are required with respect to the transactions contemplated by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shall have been obtained.</w:t>
      </w:r>
    </w:p>
    <w:p>
      <w:pPr>
        <w:spacing w:after="0" w:line="147" w:lineRule="exact"/>
        <w:rPr>
          <w:sz w:val="20"/>
          <w:szCs w:val="20"/>
          <w:color w:val="auto"/>
        </w:rPr>
      </w:pPr>
    </w:p>
    <w:p>
      <w:pPr>
        <w:ind w:right="140" w:firstLine="426"/>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No Legal Restraints</w:t>
      </w:r>
      <w:r>
        <w:rPr>
          <w:rFonts w:ascii="Times New Roman" w:cs="Times New Roman" w:eastAsia="Times New Roman" w:hAnsi="Times New Roman"/>
          <w:sz w:val="17"/>
          <w:szCs w:val="17"/>
          <w:color w:val="auto"/>
        </w:rPr>
        <w:t>. No Governmental Authority shall have enacted, issued, promulgated, enforced or entered any Law that is in effect and that has the effect of making this Agreement or any other transaction contemplated by this Agreement illegal or otherwise prohibits or otherwise impedes or materially restrains the consummation of the any of the transactions contemplated by this Agreement or any other Transaction Document.</w:t>
      </w:r>
    </w:p>
    <w:p>
      <w:pPr>
        <w:spacing w:after="0" w:line="162" w:lineRule="exact"/>
        <w:rPr>
          <w:sz w:val="20"/>
          <w:szCs w:val="20"/>
          <w:color w:val="auto"/>
        </w:rPr>
      </w:pPr>
    </w:p>
    <w:p>
      <w:pPr>
        <w:jc w:val="both"/>
        <w:ind w:right="80" w:firstLine="426"/>
        <w:spacing w:after="0" w:line="269"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Mechanics for Required Payments under IP License Agreement and Data License Agreement</w:t>
      </w:r>
      <w:r>
        <w:rPr>
          <w:rFonts w:ascii="Times New Roman" w:cs="Times New Roman" w:eastAsia="Times New Roman" w:hAnsi="Times New Roman"/>
          <w:sz w:val="17"/>
          <w:szCs w:val="17"/>
          <w:color w:val="auto"/>
        </w:rPr>
        <w:t>. At least [***] Days prior to the Closing Date, the Company shall have provided all required signatures and approvals needed for it to initiate, immediately following the Closing Date but in no event longer than [***] Days following the Closing Date, the License Fees in compliance with the requirements of this Agreement, the IP License Agreement and the Data License Agreement.</w:t>
      </w:r>
    </w:p>
    <w:p>
      <w:pPr>
        <w:spacing w:after="0" w:line="169" w:lineRule="exact"/>
        <w:rPr>
          <w:sz w:val="20"/>
          <w:szCs w:val="20"/>
          <w:color w:val="auto"/>
        </w:rPr>
      </w:pPr>
    </w:p>
    <w:p>
      <w:pPr>
        <w:jc w:val="both"/>
        <w:ind w:right="200" w:firstLine="426"/>
        <w:spacing w:after="0" w:line="276"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Conditions to Closing of the SBG Shareholder</w:t>
      </w:r>
      <w:r>
        <w:rPr>
          <w:rFonts w:ascii="Times New Roman" w:cs="Times New Roman" w:eastAsia="Times New Roman" w:hAnsi="Times New Roman"/>
          <w:sz w:val="17"/>
          <w:szCs w:val="17"/>
          <w:color w:val="auto"/>
        </w:rPr>
        <w:t>. The obligations of the SBG Shareholder to consummate the Closing shall be subject to the satisfaction or, to the extent permitted by applicable Law, a written waiver by the SBG Shareholder, at or prior to the Closing, of each of the following conditions:</w:t>
      </w:r>
    </w:p>
    <w:p>
      <w:pPr>
        <w:spacing w:after="0" w:line="162" w:lineRule="exact"/>
        <w:rPr>
          <w:sz w:val="20"/>
          <w:szCs w:val="20"/>
          <w:color w:val="auto"/>
        </w:rPr>
      </w:pPr>
    </w:p>
    <w:p>
      <w:pPr>
        <w:ind w:right="120" w:firstLine="426"/>
        <w:spacing w:after="0" w:line="295"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Tempus Shareholder Representations and Warranties</w:t>
      </w:r>
      <w:r>
        <w:rPr>
          <w:rFonts w:ascii="Times New Roman" w:cs="Times New Roman" w:eastAsia="Times New Roman" w:hAnsi="Times New Roman"/>
          <w:sz w:val="17"/>
          <w:szCs w:val="17"/>
          <w:color w:val="auto"/>
        </w:rPr>
        <w:t xml:space="preserve">. Each of the representations and warranties of the Tempus Shareholder contained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shall be true and correct in all respects on and as of the Effective Date and the Closing Date (or, if made as a specified date, as of such date).</w:t>
      </w:r>
    </w:p>
    <w:p>
      <w:pPr>
        <w:spacing w:after="0" w:line="147" w:lineRule="exact"/>
        <w:rPr>
          <w:sz w:val="20"/>
          <w:szCs w:val="20"/>
          <w:color w:val="auto"/>
        </w:rPr>
      </w:pPr>
    </w:p>
    <w:p>
      <w:pPr>
        <w:jc w:val="both"/>
        <w:ind w:firstLine="426"/>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No Tempus Material Adverse Effect</w:t>
      </w:r>
      <w:r>
        <w:rPr>
          <w:rFonts w:ascii="Times New Roman" w:cs="Times New Roman" w:eastAsia="Times New Roman" w:hAnsi="Times New Roman"/>
          <w:sz w:val="17"/>
          <w:szCs w:val="17"/>
          <w:color w:val="auto"/>
        </w:rPr>
        <w:t>. From the Effective Date, there shall not have occurred a Tempus Material Adverse Effect, nor shall any event or events have occurred that, individually or in the aggregate, with or without the lapse of time, could reasonably be expected to result in a Tempus Material Adverse Effect.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60"/>
          </w:cols>
          <w:pgMar w:left="620" w:top="264" w:right="619" w:bottom="1440" w:gutter="0" w:footer="0" w:header="0"/>
        </w:sectPr>
      </w:pPr>
    </w:p>
    <w:bookmarkStart w:id="460" w:name="page461"/>
    <w:bookmarkEnd w:id="460"/>
    <w:p>
      <w:pPr>
        <w:ind w:right="28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(c)  </w:t>
      </w:r>
      <w:r>
        <w:rPr>
          <w:rFonts w:ascii="Times New Roman" w:cs="Times New Roman" w:eastAsia="Times New Roman" w:hAnsi="Times New Roman"/>
          <w:sz w:val="17"/>
          <w:szCs w:val="17"/>
          <w:u w:val="single" w:color="auto"/>
          <w:color w:val="auto"/>
        </w:rPr>
        <w:t>Other Transaction Documents</w:t>
      </w:r>
      <w:r>
        <w:rPr>
          <w:rFonts w:ascii="Times New Roman" w:cs="Times New Roman" w:eastAsia="Times New Roman" w:hAnsi="Times New Roman"/>
          <w:sz w:val="17"/>
          <w:szCs w:val="17"/>
          <w:color w:val="auto"/>
        </w:rPr>
        <w:t>. Each of the SBG Brand License Agreement, the Tempus Common Stock Subscription Agreement and the Tempus Class A Stock Subscription Agreement shall have been duly executed by the parties thereto.</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Initial Business Plan</w:t>
      </w:r>
      <w:r>
        <w:rPr>
          <w:rFonts w:ascii="Times New Roman" w:cs="Times New Roman" w:eastAsia="Times New Roman" w:hAnsi="Times New Roman"/>
          <w:sz w:val="17"/>
          <w:szCs w:val="17"/>
          <w:color w:val="auto"/>
        </w:rPr>
        <w:t xml:space="preserve">. The Initial Business Plan shall have been finalized, as contemplated by </w:t>
      </w:r>
      <w:r>
        <w:rPr>
          <w:rFonts w:ascii="Times New Roman" w:cs="Times New Roman" w:eastAsia="Times New Roman" w:hAnsi="Times New Roman"/>
          <w:sz w:val="17"/>
          <w:szCs w:val="17"/>
          <w:u w:val="single" w:color="auto"/>
          <w:color w:val="auto"/>
        </w:rPr>
        <w:t>Section 7.13(a)</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560" w:firstLine="426"/>
        <w:spacing w:after="0" w:line="276" w:lineRule="auto"/>
        <w:rPr>
          <w:sz w:val="20"/>
          <w:szCs w:val="20"/>
          <w:color w:val="auto"/>
        </w:rPr>
      </w:pPr>
      <w:r>
        <w:rPr>
          <w:rFonts w:ascii="Times New Roman" w:cs="Times New Roman" w:eastAsia="Times New Roman" w:hAnsi="Times New Roman"/>
          <w:sz w:val="17"/>
          <w:szCs w:val="17"/>
          <w:color w:val="auto"/>
        </w:rPr>
        <w:t xml:space="preserve">(e)  </w:t>
      </w:r>
      <w:r>
        <w:rPr>
          <w:rFonts w:ascii="Times New Roman" w:cs="Times New Roman" w:eastAsia="Times New Roman" w:hAnsi="Times New Roman"/>
          <w:sz w:val="17"/>
          <w:szCs w:val="17"/>
          <w:u w:val="single" w:color="auto"/>
          <w:color w:val="auto"/>
        </w:rPr>
        <w:t>Valuation of Tempus Technology</w:t>
      </w:r>
      <w:r>
        <w:rPr>
          <w:rFonts w:ascii="Times New Roman" w:cs="Times New Roman" w:eastAsia="Times New Roman" w:hAnsi="Times New Roman"/>
          <w:sz w:val="17"/>
          <w:szCs w:val="17"/>
          <w:color w:val="auto"/>
        </w:rPr>
        <w:t>. The SBG Shareholder shall have received an opinion (the “</w:t>
      </w:r>
      <w:r>
        <w:rPr>
          <w:rFonts w:ascii="Times New Roman" w:cs="Times New Roman" w:eastAsia="Times New Roman" w:hAnsi="Times New Roman"/>
          <w:sz w:val="17"/>
          <w:szCs w:val="17"/>
          <w:u w:val="single" w:color="auto"/>
          <w:color w:val="auto"/>
        </w:rPr>
        <w:t>Valuation Opinion</w:t>
      </w:r>
      <w:r>
        <w:rPr>
          <w:rFonts w:ascii="Times New Roman" w:cs="Times New Roman" w:eastAsia="Times New Roman" w:hAnsi="Times New Roman"/>
          <w:sz w:val="17"/>
          <w:szCs w:val="17"/>
          <w:color w:val="auto"/>
        </w:rPr>
        <w:t xml:space="preserve">”) to its reasonable satisfaction issued by KPMG with respect to the valuation of the Tempus Technology;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SBG Shareholder has not received the Valuation Opinion on or before [***], then such condition shall not be a condition to Closing.</w:t>
      </w:r>
    </w:p>
    <w:p>
      <w:pPr>
        <w:spacing w:after="0" w:line="162" w:lineRule="exact"/>
        <w:rPr>
          <w:sz w:val="20"/>
          <w:szCs w:val="20"/>
          <w:color w:val="auto"/>
        </w:rPr>
      </w:pPr>
    </w:p>
    <w:p>
      <w:pPr>
        <w:ind w:right="20" w:firstLine="426"/>
        <w:spacing w:after="0" w:line="276"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Conditions to Closing of the Tempus Shareholder</w:t>
      </w:r>
      <w:r>
        <w:rPr>
          <w:rFonts w:ascii="Times New Roman" w:cs="Times New Roman" w:eastAsia="Times New Roman" w:hAnsi="Times New Roman"/>
          <w:sz w:val="17"/>
          <w:szCs w:val="17"/>
          <w:color w:val="auto"/>
        </w:rPr>
        <w:t>. The obligations of the Tempus Shareholder to consummate the Closing shall be subject to the satisfaction or, to the extent permitted by applicable Law, a written waiver by the Tempus Shareholder, at or prior to the Closing, of each of the following conditions:</w:t>
      </w:r>
    </w:p>
    <w:p>
      <w:pPr>
        <w:spacing w:after="0" w:line="162" w:lineRule="exact"/>
        <w:rPr>
          <w:sz w:val="20"/>
          <w:szCs w:val="20"/>
          <w:color w:val="auto"/>
        </w:rPr>
      </w:pPr>
    </w:p>
    <w:p>
      <w:pPr>
        <w:ind w:right="100" w:firstLine="426"/>
        <w:spacing w:after="0" w:line="288"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SBG Shareholder Representations and Warranties</w:t>
      </w:r>
      <w:r>
        <w:rPr>
          <w:rFonts w:ascii="Times New Roman" w:cs="Times New Roman" w:eastAsia="Times New Roman" w:hAnsi="Times New Roman"/>
          <w:sz w:val="17"/>
          <w:szCs w:val="17"/>
          <w:color w:val="auto"/>
        </w:rPr>
        <w:t xml:space="preserve">. Each of the representations and warranties of the SBG Shareholder contained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shall be true and correct in all respects on and as of the Effective Date and on the Closing Date (or, if made as of a specified date, as of such date).</w:t>
      </w:r>
    </w:p>
    <w:p>
      <w:pPr>
        <w:spacing w:after="0" w:line="367" w:lineRule="exact"/>
        <w:rPr>
          <w:sz w:val="20"/>
          <w:szCs w:val="20"/>
          <w:color w:val="auto"/>
        </w:rPr>
      </w:pPr>
    </w:p>
    <w:p>
      <w:pPr>
        <w:ind w:right="340" w:firstLine="426"/>
        <w:spacing w:after="0" w:line="27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No SBG Material Adverse Effect</w:t>
      </w:r>
      <w:r>
        <w:rPr>
          <w:rFonts w:ascii="Times New Roman" w:cs="Times New Roman" w:eastAsia="Times New Roman" w:hAnsi="Times New Roman"/>
          <w:sz w:val="17"/>
          <w:szCs w:val="17"/>
          <w:color w:val="auto"/>
        </w:rPr>
        <w:t>. From the Effective Date, there shall not have occurred an SBG Material Adverse Effect, nor shall any event or events have occurred that, individually or in the aggregate, with or without the lapse of time, could reasonably be expected to result in an SBG Material Adverse Effect.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Other Transaction Documents</w:t>
      </w:r>
      <w:r>
        <w:rPr>
          <w:rFonts w:ascii="Times New Roman" w:cs="Times New Roman" w:eastAsia="Times New Roman" w:hAnsi="Times New Roman"/>
          <w:sz w:val="17"/>
          <w:szCs w:val="17"/>
          <w:color w:val="auto"/>
        </w:rPr>
        <w:t>. The SBG Subscription Agreement shall have been duly executed by the parties thereto.</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Initial Business Plan</w:t>
      </w:r>
      <w:r>
        <w:rPr>
          <w:rFonts w:ascii="Times New Roman" w:cs="Times New Roman" w:eastAsia="Times New Roman" w:hAnsi="Times New Roman"/>
          <w:sz w:val="17"/>
          <w:szCs w:val="17"/>
          <w:color w:val="auto"/>
        </w:rPr>
        <w:t xml:space="preserve">. The Initial Business Plan shall have been finalized, as contemplated by </w:t>
      </w:r>
      <w:r>
        <w:rPr>
          <w:rFonts w:ascii="Times New Roman" w:cs="Times New Roman" w:eastAsia="Times New Roman" w:hAnsi="Times New Roman"/>
          <w:sz w:val="17"/>
          <w:szCs w:val="17"/>
          <w:u w:val="single" w:color="auto"/>
          <w:color w:val="auto"/>
        </w:rPr>
        <w:t>Section 7.13(a)</w:t>
      </w:r>
      <w:r>
        <w:rPr>
          <w:rFonts w:ascii="Times New Roman" w:cs="Times New Roman" w:eastAsia="Times New Roman" w:hAnsi="Times New Roman"/>
          <w:sz w:val="17"/>
          <w:szCs w:val="17"/>
          <w:color w:val="auto"/>
        </w:rPr>
        <w: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Reasonable Best Efforts to Complete; Closing Regulatory Approvals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5.1   Subject to the terms and conditions of this Agreement:</w:t>
      </w:r>
    </w:p>
    <w:p>
      <w:pPr>
        <w:spacing w:after="0" w:line="118"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 xml:space="preserve">(a)  Each of the Initial Shareholders shall use its reasonable best efforts to (i) take promptly, or cause to be taken promptly, all actions necessary, proper or advisable under applicable Laws to consummate and make effective the transactions contemplated hereby, (ii) cause all conditions to Closing set forth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to occur, (iii) send all necessary notices and obtain all necessary waivers, consents, approvals and other documents required to be delivered hereunder, (iv) effect all necessary registrations and filings and (v) remove any injunctions or other impediments or delays, legal or otherwise, in each case, in order to consummate and make effective the transactions contemplated by this Agreement for the purpose of securing to the Initial Shareholders the benefits contemplated by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620"/>
          </w:cols>
          <w:pgMar w:left="620" w:top="264" w:right="659" w:bottom="1440" w:gutter="0" w:footer="0" w:header="0"/>
        </w:sectPr>
      </w:pPr>
    </w:p>
    <w:bookmarkStart w:id="461" w:name="page462"/>
    <w:bookmarkEnd w:id="461"/>
    <w:p>
      <w:pPr>
        <w:ind w:right="32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(b)  In furtherance and not in limitation of the terms of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the Initial Shareholders shall cooperate fully with each other and act in good faith in connection with the prompt negotiation, finalization and due execution by the Closing of the SBG Brand License Agreement.</w:t>
      </w:r>
    </w:p>
    <w:p>
      <w:pPr>
        <w:spacing w:after="0" w:line="147" w:lineRule="exact"/>
        <w:rPr>
          <w:sz w:val="20"/>
          <w:szCs w:val="20"/>
          <w:color w:val="auto"/>
        </w:rPr>
      </w:pPr>
    </w:p>
    <w:p>
      <w:pPr>
        <w:ind w:right="40" w:firstLine="426"/>
        <w:spacing w:after="0" w:line="263" w:lineRule="auto"/>
        <w:rPr>
          <w:sz w:val="20"/>
          <w:szCs w:val="20"/>
          <w:color w:val="auto"/>
        </w:rPr>
      </w:pPr>
      <w:r>
        <w:rPr>
          <w:rFonts w:ascii="Times New Roman" w:cs="Times New Roman" w:eastAsia="Times New Roman" w:hAnsi="Times New Roman"/>
          <w:sz w:val="17"/>
          <w:szCs w:val="17"/>
          <w:color w:val="auto"/>
        </w:rPr>
        <w:t xml:space="preserve">(c)  In furtherance and not in limitation of the terms of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each Initial Shareholder shall, as promptly as possible, use its reasonable best efforts to obtain, or cause to be obtained, all Closing Regulatory Approvals from all Governmental Authorities to the extent any are required at any time with respect to the transactions contemplated by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it being understood and agreed that the Tempus Shareholder shall prepare and file promptly, but in any event not later than [***] Days after the Effective Date, the FEFTA Notification. Each Initial Shareholder shall cooperate fully with the other Initial Shareholder and its Affiliates in promptly seeking to obtain all such Closing Regulatory Approvals. No Initial Shareholder shall willfully take any action that can reasonably be expected to have the effect of delaying, impairing or impeding the receipt of any such Closing Regulatory Approvals.</w:t>
      </w:r>
    </w:p>
    <w:p>
      <w:pPr>
        <w:spacing w:after="0" w:line="387" w:lineRule="exact"/>
        <w:rPr>
          <w:sz w:val="20"/>
          <w:szCs w:val="20"/>
          <w:color w:val="auto"/>
        </w:rPr>
      </w:pPr>
    </w:p>
    <w:p>
      <w:pPr>
        <w:ind w:right="40" w:firstLine="426"/>
        <w:spacing w:after="0" w:line="260" w:lineRule="auto"/>
        <w:rPr>
          <w:sz w:val="20"/>
          <w:szCs w:val="20"/>
          <w:color w:val="auto"/>
        </w:rPr>
      </w:pPr>
      <w:r>
        <w:rPr>
          <w:rFonts w:ascii="Times New Roman" w:cs="Times New Roman" w:eastAsia="Times New Roman" w:hAnsi="Times New Roman"/>
          <w:sz w:val="17"/>
          <w:szCs w:val="17"/>
          <w:color w:val="auto"/>
        </w:rPr>
        <w:t xml:space="preserve">(d)  To the extent required to comply with the terms of </w:t>
      </w:r>
      <w:r>
        <w:rPr>
          <w:rFonts w:ascii="Times New Roman" w:cs="Times New Roman" w:eastAsia="Times New Roman" w:hAnsi="Times New Roman"/>
          <w:sz w:val="17"/>
          <w:szCs w:val="17"/>
          <w:u w:val="single" w:color="auto"/>
          <w:color w:val="auto"/>
        </w:rPr>
        <w:t>Sections 5.1(a)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5.1(c)</w:t>
      </w:r>
      <w:r>
        <w:rPr>
          <w:rFonts w:ascii="Times New Roman" w:cs="Times New Roman" w:eastAsia="Times New Roman" w:hAnsi="Times New Roman"/>
          <w:sz w:val="17"/>
          <w:szCs w:val="17"/>
          <w:color w:val="auto"/>
        </w:rPr>
        <w:t xml:space="preserve">, all analyses, appearances, meetings, discussions, presentations, memoranda, briefs, filings, arguments and proposals made by or on behalf of any Initial Shareholder before any Governmental Authority or the staff or regulators of any Governmental Authority, in connection with any Closing Regulatory Approval (but, for the avoidance of doubt, not including any disclosure which is not permitted by applicable Law or any disclosure containing Confidential Information) shall be disclosed to the other Initial Shareholder in advance of any filing, submission or attendance, it being the intent that each Initial Shareholder will consult and cooperate with one another, and consider in good faith the views of one another, in connection with any such analyses, appearances, meetings, discussions, presentations, memoranda, briefs, filings, arguments and proposals. To the extent required to comply with the terms of </w:t>
      </w:r>
      <w:r>
        <w:rPr>
          <w:rFonts w:ascii="Times New Roman" w:cs="Times New Roman" w:eastAsia="Times New Roman" w:hAnsi="Times New Roman"/>
          <w:sz w:val="17"/>
          <w:szCs w:val="17"/>
          <w:u w:val="single" w:color="auto"/>
          <w:color w:val="auto"/>
        </w:rPr>
        <w:t>Sections 5.1(a)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5.1(c)</w:t>
      </w:r>
      <w:r>
        <w:rPr>
          <w:rFonts w:ascii="Times New Roman" w:cs="Times New Roman" w:eastAsia="Times New Roman" w:hAnsi="Times New Roman"/>
          <w:sz w:val="17"/>
          <w:szCs w:val="17"/>
          <w:color w:val="auto"/>
        </w:rPr>
        <w:t>, each Initial Shareholder shall (subject to applicable Law or any requirement of non-disclosure given by the applicable Governmental Authority) give notice to the other Initial Shareholder with respect to any meeting, discussion, appearance or contact with any Governmental Authority or the staff or regulators of any Governmental Authority with respect to any Closing Regulatory Approval, with such notice being sufficient to provide the other Initial Shareholder with the opportunity to attend and participate in such meeting, discussion, appearance or Contract.</w:t>
      </w:r>
    </w:p>
    <w:p>
      <w:pPr>
        <w:spacing w:after="0" w:line="180"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7"/>
          <w:szCs w:val="17"/>
          <w:color w:val="auto"/>
        </w:rPr>
        <w:t xml:space="preserve">(e)  Notwithstanding the foregoing or anything else in this Agreement, in no event shall any Initial Shareholder or any of its Affiliates be required to propose, commit or agree (through order, consent decree, settlement or otherwise) to (i) license, sell, divest, hold separate or otherwise dispose of, directly or indirectly, any of such Initial Shareholder’s own assets, or any operations, divisions, subsidiaries, specific assets or categories of assets, specific products or categories of products, product lines or businesses of such Initial Shareholder or its Affiliates, (ii) terminate any material existing relationships and contractual rights and obligations of such Initial Shareholder or its Affiliates or (iii) take any actions or make any behavioral commitments that may limit or modify such Initial Shareholder’s or its Affiliates’ rights of ownership in, or ability to conduct the business of, any of its operations, divisions, businesses, product lines, specific products, categories of products, customers, specific assets or categories of assets. In addition, each Initial Shareholder shall use its reasonable best efforts to defend through litigation on the merits of any claim asserted in court by any party against such Initial Shareholder or its Affiliates in order to avoid entry of, or to have vacated or terminated, any Order by any Governmental Authority (whether temporary, preliminary or permanent) that would prevent the consummation of the Closing or payment of the amounts contemplated by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660"/>
          </w:cols>
          <w:pgMar w:left="620" w:top="264" w:right="619" w:bottom="1440" w:gutter="0" w:footer="0" w:header="0"/>
        </w:sectPr>
      </w:pPr>
    </w:p>
    <w:bookmarkStart w:id="462" w:name="page463"/>
    <w:bookmarkEnd w:id="462"/>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5.2   </w:t>
      </w:r>
      <w:r>
        <w:rPr>
          <w:rFonts w:ascii="Times New Roman" w:cs="Times New Roman" w:eastAsia="Times New Roman" w:hAnsi="Times New Roman"/>
          <w:sz w:val="17"/>
          <w:szCs w:val="17"/>
          <w:u w:val="single" w:color="auto"/>
          <w:color w:val="auto"/>
        </w:rPr>
        <w:t>CFIUS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(a)   Notwithstanding the obligations set forth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or anything else in this Agreement, the SBG Shareholder and the</w:t>
      </w:r>
    </w:p>
    <w:p>
      <w:pPr>
        <w:spacing w:after="0" w:line="3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Tempus Shareholder (and their respective Affiliates, if applicable) shall cooperate and undertake their respective reasonable best efforts to prepare and submit promptly, but in any event not later than [***] Days after the Effective Date (or such other date as may be mutually agreed between the Initial Shareholders), a declaration to CFIUS (“</w:t>
      </w:r>
      <w:r>
        <w:rPr>
          <w:rFonts w:ascii="Times New Roman" w:cs="Times New Roman" w:eastAsia="Times New Roman" w:hAnsi="Times New Roman"/>
          <w:sz w:val="17"/>
          <w:szCs w:val="17"/>
          <w:u w:val="single" w:color="auto"/>
          <w:color w:val="auto"/>
        </w:rPr>
        <w:t>CFIUS Declaration</w:t>
      </w:r>
      <w:r>
        <w:rPr>
          <w:rFonts w:ascii="Times New Roman" w:cs="Times New Roman" w:eastAsia="Times New Roman" w:hAnsi="Times New Roman"/>
          <w:sz w:val="17"/>
          <w:szCs w:val="17"/>
          <w:color w:val="auto"/>
        </w:rPr>
        <w:t>”) pursuant to the DPA with respect to the Initial Shareholders’ participation in the transactions contemplated under this Agreement. If CFIUS requests, pursuant to the DPA, that the SBG Shareholder and the Tempus Shareholder file a written notice regarding the transactions contemplated under this Agreement, or if the CFIUS Clearance has not been obtained at the conclusion of the CFIUS Declaration’s assessment period, the SBG Shareholder and the Tempus Shareholder agree to prepare and submit a draft joint voluntary notice (“</w:t>
      </w:r>
      <w:r>
        <w:rPr>
          <w:rFonts w:ascii="Times New Roman" w:cs="Times New Roman" w:eastAsia="Times New Roman" w:hAnsi="Times New Roman"/>
          <w:sz w:val="17"/>
          <w:szCs w:val="17"/>
          <w:u w:val="single" w:color="auto"/>
          <w:color w:val="auto"/>
        </w:rPr>
        <w:t>CFIUS Notice</w:t>
      </w:r>
      <w:r>
        <w:rPr>
          <w:rFonts w:ascii="Times New Roman" w:cs="Times New Roman" w:eastAsia="Times New Roman" w:hAnsi="Times New Roman"/>
          <w:sz w:val="17"/>
          <w:szCs w:val="17"/>
          <w:color w:val="auto"/>
        </w:rPr>
        <w:t>”) within [***] Days of the conclusion of the CFIUS Declaration’s assessment period. Each Initial Shareholder shall promptly respond to any CFIUS request for information and/or documents with respect to such draft notice and/or the transactions contemplated thereby. As promptly as practicable following the receipt of notification from CFIUS that it has concluded its review of the draft notice, the SBG Shareholder and the Tempus Shareholder will jointly file with CFIUS a voluntary notice under the DPA.</w:t>
      </w:r>
    </w:p>
    <w:p>
      <w:pPr>
        <w:spacing w:after="0" w:line="180" w:lineRule="exact"/>
        <w:rPr>
          <w:sz w:val="20"/>
          <w:szCs w:val="20"/>
          <w:color w:val="auto"/>
        </w:rPr>
      </w:pPr>
    </w:p>
    <w:p>
      <w:pPr>
        <w:ind w:firstLine="426"/>
        <w:spacing w:after="0" w:line="259" w:lineRule="auto"/>
        <w:rPr>
          <w:sz w:val="20"/>
          <w:szCs w:val="20"/>
          <w:color w:val="auto"/>
        </w:rPr>
      </w:pPr>
      <w:r>
        <w:rPr>
          <w:rFonts w:ascii="Times New Roman" w:cs="Times New Roman" w:eastAsia="Times New Roman" w:hAnsi="Times New Roman"/>
          <w:sz w:val="17"/>
          <w:szCs w:val="17"/>
          <w:color w:val="auto"/>
        </w:rPr>
        <w:t xml:space="preserve">(b)  Notwithstanding the obligations set forth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or anything else in this Agreement, each of the SBG Shareholder and the Tempus Shareholder (and their respective Affiliates, if applicable) shall cooperate and undertake its reasonable best efforts to (i) as promptly as practicable respond to any CFIUS request for information and/or documents with respect to such filings and/or the transactions contemplated hereby, and respond to CFIUS question sets within the prescribed period for response, or within such longer period of time permitted by CFIUS; (ii) permit each other to review any material communication by the other (subject to appropriate redactions to maintain the confidentiality of business information as mutually agreed to by the parties), and consult with the other in advance of any planned meeting or conference, with CFIUS, and, to the extent permitted by CFIUS, grant each other the opportunity to attend and participate in any such planned meeting or conference;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the</w:t>
      </w:r>
    </w:p>
    <w:p>
      <w:pPr>
        <w:spacing w:after="0" w:line="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SBG Shareholder nor the Tempus Shareholder shall be obligated to disclose to the other any communication to CFIUS that either the SBG Shareholder or the Tempus Shareholder considers to be proprietary or confidential; and (iii) keep each other timely apprised of the status and content of any material communications with, and any inquiries or requests for additional information or documentary material from, CFIUS, in the case of each of clauses (i) through (iii), to the extent permitted by applicable Law and subject to customary confidentiality and all applicable privileges (including the attorney-client privilege).</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(c)   Notwithstanding the obligations set forth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or anything else in this Agreement, the SBG Shareholder and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Tempus Shareholder shall each use its reasonable best efforts to take all action necessary to obtain the CFIUS Clearance as soon as practicable,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using its reasonable best efforts to take all such action as reasonably may be necessary to resolve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640"/>
          </w:cols>
          <w:pgMar w:left="620" w:top="265" w:right="639" w:bottom="1440" w:gutter="0" w:footer="0" w:header="0"/>
        </w:sectPr>
      </w:pPr>
    </w:p>
    <w:bookmarkStart w:id="463" w:name="page464"/>
    <w:bookmarkEnd w:id="463"/>
    <w:p>
      <w:pPr>
        <w:ind w:left="8" w:right="4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objections (if any) that CFIUS may assert with respect to the transactions contemplated 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of the SBG Shareholder and the Tempus Shareholder (and their respective Affiliates, if applicable) shall not be required to accept any term or restriction that, in its reasonable discretion and only as such a restriction affects the objecting party’s interests: (A) materially restricts the SBG Shareholder or the Tempus Shareholder, as applicable, from directing, overseeing or causing the direction of the management and operations of the Company, including any form of proxy agreement, voting trust agreement or other similar governance structure; (B) impairs the collaboration and exchange of information among the</w:t>
      </w:r>
    </w:p>
    <w:p>
      <w:pPr>
        <w:spacing w:after="0" w:line="1" w:lineRule="exact"/>
        <w:rPr>
          <w:sz w:val="20"/>
          <w:szCs w:val="20"/>
          <w:color w:val="auto"/>
        </w:rPr>
      </w:pPr>
    </w:p>
    <w:p>
      <w:pPr>
        <w:ind w:left="8"/>
        <w:spacing w:after="0" w:line="259" w:lineRule="auto"/>
        <w:rPr>
          <w:sz w:val="20"/>
          <w:szCs w:val="20"/>
          <w:color w:val="auto"/>
        </w:rPr>
      </w:pPr>
      <w:r>
        <w:rPr>
          <w:rFonts w:ascii="Times New Roman" w:cs="Times New Roman" w:eastAsia="Times New Roman" w:hAnsi="Times New Roman"/>
          <w:sz w:val="17"/>
          <w:szCs w:val="17"/>
          <w:color w:val="auto"/>
        </w:rPr>
        <w:t>SBG Shareholder, the Tempus Shareholder and the Company as contemplated by this Agreement, any of the other Transaction Documents or any other Contract between the SBG Shareholder and the Tempus Shareholder; or (C) materially impairs the business operations of the Tempus Shareholder or its Affiliates that are unrelated to the Company and the Transaction Documents. If during any CFIUS review or investigation period, CFIUS offers the SBG Shareholder and the Tempus Shareholder an opportunity to withdraw and resubmit the relevant CFIUS filing, each of the SBG Shareholder and the Tempus Shareholder (and their respective Affiliates, if applicable) agree to withdraw and resubmit upon CFIUS’ first such offer, and, for any subsequent such offers, each of the SBG Shareholder and the Tempus Shareholder (and their respective Affiliates, if applicable) shall coordinate with the other and submit such withdrawal and refiling only if mutually agreed upon by both parties.</w:t>
      </w:r>
    </w:p>
    <w:p>
      <w:pPr>
        <w:spacing w:after="0" w:line="178" w:lineRule="exact"/>
        <w:rPr>
          <w:sz w:val="20"/>
          <w:szCs w:val="20"/>
          <w:color w:val="auto"/>
        </w:rPr>
      </w:pPr>
    </w:p>
    <w:p>
      <w:pPr>
        <w:ind w:left="8" w:firstLine="426"/>
        <w:spacing w:after="0" w:line="263"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Preparation for Transfer of, and Access to, Licensed Data</w:t>
      </w:r>
      <w:r>
        <w:rPr>
          <w:rFonts w:ascii="Times New Roman" w:cs="Times New Roman" w:eastAsia="Times New Roman" w:hAnsi="Times New Roman"/>
          <w:sz w:val="17"/>
          <w:szCs w:val="17"/>
          <w:color w:val="auto"/>
        </w:rPr>
        <w:t>. Promptly following the Effective Date, each of the SBG Shareholder and the Tempus Shareholder (and their respective Affiliates, if applicable) shall cooperate and use its reasonable best efforts to take all actions necessary to prepare for the transfer of the Licensed Data, and make such Licensed Data available, to the Company pursuant to the Data License Agreement. In furtherance and not in limitation of the foregoing, the Tempus Shareholder shall (a) permit the SBG Shareholder to review and consult with the Tempus Shareholder regarding the standard data filters available on the Tempus platform, (b) provide the SBG Shareholder with a proposal of inclusion criteria for the initial batch of Licensed Data to be licensed to the Company pursuant to the Data License Agreement and (c) cooperate with SBG Shareholder to agree upon and finalize such inclusion criteria prior to the Closing Date.</w:t>
      </w:r>
    </w:p>
    <w:p>
      <w:pPr>
        <w:spacing w:after="0" w:line="2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6.   Funding of the Company</w:t>
      </w:r>
    </w:p>
    <w:p>
      <w:pPr>
        <w:spacing w:after="0" w:line="12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Initial Funding</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Subscription for Company Securities</w:t>
      </w:r>
      <w:r>
        <w:rPr>
          <w:rFonts w:ascii="Times New Roman" w:cs="Times New Roman" w:eastAsia="Times New Roman" w:hAnsi="Times New Roman"/>
          <w:sz w:val="17"/>
          <w:szCs w:val="17"/>
          <w:color w:val="auto"/>
        </w:rPr>
        <w:t>. The Company shall, as of the Closing Date, have authorized capital stock consisting of</w:t>
      </w:r>
    </w:p>
    <w:p>
      <w:pPr>
        <w:spacing w:after="0" w:line="32" w:lineRule="exact"/>
        <w:rPr>
          <w:sz w:val="20"/>
          <w:szCs w:val="20"/>
          <w:color w:val="auto"/>
        </w:rPr>
      </w:pPr>
    </w:p>
    <w:p>
      <w:pPr>
        <w:ind w:left="8" w:right="100" w:hanging="8"/>
        <w:spacing w:after="0" w:line="273" w:lineRule="auto"/>
        <w:tabs>
          <w:tab w:leader="none" w:pos="429"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shares of Common Stock and [***] authorized shares of Class A Stock with the rights and restrictions set forth in the Companies Act, the Articles and this Agreement. The Company’s initial equity shall be funded as follows:</w:t>
      </w:r>
    </w:p>
    <w:p>
      <w:pPr>
        <w:spacing w:after="0" w:line="164" w:lineRule="exact"/>
        <w:rPr>
          <w:sz w:val="20"/>
          <w:szCs w:val="20"/>
          <w:color w:val="auto"/>
        </w:rPr>
      </w:pPr>
    </w:p>
    <w:p>
      <w:pPr>
        <w:ind w:left="8" w:right="120" w:firstLine="960"/>
        <w:spacing w:after="0" w:line="269"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SBG Shareholder Subscription for Common Stock</w:t>
      </w:r>
      <w:r>
        <w:rPr>
          <w:rFonts w:ascii="Times New Roman" w:cs="Times New Roman" w:eastAsia="Times New Roman" w:hAnsi="Times New Roman"/>
          <w:sz w:val="17"/>
          <w:szCs w:val="17"/>
          <w:color w:val="auto"/>
        </w:rPr>
        <w:t>. On the terms and subject to the conditions of this Agreement, at the Closing, the Company shall offer to the SBG Shareholder, and the SBG Shareholder shall subscribe for, [***] shares of Common Stock (the “</w:t>
      </w:r>
      <w:r>
        <w:rPr>
          <w:rFonts w:ascii="Times New Roman" w:cs="Times New Roman" w:eastAsia="Times New Roman" w:hAnsi="Times New Roman"/>
          <w:sz w:val="17"/>
          <w:szCs w:val="17"/>
          <w:u w:val="single" w:color="auto"/>
          <w:color w:val="auto"/>
        </w:rPr>
        <w:t>SBG Shareholder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Common Shares</w:t>
      </w:r>
      <w:r>
        <w:rPr>
          <w:rFonts w:ascii="Times New Roman" w:cs="Times New Roman" w:eastAsia="Times New Roman" w:hAnsi="Times New Roman"/>
          <w:sz w:val="17"/>
          <w:szCs w:val="17"/>
          <w:color w:val="auto"/>
        </w:rPr>
        <w:t>”), for an aggregate subscription amount of ¥14,922,000,000 in cash (the “</w:t>
      </w:r>
      <w:r>
        <w:rPr>
          <w:rFonts w:ascii="Times New Roman" w:cs="Times New Roman" w:eastAsia="Times New Roman" w:hAnsi="Times New Roman"/>
          <w:sz w:val="17"/>
          <w:szCs w:val="17"/>
          <w:u w:val="single" w:color="auto"/>
          <w:color w:val="auto"/>
        </w:rPr>
        <w:t>SBG Shareholder Common Subscription Amount</w:t>
      </w:r>
      <w:r>
        <w:rPr>
          <w:rFonts w:ascii="Times New Roman" w:cs="Times New Roman" w:eastAsia="Times New Roman" w:hAnsi="Times New Roman"/>
          <w:sz w:val="17"/>
          <w:szCs w:val="17"/>
          <w:color w:val="auto"/>
        </w:rPr>
        <w:t>”), which amount represents a subscription amount of ¥14,925,000,000 reduced by the Closing Cash Amount, which</w:t>
      </w:r>
    </w:p>
    <w:p>
      <w:pPr>
        <w:spacing w:after="0" w:line="10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628"/>
          </w:cols>
          <w:pgMar w:left="612" w:top="264" w:right="659" w:bottom="1440" w:gutter="0" w:footer="0" w:header="0"/>
        </w:sectPr>
      </w:pPr>
    </w:p>
    <w:bookmarkStart w:id="464" w:name="page465"/>
    <w:bookmarkEnd w:id="464"/>
    <w:p>
      <w:pPr>
        <w:ind w:right="1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together with the SBG Shareholder Existing Shares, will represent 50% of all of the issued and outstanding shares of Common Stock as of the Closing and 49.5% of Company Interest as of the Closing. At the Closing, the SBG Shareholder shall deliver the SBG Shareholder Common Subscription Amount to the Company by wire transfer of immediately available funds, and the Company shall issue the SBG Shareholder Common Shares to the SBG Shareholder.</w:t>
      </w:r>
    </w:p>
    <w:p>
      <w:pPr>
        <w:spacing w:after="0" w:line="169" w:lineRule="exact"/>
        <w:rPr>
          <w:sz w:val="20"/>
          <w:szCs w:val="20"/>
          <w:color w:val="auto"/>
        </w:rPr>
      </w:pPr>
    </w:p>
    <w:p>
      <w:pPr>
        <w:ind w:right="20" w:firstLine="960"/>
        <w:spacing w:after="0" w:line="263"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Tempus Shareholder Subscription for Common Stock</w:t>
      </w:r>
      <w:r>
        <w:rPr>
          <w:rFonts w:ascii="Times New Roman" w:cs="Times New Roman" w:eastAsia="Times New Roman" w:hAnsi="Times New Roman"/>
          <w:sz w:val="17"/>
          <w:szCs w:val="17"/>
          <w:color w:val="auto"/>
        </w:rPr>
        <w:t xml:space="preserve">. On the terms and subject to the conditions of this Agreement, at the Closing and subject to the conditions set forth in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 the Company shall offer to the Tempus Shareholder, and the Tempus Shareholder shall subscribe for [***] shares of Common Stock (the “</w:t>
      </w:r>
      <w:r>
        <w:rPr>
          <w:rFonts w:ascii="Times New Roman" w:cs="Times New Roman" w:eastAsia="Times New Roman" w:hAnsi="Times New Roman"/>
          <w:sz w:val="17"/>
          <w:szCs w:val="17"/>
          <w:u w:val="single" w:color="auto"/>
          <w:color w:val="auto"/>
        </w:rPr>
        <w:t>Tempus Shareholder Common Shares</w:t>
      </w:r>
      <w:r>
        <w:rPr>
          <w:rFonts w:ascii="Times New Roman" w:cs="Times New Roman" w:eastAsia="Times New Roman" w:hAnsi="Times New Roman"/>
          <w:sz w:val="17"/>
          <w:szCs w:val="17"/>
          <w:color w:val="auto"/>
        </w:rPr>
        <w:t>”), for an aggregate subscription amount of ¥14,925,000,000 in cash (the “</w:t>
      </w:r>
      <w:r>
        <w:rPr>
          <w:rFonts w:ascii="Times New Roman" w:cs="Times New Roman" w:eastAsia="Times New Roman" w:hAnsi="Times New Roman"/>
          <w:sz w:val="17"/>
          <w:szCs w:val="17"/>
          <w:u w:val="single" w:color="auto"/>
          <w:color w:val="auto"/>
        </w:rPr>
        <w:t>Tempus Shareholder Common Subscription Amount</w:t>
      </w:r>
      <w:r>
        <w:rPr>
          <w:rFonts w:ascii="Times New Roman" w:cs="Times New Roman" w:eastAsia="Times New Roman" w:hAnsi="Times New Roman"/>
          <w:sz w:val="17"/>
          <w:szCs w:val="17"/>
          <w:color w:val="auto"/>
        </w:rPr>
        <w:t>”), representing 50% of all of the issued and outstanding shares of Common Stock as of the Closing and 49.5% of Company Interest as of the Closing. At the Closing, the Tempus Shareholder shall deliver the Tempus Shareholder Common Subscription Amount to the Company by wire transfer of immediately available funds and the Company shall issue the Tempus Shareholder Common Shares to the Tempus Shareholder.</w:t>
      </w:r>
    </w:p>
    <w:p>
      <w:pPr>
        <w:spacing w:after="0" w:line="173" w:lineRule="exact"/>
        <w:rPr>
          <w:sz w:val="20"/>
          <w:szCs w:val="20"/>
          <w:color w:val="auto"/>
        </w:rPr>
      </w:pPr>
    </w:p>
    <w:p>
      <w:pPr>
        <w:ind w:firstLine="960"/>
        <w:spacing w:after="0" w:line="263" w:lineRule="auto"/>
        <w:rPr>
          <w:sz w:val="20"/>
          <w:szCs w:val="20"/>
          <w:color w:val="auto"/>
        </w:rPr>
      </w:pPr>
      <w:r>
        <w:rPr>
          <w:rFonts w:ascii="Times New Roman" w:cs="Times New Roman" w:eastAsia="Times New Roman" w:hAnsi="Times New Roman"/>
          <w:sz w:val="17"/>
          <w:szCs w:val="17"/>
          <w:color w:val="auto"/>
        </w:rPr>
        <w:t xml:space="preserve">(iii)  </w:t>
      </w:r>
      <w:r>
        <w:rPr>
          <w:rFonts w:ascii="Times New Roman" w:cs="Times New Roman" w:eastAsia="Times New Roman" w:hAnsi="Times New Roman"/>
          <w:sz w:val="17"/>
          <w:szCs w:val="17"/>
          <w:u w:val="single" w:color="auto"/>
          <w:color w:val="auto"/>
        </w:rPr>
        <w:t>Tempus Shareholder Subscription for Class A Stock</w:t>
      </w:r>
      <w:r>
        <w:rPr>
          <w:rFonts w:ascii="Times New Roman" w:cs="Times New Roman" w:eastAsia="Times New Roman" w:hAnsi="Times New Roman"/>
          <w:sz w:val="17"/>
          <w:szCs w:val="17"/>
          <w:color w:val="auto"/>
        </w:rPr>
        <w:t>. On the terms and subject to the conditions of this Agreement, at the Closing, the Company shall offer to the Tempus Shareholder, and the Tempus Shareholder shall subscribe for [***] shares of Class A Stock (the “</w:t>
      </w:r>
      <w:r>
        <w:rPr>
          <w:rFonts w:ascii="Times New Roman" w:cs="Times New Roman" w:eastAsia="Times New Roman" w:hAnsi="Times New Roman"/>
          <w:sz w:val="17"/>
          <w:szCs w:val="17"/>
          <w:u w:val="single" w:color="auto"/>
          <w:color w:val="auto"/>
        </w:rPr>
        <w:t>Tempus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Shareholder Class A Shares</w:t>
      </w:r>
      <w:r>
        <w:rPr>
          <w:rFonts w:ascii="Times New Roman" w:cs="Times New Roman" w:eastAsia="Times New Roman" w:hAnsi="Times New Roman"/>
          <w:sz w:val="17"/>
          <w:szCs w:val="17"/>
          <w:color w:val="auto"/>
        </w:rPr>
        <w:t>”), for an aggregate subscription amount of ¥150,000,000 in cash (the “</w:t>
      </w:r>
      <w:r>
        <w:rPr>
          <w:rFonts w:ascii="Times New Roman" w:cs="Times New Roman" w:eastAsia="Times New Roman" w:hAnsi="Times New Roman"/>
          <w:sz w:val="17"/>
          <w:szCs w:val="17"/>
          <w:u w:val="single" w:color="auto"/>
          <w:color w:val="auto"/>
        </w:rPr>
        <w:t>Tempus Shareholder Class A Subscription Amount</w:t>
      </w:r>
      <w:r>
        <w:rPr>
          <w:rFonts w:ascii="Times New Roman" w:cs="Times New Roman" w:eastAsia="Times New Roman" w:hAnsi="Times New Roman"/>
          <w:sz w:val="17"/>
          <w:szCs w:val="17"/>
          <w:color w:val="auto"/>
        </w:rPr>
        <w:t xml:space="preserve">”), representing 100% of all of the issued and outstanding shares of Class A Stock as of the Closing and 1% of Company Interest as of the Closing (in each case until the effectiveness of the sale and purchase of SBG Shareholder Class A Shares in accordance with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At the Closing, the Tempus Shareholder shall deliver the Tempus Shareholder Class A Subscription Amount to the Company by wire transfer of immediately available funds and the Company shall issue the Tempus Shareholder Class A Shares to the Tempus Shareholder.</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Transfer of Class A Stock to SBG Preferred Shareholder</w:t>
      </w:r>
      <w:r>
        <w:rPr>
          <w:rFonts w:ascii="Times New Roman" w:cs="Times New Roman" w:eastAsia="Times New Roman" w:hAnsi="Times New Roman"/>
          <w:sz w:val="17"/>
          <w:szCs w:val="17"/>
          <w:color w:val="auto"/>
        </w:rPr>
        <w:t>. At the Closing and immediately after the issuance of the Tempus Shareholder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Class A Shares to the Tempus Shareholder in accordance with </w:t>
      </w:r>
      <w:r>
        <w:rPr>
          <w:rFonts w:ascii="Times New Roman" w:cs="Times New Roman" w:eastAsia="Times New Roman" w:hAnsi="Times New Roman"/>
          <w:sz w:val="17"/>
          <w:szCs w:val="17"/>
          <w:u w:val="single" w:color="auto"/>
          <w:color w:val="auto"/>
        </w:rPr>
        <w:t>Section 6.1(a)(iii)</w:t>
      </w:r>
      <w:r>
        <w:rPr>
          <w:rFonts w:ascii="Times New Roman" w:cs="Times New Roman" w:eastAsia="Times New Roman" w:hAnsi="Times New Roman"/>
          <w:sz w:val="17"/>
          <w:szCs w:val="17"/>
          <w:color w:val="auto"/>
        </w:rPr>
        <w:t>, on the terms and subject to the conditions of this Agreement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the Tempus Shareholder shall sell to the SBG Class A Shareholder, and the SBG Class A Shareholder shall purchase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acquire from the Tempus Shareholder, [***] shares of Class A Stock (the “</w:t>
      </w:r>
      <w:r>
        <w:rPr>
          <w:rFonts w:ascii="Times New Roman" w:cs="Times New Roman" w:eastAsia="Times New Roman" w:hAnsi="Times New Roman"/>
          <w:sz w:val="17"/>
          <w:szCs w:val="17"/>
          <w:u w:val="single" w:color="auto"/>
          <w:color w:val="auto"/>
        </w:rPr>
        <w:t>SBG Shareholder Class A Shares</w:t>
      </w:r>
      <w:r>
        <w:rPr>
          <w:rFonts w:ascii="Times New Roman" w:cs="Times New Roman" w:eastAsia="Times New Roman" w:hAnsi="Times New Roman"/>
          <w:sz w:val="17"/>
          <w:szCs w:val="17"/>
          <w:color w:val="auto"/>
        </w:rPr>
        <w:t>”), for an aggregate purchase price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¥75,000,000 in cash (the “</w:t>
      </w:r>
      <w:r>
        <w:rPr>
          <w:rFonts w:ascii="Times New Roman" w:cs="Times New Roman" w:eastAsia="Times New Roman" w:hAnsi="Times New Roman"/>
          <w:sz w:val="17"/>
          <w:szCs w:val="17"/>
          <w:u w:val="single" w:color="auto"/>
          <w:color w:val="auto"/>
        </w:rPr>
        <w:t>SBG Shareholder Class A Purchase Price</w:t>
      </w:r>
      <w:r>
        <w:rPr>
          <w:rFonts w:ascii="Times New Roman" w:cs="Times New Roman" w:eastAsia="Times New Roman" w:hAnsi="Times New Roman"/>
          <w:sz w:val="17"/>
          <w:szCs w:val="17"/>
          <w:color w:val="auto"/>
        </w:rPr>
        <w:t>”), representing 50% of all the issued and outstanding shares of Class A Stock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Closing and 0.5% of Company Interest as of the Closing. At the Closing and immediately after the issuance of Class A Stock to the Tempus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Shareholder as described in </w:t>
      </w:r>
      <w:r>
        <w:rPr>
          <w:rFonts w:ascii="Times New Roman" w:cs="Times New Roman" w:eastAsia="Times New Roman" w:hAnsi="Times New Roman"/>
          <w:sz w:val="17"/>
          <w:szCs w:val="17"/>
          <w:u w:val="single" w:color="auto"/>
          <w:color w:val="auto"/>
        </w:rPr>
        <w:t>Section 6.1(a)(iii)</w:t>
      </w:r>
      <w:r>
        <w:rPr>
          <w:rFonts w:ascii="Times New Roman" w:cs="Times New Roman" w:eastAsia="Times New Roman" w:hAnsi="Times New Roman"/>
          <w:sz w:val="17"/>
          <w:szCs w:val="17"/>
          <w:color w:val="auto"/>
        </w:rPr>
        <w:t>, the SBG Class A Shareholder shall deliver the SBG Shareholder Class A Purchase Price to the Tempus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 by wire transfer of immediately available funds and the SBG Shareholder, the SBG Class A Shareholder, the Tempus Shareholder and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shall take all actions to effectuate and perfect the transfer of the SBG Shareholder Class A Shares to the SBG Class A Shareholder.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640"/>
          </w:cols>
          <w:pgMar w:left="620" w:top="264" w:right="639" w:bottom="1440" w:gutter="0" w:footer="0" w:header="0"/>
        </w:sectPr>
      </w:pPr>
    </w:p>
    <w:bookmarkStart w:id="465" w:name="page466"/>
    <w:bookmarkEnd w:id="465"/>
    <w:p>
      <w:pPr>
        <w:ind w:right="60" w:firstLine="426"/>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(c)  </w:t>
      </w:r>
      <w:r>
        <w:rPr>
          <w:rFonts w:ascii="Times New Roman" w:cs="Times New Roman" w:eastAsia="Times New Roman" w:hAnsi="Times New Roman"/>
          <w:sz w:val="17"/>
          <w:szCs w:val="17"/>
          <w:u w:val="single" w:color="auto"/>
          <w:color w:val="auto"/>
        </w:rPr>
        <w:t>Update to Registers</w:t>
      </w:r>
      <w:r>
        <w:rPr>
          <w:rFonts w:ascii="Times New Roman" w:cs="Times New Roman" w:eastAsia="Times New Roman" w:hAnsi="Times New Roman"/>
          <w:sz w:val="17"/>
          <w:szCs w:val="17"/>
          <w:color w:val="auto"/>
        </w:rPr>
        <w:t xml:space="preserve">. Promptly after (i) the subscription for shares of Company Securities by the SBG Shareholder and the Tempus Shareholder as set forth in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and (ii) the transfer of the SBG Shareholder Class A Shares from the Tempus Shareholder to the SBG Class A Shareholder as set forth in this </w:t>
      </w:r>
      <w:r>
        <w:rPr>
          <w:rFonts w:ascii="Times New Roman" w:cs="Times New Roman" w:eastAsia="Times New Roman" w:hAnsi="Times New Roman"/>
          <w:sz w:val="17"/>
          <w:szCs w:val="17"/>
          <w:u w:val="single" w:color="auto"/>
          <w:color w:val="auto"/>
        </w:rPr>
        <w:t>Section 6.1(c)</w:t>
      </w:r>
      <w:r>
        <w:rPr>
          <w:rFonts w:ascii="Times New Roman" w:cs="Times New Roman" w:eastAsia="Times New Roman" w:hAnsi="Times New Roman"/>
          <w:sz w:val="17"/>
          <w:szCs w:val="17"/>
          <w:color w:val="auto"/>
        </w:rPr>
        <w:t>, the Company shall (x) reflect such subscription and transfer of such shares of the Company Securities in the shareholder register of the Company (the “</w:t>
      </w:r>
      <w:r>
        <w:rPr>
          <w:rFonts w:ascii="Times New Roman" w:cs="Times New Roman" w:eastAsia="Times New Roman" w:hAnsi="Times New Roman"/>
          <w:sz w:val="17"/>
          <w:szCs w:val="17"/>
          <w:u w:val="single" w:color="auto"/>
          <w:color w:val="auto"/>
        </w:rPr>
        <w:t>Shareholder Register</w:t>
      </w:r>
      <w:r>
        <w:rPr>
          <w:rFonts w:ascii="Times New Roman" w:cs="Times New Roman" w:eastAsia="Times New Roman" w:hAnsi="Times New Roman"/>
          <w:sz w:val="17"/>
          <w:szCs w:val="17"/>
          <w:color w:val="auto"/>
        </w:rPr>
        <w:t>”) and (ii) amend the registration of the commercial register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Commercial Register</w:t>
      </w:r>
      <w:r>
        <w:rPr>
          <w:rFonts w:ascii="Times New Roman" w:cs="Times New Roman" w:eastAsia="Times New Roman" w:hAnsi="Times New Roman"/>
          <w:sz w:val="17"/>
          <w:szCs w:val="17"/>
          <w:color w:val="auto"/>
        </w:rPr>
        <w:t>”) to reflect such subscription.</w:t>
      </w:r>
    </w:p>
    <w:p>
      <w:pPr>
        <w:spacing w:after="0" w:line="205" w:lineRule="exact"/>
        <w:rPr>
          <w:sz w:val="20"/>
          <w:szCs w:val="20"/>
          <w:color w:val="auto"/>
        </w:rPr>
      </w:pPr>
    </w:p>
    <w:p>
      <w:pPr>
        <w:ind w:right="120" w:firstLine="426"/>
        <w:spacing w:after="0" w:line="266"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Confirmation Regarding Compliance with Payment Timing of License Fees</w:t>
      </w:r>
      <w:r>
        <w:rPr>
          <w:rFonts w:ascii="Times New Roman" w:cs="Times New Roman" w:eastAsia="Times New Roman" w:hAnsi="Times New Roman"/>
          <w:sz w:val="17"/>
          <w:szCs w:val="17"/>
          <w:color w:val="auto"/>
        </w:rPr>
        <w:t xml:space="preserve">. At least [***] Days prior to the Closing Date, the SBG Shareholder shall deliver to the Tempus Shareholder written confirmation in the form attached hereto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confirming the expected timing for payments to be made by the SBG Shareholder pursuant to this Agreement and for subsequent payments to be made by the Company pursuant to Section 3.1 of the IP License Agreement and Section 6.b. of the Data License Agreement (collectively, the “</w:t>
      </w:r>
      <w:r>
        <w:rPr>
          <w:rFonts w:ascii="Times New Roman" w:cs="Times New Roman" w:eastAsia="Times New Roman" w:hAnsi="Times New Roman"/>
          <w:sz w:val="17"/>
          <w:szCs w:val="17"/>
          <w:u w:val="single" w:color="auto"/>
          <w:color w:val="auto"/>
        </w:rPr>
        <w:t>License Fees</w:t>
      </w:r>
      <w:r>
        <w:rPr>
          <w:rFonts w:ascii="Times New Roman" w:cs="Times New Roman" w:eastAsia="Times New Roman" w:hAnsi="Times New Roman"/>
          <w:sz w:val="17"/>
          <w:szCs w:val="17"/>
          <w:color w:val="auto"/>
        </w:rPr>
        <w:t>”) in compliance with the requirements of this Agreement, the IP License Agreement and the Data License Agreement.</w:t>
      </w:r>
    </w:p>
    <w:p>
      <w:pPr>
        <w:spacing w:after="0" w:line="2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Preemptive Rights; Additional Funding</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right="20" w:firstLine="426"/>
        <w:spacing w:after="0" w:line="263" w:lineRule="auto"/>
        <w:rPr>
          <w:sz w:val="20"/>
          <w:szCs w:val="20"/>
          <w:color w:val="auto"/>
        </w:rPr>
      </w:pPr>
      <w:r>
        <w:rPr>
          <w:rFonts w:ascii="Times New Roman" w:cs="Times New Roman" w:eastAsia="Times New Roman" w:hAnsi="Times New Roman"/>
          <w:sz w:val="17"/>
          <w:szCs w:val="17"/>
          <w:color w:val="auto"/>
        </w:rPr>
        <w:t xml:space="preserve">(a)  Each Initial Shareholder shall have the right (but not the obligation) to (i) subscribe for any or all of its Pro Rata Portion of any proposed issuance by the Company of any Company Securities, other than for Exempt Issuances and (ii) participate with respect to any or all of its Pro Rata Portion in any debt financing raised by the Company. Unless otherwise agreed by both the Initial Shareholders, each Initial Shareholder may allocate any portion of its preemptive rights set forth in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amongst itself and its Affiliates, subject to such Affiliates becoming a party to this Agreement and that such Initial Shareholder shall remain responsible for the performance of its Affiliate’s obligations as a Shareholder hereunder. Failure by an Initial Shareholder to exercise its preemptive rights with respect to a particular issuance of Company Securities or debt financing shall not constitute a waiver of such Initial Shareholder’s right to exercise its preemptive rights for subsequent issuances or debt financings.</w:t>
      </w:r>
    </w:p>
    <w:p>
      <w:pPr>
        <w:spacing w:after="0" w:line="173" w:lineRule="exact"/>
        <w:rPr>
          <w:sz w:val="20"/>
          <w:szCs w:val="20"/>
          <w:color w:val="auto"/>
        </w:rPr>
      </w:pPr>
    </w:p>
    <w:p>
      <w:pPr>
        <w:ind w:right="60" w:firstLine="426"/>
        <w:spacing w:after="0" w:line="259" w:lineRule="auto"/>
        <w:rPr>
          <w:sz w:val="20"/>
          <w:szCs w:val="20"/>
          <w:color w:val="auto"/>
        </w:rPr>
      </w:pPr>
      <w:r>
        <w:rPr>
          <w:rFonts w:ascii="Times New Roman" w:cs="Times New Roman" w:eastAsia="Times New Roman" w:hAnsi="Times New Roman"/>
          <w:sz w:val="17"/>
          <w:szCs w:val="17"/>
          <w:color w:val="auto"/>
        </w:rPr>
        <w:t xml:space="preserve">(b)  If, following the Closing and the initial funding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the Board (i) determines that the Company requires additional funding to execute the Business Plan then in effect (“</w:t>
      </w:r>
      <w:r>
        <w:rPr>
          <w:rFonts w:ascii="Times New Roman" w:cs="Times New Roman" w:eastAsia="Times New Roman" w:hAnsi="Times New Roman"/>
          <w:sz w:val="17"/>
          <w:szCs w:val="17"/>
          <w:u w:val="single" w:color="auto"/>
          <w:color w:val="auto"/>
        </w:rPr>
        <w:t>Additional Funding</w:t>
      </w:r>
      <w:r>
        <w:rPr>
          <w:rFonts w:ascii="Times New Roman" w:cs="Times New Roman" w:eastAsia="Times New Roman" w:hAnsi="Times New Roman"/>
          <w:sz w:val="17"/>
          <w:szCs w:val="17"/>
          <w:color w:val="auto"/>
        </w:rPr>
        <w:t>”) and (ii) authorizes the amount thereof, such amount not to exceed the shortfall amount reasonably required to so execute such Business Plan (the “</w:t>
      </w:r>
      <w:r>
        <w:rPr>
          <w:rFonts w:ascii="Times New Roman" w:cs="Times New Roman" w:eastAsia="Times New Roman" w:hAnsi="Times New Roman"/>
          <w:sz w:val="17"/>
          <w:szCs w:val="17"/>
          <w:u w:val="single" w:color="auto"/>
          <w:color w:val="auto"/>
        </w:rPr>
        <w:t>Total Additional Funding Amount</w:t>
      </w:r>
      <w:r>
        <w:rPr>
          <w:rFonts w:ascii="Times New Roman" w:cs="Times New Roman" w:eastAsia="Times New Roman" w:hAnsi="Times New Roman"/>
          <w:sz w:val="17"/>
          <w:szCs w:val="17"/>
          <w:color w:val="auto"/>
        </w:rPr>
        <w:t xml:space="preserve">”), then the Company shall, from time to time, issue to the Initial Shareholders Additional Funding Notices promptly following the Board’s determination, instruction and authorization. As part of any such Board determination, instruction and authorization, the Board may determine that such Additional Funding (or any portion thereof) may be funded by way of in-kind contribution;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whether any Initial Shareholder may actually so fund by way of an in-kind contribution will be a Shareholder Reserved Matter subject to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any such in-kind contribution shall be governed by the terms of</w:t>
      </w:r>
    </w:p>
    <w:p>
      <w:pPr>
        <w:spacing w:after="0" w:line="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Section 6.2(j)</w:t>
      </w:r>
      <w:r>
        <w:rPr>
          <w:rFonts w:ascii="Times New Roman" w:cs="Times New Roman" w:eastAsia="Times New Roman" w:hAnsi="Times New Roman"/>
          <w:sz w:val="17"/>
          <w:szCs w:val="17"/>
          <w:color w:val="auto"/>
        </w:rPr>
        <w:t xml:space="preserve">. The Board shall in good faith determine the valuation of the Company as of the Board Additional Funding Determination Date based on which the Additional Funding will be raised;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the Board fails to so determine within [***] Days, the valuation of the Company for purposes of the Additional Funding shall be the Fair Market Value and the costs and expenses of determining such Fair Market Value shall be borne by the Company.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00"/>
          </w:cols>
          <w:pgMar w:left="620" w:top="264" w:right="679" w:bottom="1440" w:gutter="0" w:footer="0" w:header="0"/>
        </w:sectPr>
      </w:pPr>
    </w:p>
    <w:bookmarkStart w:id="466" w:name="page467"/>
    <w:bookmarkEnd w:id="466"/>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   Each “</w:t>
      </w:r>
      <w:r>
        <w:rPr>
          <w:rFonts w:ascii="Times New Roman" w:cs="Times New Roman" w:eastAsia="Times New Roman" w:hAnsi="Times New Roman"/>
          <w:sz w:val="17"/>
          <w:szCs w:val="17"/>
          <w:u w:val="single" w:color="auto"/>
          <w:color w:val="auto"/>
        </w:rPr>
        <w:t>Additional Funding Notice</w:t>
      </w:r>
      <w:r>
        <w:rPr>
          <w:rFonts w:ascii="Times New Roman" w:cs="Times New Roman" w:eastAsia="Times New Roman" w:hAnsi="Times New Roman"/>
          <w:sz w:val="17"/>
          <w:szCs w:val="17"/>
          <w:color w:val="auto"/>
        </w:rPr>
        <w:t>” shall specify, for each Initial Shareholder:</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   the purpose for which such Additional Funding Notice is being issued;</w:t>
      </w:r>
    </w:p>
    <w:p>
      <w:pPr>
        <w:spacing w:after="0" w:line="223" w:lineRule="exact"/>
        <w:rPr>
          <w:sz w:val="20"/>
          <w:szCs w:val="20"/>
          <w:color w:val="auto"/>
        </w:rPr>
      </w:pPr>
    </w:p>
    <w:p>
      <w:pPr>
        <w:ind w:right="80" w:firstLine="960"/>
        <w:spacing w:after="0" w:line="266" w:lineRule="auto"/>
        <w:rPr>
          <w:sz w:val="20"/>
          <w:szCs w:val="20"/>
          <w:color w:val="auto"/>
        </w:rPr>
      </w:pPr>
      <w:r>
        <w:rPr>
          <w:rFonts w:ascii="Times New Roman" w:cs="Times New Roman" w:eastAsia="Times New Roman" w:hAnsi="Times New Roman"/>
          <w:sz w:val="17"/>
          <w:szCs w:val="17"/>
          <w:color w:val="auto"/>
        </w:rPr>
        <w:t>(ii)  (A) the Total Additional Funding Amount requested from all Initial Shareholders in the aggregate and from each Initial Shareholder respectively (which in all cases shall be based on each Initial Shareholder’s Pro Rata Portion of the Total Additional Funding Amount) and (B) the amount and class of Company Securities to be issued to each Initial Shareholder assuming receipt of the Total Additional Funding Amount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unless otherwise approved by the Board and agreed by the Initial Shareholder receiving such Company Securities, each Initial Shareholder shall receive, in respect of its Additional Funding, Company Securities of the same class as the Company Securities held by such Initial Shareholder);</w:t>
      </w:r>
    </w:p>
    <w:p>
      <w:pPr>
        <w:spacing w:after="0" w:line="1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 xml:space="preserve">(iii)   whether such Additional Funding (or any portion thereof) may be funded by way of in-kind contribution, subject to </w:t>
      </w:r>
      <w:r>
        <w:rPr>
          <w:rFonts w:ascii="Times New Roman" w:cs="Times New Roman" w:eastAsia="Times New Roman" w:hAnsi="Times New Roman"/>
          <w:sz w:val="17"/>
          <w:szCs w:val="17"/>
          <w:u w:val="single" w:color="auto"/>
          <w:color w:val="auto"/>
        </w:rPr>
        <w:t>Section 6.2(j)</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960"/>
        <w:spacing w:after="0" w:line="276" w:lineRule="auto"/>
        <w:rPr>
          <w:sz w:val="20"/>
          <w:szCs w:val="20"/>
          <w:color w:val="auto"/>
        </w:rPr>
      </w:pPr>
      <w:r>
        <w:rPr>
          <w:rFonts w:ascii="Times New Roman" w:cs="Times New Roman" w:eastAsia="Times New Roman" w:hAnsi="Times New Roman"/>
          <w:sz w:val="17"/>
          <w:szCs w:val="17"/>
          <w:color w:val="auto"/>
        </w:rPr>
        <w:t>(iv)  the bank account to which such Additional Funding should be paid and other information and instructions necessary to effect the applicable payment to such bank account (it being understood and agreed that such information and instructions may be provided separately for security purposes so long as such information and instructions are provided substantially concurrently with the Additional Funding Notice); and</w:t>
      </w:r>
    </w:p>
    <w:p>
      <w:pPr>
        <w:spacing w:after="0" w:line="162" w:lineRule="exact"/>
        <w:rPr>
          <w:sz w:val="20"/>
          <w:szCs w:val="20"/>
          <w:color w:val="auto"/>
        </w:rPr>
      </w:pPr>
    </w:p>
    <w:p>
      <w:pPr>
        <w:ind w:right="40" w:firstLine="960"/>
        <w:spacing w:after="0" w:line="295" w:lineRule="auto"/>
        <w:rPr>
          <w:sz w:val="20"/>
          <w:szCs w:val="20"/>
          <w:color w:val="auto"/>
        </w:rPr>
      </w:pPr>
      <w:r>
        <w:rPr>
          <w:rFonts w:ascii="Times New Roman" w:cs="Times New Roman" w:eastAsia="Times New Roman" w:hAnsi="Times New Roman"/>
          <w:sz w:val="17"/>
          <w:szCs w:val="17"/>
          <w:color w:val="auto"/>
        </w:rPr>
        <w:t>(v)  the date by which such Additional Funding is to be made, which in no event may be earlier than the [***] Day following delivery of such Additional Funding Notice.</w:t>
      </w:r>
    </w:p>
    <w:p>
      <w:pPr>
        <w:spacing w:after="0" w:line="147" w:lineRule="exact"/>
        <w:rPr>
          <w:sz w:val="20"/>
          <w:szCs w:val="20"/>
          <w:color w:val="auto"/>
        </w:rPr>
      </w:pPr>
    </w:p>
    <w:p>
      <w:pPr>
        <w:ind w:right="20" w:firstLine="426"/>
        <w:spacing w:after="0" w:line="260" w:lineRule="auto"/>
        <w:rPr>
          <w:sz w:val="20"/>
          <w:szCs w:val="20"/>
          <w:color w:val="auto"/>
        </w:rPr>
      </w:pPr>
      <w:r>
        <w:rPr>
          <w:rFonts w:ascii="Times New Roman" w:cs="Times New Roman" w:eastAsia="Times New Roman" w:hAnsi="Times New Roman"/>
          <w:sz w:val="17"/>
          <w:szCs w:val="17"/>
          <w:color w:val="auto"/>
        </w:rPr>
        <w:t>(d)  Each Initial Shareholder may elect to fund any or all of its Pro Rata Portion of the Total Additional Funding Amount specified in the Additional Funding Notice by delivering a written notice to the Company (an “</w:t>
      </w:r>
      <w:r>
        <w:rPr>
          <w:rFonts w:ascii="Times New Roman" w:cs="Times New Roman" w:eastAsia="Times New Roman" w:hAnsi="Times New Roman"/>
          <w:sz w:val="17"/>
          <w:szCs w:val="17"/>
          <w:u w:val="single" w:color="auto"/>
          <w:color w:val="auto"/>
        </w:rPr>
        <w:t>Exercise Notice</w:t>
      </w:r>
      <w:r>
        <w:rPr>
          <w:rFonts w:ascii="Times New Roman" w:cs="Times New Roman" w:eastAsia="Times New Roman" w:hAnsi="Times New Roman"/>
          <w:sz w:val="17"/>
          <w:szCs w:val="17"/>
          <w:color w:val="auto"/>
        </w:rPr>
        <w:t xml:space="preserve">”), setting out (i) the amount of Additional Funding to be funded by such Initial Shareholder, (ii) the applicable number of Company Securities to be issued to such Initial Shareholder and (iii) subject to </w:t>
      </w:r>
      <w:r>
        <w:rPr>
          <w:rFonts w:ascii="Times New Roman" w:cs="Times New Roman" w:eastAsia="Times New Roman" w:hAnsi="Times New Roman"/>
          <w:sz w:val="17"/>
          <w:szCs w:val="17"/>
          <w:u w:val="single" w:color="auto"/>
          <w:color w:val="auto"/>
        </w:rPr>
        <w:t>Section 6.2(j)</w:t>
      </w:r>
      <w:r>
        <w:rPr>
          <w:rFonts w:ascii="Times New Roman" w:cs="Times New Roman" w:eastAsia="Times New Roman" w:hAnsi="Times New Roman"/>
          <w:sz w:val="17"/>
          <w:szCs w:val="17"/>
          <w:color w:val="auto"/>
        </w:rPr>
        <w:t xml:space="preserve">, whether such Initial Shareholder desires to fund such Additional Funding by way of in-kind contribution (if permitted by the applicable Additional Funding Notice). Such Exercise Notice shall constitute exercise by such Initial Shareholder of its rights under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and a binding agreement of such Initial Shareholder to fund the amount of Additional Funding specified in the Exercise Notice. If any Initial Shareholder shall not have delivered an Exercise Notice to the Company within [***] Days following receipt of the Additional Funding Notice, the Company shall deliver a duplicate copy of its Additional Funding Notice to such Initial Shareholder, and such Initial Shareholder shall, within [***] days following receipt of such duplicate copy, deliver an Exercise Notice to the Company or notify the Company in writing of its intent not to fund its Pro Rata Portion of such Total Additional Funding Amount. If, at the termination of such [***]-day period, such Initial Shareholder shall not have delivered a notice to the Company in accordance with the preceding sentence, then such Initial Shareholder shall be deemed to have waived all its rights under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with respect to its preemptive rights for such particular issuance of Company Securities or debt financing.</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600"/>
          </w:cols>
          <w:pgMar w:left="620" w:top="264" w:right="679" w:bottom="1440" w:gutter="0" w:footer="0" w:header="0"/>
        </w:sectPr>
      </w:pPr>
    </w:p>
    <w:bookmarkStart w:id="467" w:name="page468"/>
    <w:bookmarkEnd w:id="467"/>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   In the event that one of the Initial Shareholders affirmatively declines or is deemed to have waived its rights to fund its Pro Rata Portion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Additional Funding Amount specified in the Additional Funding Notice in full, the Company shall give the option to the other Initial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 that has delivered an Exercise Notice and has subscribed for its entitled Company Securities in full (the “</w:t>
      </w:r>
      <w:r>
        <w:rPr>
          <w:rFonts w:ascii="Times New Roman" w:cs="Times New Roman" w:eastAsia="Times New Roman" w:hAnsi="Times New Roman"/>
          <w:sz w:val="17"/>
          <w:szCs w:val="17"/>
          <w:u w:val="single" w:color="auto"/>
          <w:color w:val="auto"/>
        </w:rPr>
        <w:t>Exercising Initial Shareholder</w:t>
      </w:r>
      <w:r>
        <w:rPr>
          <w:rFonts w:ascii="Times New Roman" w:cs="Times New Roman" w:eastAsia="Times New Roman" w:hAnsi="Times New Roman"/>
          <w:sz w:val="17"/>
          <w:szCs w:val="17"/>
          <w:color w:val="auto"/>
        </w:rPr>
        <w:t>”)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giving written notice promptly upon the expiration of such [***] Day period (the “</w:t>
      </w:r>
      <w:r>
        <w:rPr>
          <w:rFonts w:ascii="Times New Roman" w:cs="Times New Roman" w:eastAsia="Times New Roman" w:hAnsi="Times New Roman"/>
          <w:sz w:val="17"/>
          <w:szCs w:val="17"/>
          <w:u w:val="single" w:color="auto"/>
          <w:color w:val="auto"/>
        </w:rPr>
        <w:t>Additional Funding Shortfall Notice</w:t>
      </w:r>
      <w:r>
        <w:rPr>
          <w:rFonts w:ascii="Times New Roman" w:cs="Times New Roman" w:eastAsia="Times New Roman" w:hAnsi="Times New Roman"/>
          <w:sz w:val="17"/>
          <w:szCs w:val="17"/>
          <w:color w:val="auto"/>
        </w:rPr>
        <w:t>”) to fund such unfulfilled portion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Total Additional Funding Amount (the “</w:t>
      </w:r>
      <w:r>
        <w:rPr>
          <w:rFonts w:ascii="Times New Roman" w:cs="Times New Roman" w:eastAsia="Times New Roman" w:hAnsi="Times New Roman"/>
          <w:sz w:val="17"/>
          <w:szCs w:val="17"/>
          <w:u w:val="single" w:color="auto"/>
          <w:color w:val="auto"/>
        </w:rPr>
        <w:t>Additional Funding Shortfall Amount</w:t>
      </w:r>
      <w:r>
        <w:rPr>
          <w:rFonts w:ascii="Times New Roman" w:cs="Times New Roman" w:eastAsia="Times New Roman" w:hAnsi="Times New Roman"/>
          <w:sz w:val="17"/>
          <w:szCs w:val="17"/>
          <w:color w:val="auto"/>
        </w:rPr>
        <w:t>”). The Additional Funding Shortfall Amount may be fulfilled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Exercising Initial Shareholder, in its sole discretion, by (i) subscribing for the applicable number of Company Securities set forth in the applicable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Funding Notice, (ii) making a shareholder loan on commercially reasonable and arms’ length terms or (iii) causing the Company to obtain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third-party debt financing on commercially reasonable and arms’ length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option of subscribing for additional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pursuant to the preceding clause (i) shall be capped at a cumulative aggregate amount (across all Additional Fundings approved by the Board)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 ($[***] funded by each Initial Shareholder as an Exercising Initial Shareholder) and shall not be available to either Initial Shareholder for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above such cap. To clarify, once each Initial Shareholder has funded $[***] in Additional Fundings (for an aggregate Additional Funding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pursuant to the preceding clause (i), all Additional Funding must be in the form of debt pursuant to clauses (ii) or (iii) in the preceding sentence.</w:t>
      </w:r>
    </w:p>
    <w:p>
      <w:pPr>
        <w:spacing w:after="0" w:line="205" w:lineRule="exact"/>
        <w:rPr>
          <w:sz w:val="20"/>
          <w:szCs w:val="20"/>
          <w:color w:val="auto"/>
        </w:rPr>
      </w:pPr>
    </w:p>
    <w:p>
      <w:pPr>
        <w:ind w:right="60" w:firstLine="426"/>
        <w:spacing w:after="0" w:line="262" w:lineRule="auto"/>
        <w:rPr>
          <w:sz w:val="20"/>
          <w:szCs w:val="20"/>
          <w:color w:val="auto"/>
        </w:rPr>
      </w:pPr>
      <w:r>
        <w:rPr>
          <w:rFonts w:ascii="Times New Roman" w:cs="Times New Roman" w:eastAsia="Times New Roman" w:hAnsi="Times New Roman"/>
          <w:sz w:val="17"/>
          <w:szCs w:val="17"/>
          <w:color w:val="auto"/>
        </w:rPr>
        <w:t xml:space="preserve">(f)  Such Exercising Initial Shareholder shall have [***] Days following receipt of the Additional Funding Shortfall Notice, to deliver a written notice to the Company setting out (i) the portion of the Additional Funding Shortfall Amount to be funded in accordance with </w:t>
      </w:r>
      <w:r>
        <w:rPr>
          <w:rFonts w:ascii="Times New Roman" w:cs="Times New Roman" w:eastAsia="Times New Roman" w:hAnsi="Times New Roman"/>
          <w:sz w:val="17"/>
          <w:szCs w:val="17"/>
          <w:u w:val="single" w:color="auto"/>
          <w:color w:val="auto"/>
        </w:rPr>
        <w:t>Section 6.2(e)(i)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6.2(e)(ii)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6.2(e)(iii)</w:t>
      </w:r>
      <w:r>
        <w:rPr>
          <w:rFonts w:ascii="Times New Roman" w:cs="Times New Roman" w:eastAsia="Times New Roman" w:hAnsi="Times New Roman"/>
          <w:sz w:val="17"/>
          <w:szCs w:val="17"/>
          <w:color w:val="auto"/>
        </w:rPr>
        <w:t xml:space="preserve">, as applicable, (ii) the number of Company Securities to be issued to such Exercising Initial Shareholder (if such Additional Funding Shortfall Amount is to be funded in accordance with </w:t>
      </w:r>
      <w:r>
        <w:rPr>
          <w:rFonts w:ascii="Times New Roman" w:cs="Times New Roman" w:eastAsia="Times New Roman" w:hAnsi="Times New Roman"/>
          <w:sz w:val="17"/>
          <w:szCs w:val="17"/>
          <w:u w:val="single" w:color="auto"/>
          <w:color w:val="auto"/>
        </w:rPr>
        <w:t>Section 6.2(e)(i)</w:t>
      </w:r>
      <w:r>
        <w:rPr>
          <w:rFonts w:ascii="Times New Roman" w:cs="Times New Roman" w:eastAsia="Times New Roman" w:hAnsi="Times New Roman"/>
          <w:sz w:val="17"/>
          <w:szCs w:val="17"/>
          <w:color w:val="auto"/>
        </w:rPr>
        <w:t xml:space="preserve">) and (iii) subject to </w:t>
      </w:r>
      <w:r>
        <w:rPr>
          <w:rFonts w:ascii="Times New Roman" w:cs="Times New Roman" w:eastAsia="Times New Roman" w:hAnsi="Times New Roman"/>
          <w:sz w:val="17"/>
          <w:szCs w:val="17"/>
          <w:u w:val="single" w:color="auto"/>
          <w:color w:val="auto"/>
        </w:rPr>
        <w:t>Section 6.2(j)</w:t>
      </w:r>
      <w:r>
        <w:rPr>
          <w:rFonts w:ascii="Times New Roman" w:cs="Times New Roman" w:eastAsia="Times New Roman" w:hAnsi="Times New Roman"/>
          <w:sz w:val="17"/>
          <w:szCs w:val="17"/>
          <w:color w:val="auto"/>
        </w:rPr>
        <w:t>, whether such Exercising Initial Shareholder desires to fund such Additional Funding (or any portion thereof) by way of in-kind contribution (if permitted by the applicable Additional Funding Notice) (the “</w:t>
      </w:r>
      <w:r>
        <w:rPr>
          <w:rFonts w:ascii="Times New Roman" w:cs="Times New Roman" w:eastAsia="Times New Roman" w:hAnsi="Times New Roman"/>
          <w:sz w:val="17"/>
          <w:szCs w:val="17"/>
          <w:u w:val="single" w:color="auto"/>
          <w:color w:val="auto"/>
        </w:rPr>
        <w:t>Additional Funding Shortfall Exercise Notice</w:t>
      </w:r>
      <w:r>
        <w:rPr>
          <w:rFonts w:ascii="Times New Roman" w:cs="Times New Roman" w:eastAsia="Times New Roman" w:hAnsi="Times New Roman"/>
          <w:sz w:val="17"/>
          <w:szCs w:val="17"/>
          <w:color w:val="auto"/>
        </w:rPr>
        <w:t xml:space="preserve">”). If, at the termination of such [***] Day-period, any Initial Shareholder shall not have delivered an Additional Funding Shortfall Exercise Notice to the Company, such Initial Shareholder shall be deemed to have waived all of its rights under </w:t>
      </w:r>
      <w:r>
        <w:rPr>
          <w:rFonts w:ascii="Times New Roman" w:cs="Times New Roman" w:eastAsia="Times New Roman" w:hAnsi="Times New Roman"/>
          <w:sz w:val="17"/>
          <w:szCs w:val="17"/>
          <w:u w:val="single" w:color="auto"/>
          <w:color w:val="auto"/>
        </w:rPr>
        <w:t>Section 6.2(e)</w:t>
      </w:r>
      <w:r>
        <w:rPr>
          <w:rFonts w:ascii="Times New Roman" w:cs="Times New Roman" w:eastAsia="Times New Roman" w:hAnsi="Times New Roman"/>
          <w:sz w:val="17"/>
          <w:szCs w:val="17"/>
          <w:color w:val="auto"/>
        </w:rPr>
        <w:t xml:space="preserve"> to fund or cause the funding, as applicable, of the Additional Funding Shortfall Amount.</w:t>
      </w:r>
    </w:p>
    <w:p>
      <w:pPr>
        <w:spacing w:after="0" w:line="175" w:lineRule="exact"/>
        <w:rPr>
          <w:sz w:val="20"/>
          <w:szCs w:val="20"/>
          <w:color w:val="auto"/>
        </w:rPr>
      </w:pPr>
    </w:p>
    <w:p>
      <w:pPr>
        <w:ind w:right="20" w:firstLine="426"/>
        <w:spacing w:after="0" w:line="261" w:lineRule="auto"/>
        <w:rPr>
          <w:sz w:val="20"/>
          <w:szCs w:val="20"/>
          <w:color w:val="auto"/>
        </w:rPr>
      </w:pPr>
      <w:r>
        <w:rPr>
          <w:rFonts w:ascii="Times New Roman" w:cs="Times New Roman" w:eastAsia="Times New Roman" w:hAnsi="Times New Roman"/>
          <w:sz w:val="17"/>
          <w:szCs w:val="17"/>
          <w:color w:val="auto"/>
        </w:rPr>
        <w:t xml:space="preserve">(g)  In the event the Exercising Initial Shareholder elects to fund (or cause to be funded) a portion of the Additional Funding Shortfall Amount pursuant to </w:t>
      </w:r>
      <w:r>
        <w:rPr>
          <w:rFonts w:ascii="Times New Roman" w:cs="Times New Roman" w:eastAsia="Times New Roman" w:hAnsi="Times New Roman"/>
          <w:sz w:val="17"/>
          <w:szCs w:val="17"/>
          <w:u w:val="single" w:color="auto"/>
          <w:color w:val="auto"/>
        </w:rPr>
        <w:t>Section 6.2(e)(ii)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6.2(e)(iii)</w:t>
      </w:r>
      <w:r>
        <w:rPr>
          <w:rFonts w:ascii="Times New Roman" w:cs="Times New Roman" w:eastAsia="Times New Roman" w:hAnsi="Times New Roman"/>
          <w:sz w:val="17"/>
          <w:szCs w:val="17"/>
          <w:color w:val="auto"/>
        </w:rPr>
        <w:t xml:space="preserve"> (each, an “</w:t>
      </w:r>
      <w:r>
        <w:rPr>
          <w:rFonts w:ascii="Times New Roman" w:cs="Times New Roman" w:eastAsia="Times New Roman" w:hAnsi="Times New Roman"/>
          <w:sz w:val="17"/>
          <w:szCs w:val="17"/>
          <w:u w:val="single" w:color="auto"/>
          <w:color w:val="auto"/>
        </w:rPr>
        <w:t>Additional Debt Financing</w:t>
      </w:r>
      <w:r>
        <w:rPr>
          <w:rFonts w:ascii="Times New Roman" w:cs="Times New Roman" w:eastAsia="Times New Roman" w:hAnsi="Times New Roman"/>
          <w:sz w:val="17"/>
          <w:szCs w:val="17"/>
          <w:color w:val="auto"/>
        </w:rPr>
        <w:t xml:space="preserve">”), each of the Initial Shareholders and the Company shall use its reasonable best efforts to take, or cause to be taken, all actions, and to do, or cause to be done, all things necessary, proper or advisable to arrange, consummate and obtain such Additional Debt Financing on commercially reasonable terms as promptly as practicable at the Company’s cost and expense, including (x) to cause any nominee Directors to approve the applicable Additional Debt Financing in accordance with </w:t>
      </w:r>
      <w:r>
        <w:rPr>
          <w:rFonts w:ascii="Times New Roman" w:cs="Times New Roman" w:eastAsia="Times New Roman" w:hAnsi="Times New Roman"/>
          <w:sz w:val="17"/>
          <w:szCs w:val="17"/>
          <w:u w:val="single" w:color="auto"/>
          <w:color w:val="auto"/>
        </w:rPr>
        <w:t>Section 6.2(e)</w:t>
      </w:r>
      <w:r>
        <w:rPr>
          <w:rFonts w:ascii="Times New Roman" w:cs="Times New Roman" w:eastAsia="Times New Roman" w:hAnsi="Times New Roman"/>
          <w:sz w:val="17"/>
          <w:szCs w:val="17"/>
          <w:color w:val="auto"/>
        </w:rPr>
        <w:t xml:space="preserve"> and (y) in the case of any third-party financing, to provide such cooperation as may be reasonably requested by any prospective third-party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of the Initial Shareholders or the Company be required to provide or cause to be provided such assistance that would, in such party’s reasonable discretion, (A) unreasonably interfere with its ongoing business operations or (B) conflict with, or result in any violation or breach of, any applicable Laws, any organizational documents of such party or any Contract or obligations of confidentiality binding on such party and not created in contemplation hereof), including: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40"/>
          </w:cols>
          <w:pgMar w:left="620" w:top="265" w:right="639" w:bottom="1440" w:gutter="0" w:footer="0" w:header="0"/>
        </w:sectPr>
      </w:pPr>
    </w:p>
    <w:bookmarkStart w:id="468" w:name="page469"/>
    <w:bookmarkEnd w:id="468"/>
    <w:p>
      <w:pPr>
        <w:ind w:right="500" w:firstLine="9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  causing management teams of the Company, with appropriate seniority and expertise, at reasonable times and upon reasonable advance notice, to participate in a reasonable number of meetings, conference calls, due diligence sessions and similar presentations with any prospective third-party lenders or investors and rating agencies (any or all of the foregoing which may be virtual);</w:t>
      </w:r>
    </w:p>
    <w:p>
      <w:pPr>
        <w:spacing w:after="0" w:line="162" w:lineRule="exact"/>
        <w:rPr>
          <w:sz w:val="20"/>
          <w:szCs w:val="20"/>
          <w:color w:val="auto"/>
        </w:rPr>
      </w:pPr>
    </w:p>
    <w:p>
      <w:pPr>
        <w:ind w:right="80" w:firstLine="960"/>
        <w:spacing w:after="0" w:line="266" w:lineRule="auto"/>
        <w:rPr>
          <w:sz w:val="20"/>
          <w:szCs w:val="20"/>
          <w:color w:val="auto"/>
        </w:rPr>
      </w:pPr>
      <w:r>
        <w:rPr>
          <w:rFonts w:ascii="Times New Roman" w:cs="Times New Roman" w:eastAsia="Times New Roman" w:hAnsi="Times New Roman"/>
          <w:sz w:val="17"/>
          <w:szCs w:val="17"/>
          <w:color w:val="auto"/>
        </w:rPr>
        <w:t>(ii)  reasonably assisting with the preparation of customary rating agency presentations, bank information memoranda, customary authorization letters and other customary marketing and syndication materials (which may only be distributed to a third party to the extent permitted by a confidentiality agreement entered into between the Company and such third party) reasonably and customarily required and reasonably requested by the prospective third-party lenders in connection with such third-party financing, in each case solely with respect to information relating to the Company’s business;</w:t>
      </w:r>
    </w:p>
    <w:p>
      <w:pPr>
        <w:spacing w:after="0" w:line="171" w:lineRule="exact"/>
        <w:rPr>
          <w:sz w:val="20"/>
          <w:szCs w:val="20"/>
          <w:color w:val="auto"/>
        </w:rPr>
      </w:pPr>
    </w:p>
    <w:p>
      <w:pPr>
        <w:ind w:firstLine="960"/>
        <w:spacing w:after="0" w:line="276" w:lineRule="auto"/>
        <w:rPr>
          <w:sz w:val="20"/>
          <w:szCs w:val="20"/>
          <w:color w:val="auto"/>
        </w:rPr>
      </w:pPr>
      <w:r>
        <w:rPr>
          <w:rFonts w:ascii="Times New Roman" w:cs="Times New Roman" w:eastAsia="Times New Roman" w:hAnsi="Times New Roman"/>
          <w:sz w:val="17"/>
          <w:szCs w:val="17"/>
          <w:color w:val="auto"/>
        </w:rPr>
        <w:t>(iii)  furnishing the prospective third-party lenders, with all documentation and other information required by regulatory authorities under the applicable “know your customer”, beneficial ownership and anti-money laundering rules and regulations that has been reasonably requested by the prospective third-party lenders in writing;</w:t>
      </w:r>
    </w:p>
    <w:p>
      <w:pPr>
        <w:spacing w:after="0" w:line="162" w:lineRule="exact"/>
        <w:rPr>
          <w:sz w:val="20"/>
          <w:szCs w:val="20"/>
          <w:color w:val="auto"/>
        </w:rPr>
      </w:pPr>
    </w:p>
    <w:p>
      <w:pPr>
        <w:ind w:right="120" w:firstLine="960"/>
        <w:spacing w:after="0" w:line="263" w:lineRule="auto"/>
        <w:rPr>
          <w:sz w:val="20"/>
          <w:szCs w:val="20"/>
          <w:color w:val="auto"/>
        </w:rPr>
      </w:pPr>
      <w:r>
        <w:rPr>
          <w:rFonts w:ascii="Times New Roman" w:cs="Times New Roman" w:eastAsia="Times New Roman" w:hAnsi="Times New Roman"/>
          <w:sz w:val="17"/>
          <w:szCs w:val="17"/>
          <w:color w:val="auto"/>
        </w:rPr>
        <w:t xml:space="preserve">(iv)  reasonably assisting with the negotiation, preparation and execution of any certificate of designations, credit agreement, guarantee, pledge and security documents or other definitive financing and investment documents contemplated by the third-party financing, and any certificates (including a customary solvency certificate) and schedules related thereto and other agreements, documents or certificates relating to the third-party financing, any certificates and schedules related thereto, and otherwise reasonably assist in facilitating the pledging of collateral or otherwise granting Liens contemplated by the third-party financing, as may be reasonably requested by the prospective third-party lenders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neither Initial Shareholder will be obligated to guarantee any indebtedness of the Company nor pledge or encumber any assets of it or any of its Affiliates to support the Company’s indebtedness; and</w:t>
      </w:r>
    </w:p>
    <w:p>
      <w:pPr>
        <w:spacing w:after="0" w:line="173" w:lineRule="exact"/>
        <w:rPr>
          <w:sz w:val="20"/>
          <w:szCs w:val="20"/>
          <w:color w:val="auto"/>
        </w:rPr>
      </w:pPr>
    </w:p>
    <w:p>
      <w:pPr>
        <w:ind w:right="360" w:firstLine="960"/>
        <w:spacing w:after="0" w:line="276" w:lineRule="auto"/>
        <w:rPr>
          <w:sz w:val="20"/>
          <w:szCs w:val="20"/>
          <w:color w:val="auto"/>
        </w:rPr>
      </w:pPr>
      <w:r>
        <w:rPr>
          <w:rFonts w:ascii="Times New Roman" w:cs="Times New Roman" w:eastAsia="Times New Roman" w:hAnsi="Times New Roman"/>
          <w:sz w:val="17"/>
          <w:szCs w:val="17"/>
          <w:color w:val="auto"/>
        </w:rPr>
        <w:t>(v)  providing the prospective third-party lenders with financial information derived from the historical books and records of the Company and its Subsidiaries and other pertinent information relating to the Company and its Subsidiaries reasonably requested by the prospective third-party lenders as is reasonably necessary for the completion of such third-party financing.</w:t>
      </w:r>
    </w:p>
    <w:p>
      <w:pPr>
        <w:spacing w:after="0" w:line="162" w:lineRule="exact"/>
        <w:rPr>
          <w:sz w:val="20"/>
          <w:szCs w:val="20"/>
          <w:color w:val="auto"/>
        </w:rPr>
      </w:pPr>
    </w:p>
    <w:p>
      <w:pPr>
        <w:ind w:right="20" w:firstLine="426"/>
        <w:spacing w:after="0" w:line="269" w:lineRule="auto"/>
        <w:rPr>
          <w:sz w:val="20"/>
          <w:szCs w:val="20"/>
          <w:color w:val="auto"/>
        </w:rPr>
      </w:pPr>
      <w:r>
        <w:rPr>
          <w:rFonts w:ascii="Times New Roman" w:cs="Times New Roman" w:eastAsia="Times New Roman" w:hAnsi="Times New Roman"/>
          <w:sz w:val="17"/>
          <w:szCs w:val="17"/>
          <w:color w:val="auto"/>
        </w:rPr>
        <w:t xml:space="preserve">(h)  The Company shall allot and issue to each Initial Shareholder delivering an Exercise Notice (and Additional Funding Shortfall Exercise Notice, if applicable) pursuant to </w:t>
      </w:r>
      <w:r>
        <w:rPr>
          <w:rFonts w:ascii="Times New Roman" w:cs="Times New Roman" w:eastAsia="Times New Roman" w:hAnsi="Times New Roman"/>
          <w:sz w:val="17"/>
          <w:szCs w:val="17"/>
          <w:u w:val="single" w:color="auto"/>
          <w:color w:val="auto"/>
        </w:rPr>
        <w:t>Section 6.2(f)</w:t>
      </w:r>
      <w:r>
        <w:rPr>
          <w:rFonts w:ascii="Times New Roman" w:cs="Times New Roman" w:eastAsia="Times New Roman" w:hAnsi="Times New Roman"/>
          <w:sz w:val="17"/>
          <w:szCs w:val="17"/>
          <w:color w:val="auto"/>
        </w:rPr>
        <w:t>, and such Initial Shareholder shall subscribe for, at the price and on the terms specified in the Additional Funding Notice, the number of Company Securities specified in such Initial Shareholder’s Exercise Notice (and Additional Funding Shortfall Exercise Notice, if applicable).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620"/>
          </w:cols>
          <w:pgMar w:left="620" w:top="265" w:right="659" w:bottom="1440" w:gutter="0" w:footer="0" w:header="0"/>
        </w:sectPr>
      </w:pPr>
    </w:p>
    <w:bookmarkStart w:id="469" w:name="page470"/>
    <w:bookmarkEnd w:id="469"/>
    <w:p>
      <w:pPr>
        <w:ind w:left="8" w:right="220" w:firstLine="42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(i)  For the avoidance of doubt and notwithstanding anything in this Agreement to the contrary, following the Closing and the initial funding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no Shareholder shall be required to make any capital contribution or provide any Additional Funding, in cash or otherwise, to the Company or to provide any loan, loan guaranty or other financial assistance or support on behalf of the Company.</w:t>
      </w:r>
    </w:p>
    <w:p>
      <w:pPr>
        <w:spacing w:after="0" w:line="162" w:lineRule="exact"/>
        <w:rPr>
          <w:sz w:val="20"/>
          <w:szCs w:val="20"/>
          <w:color w:val="auto"/>
        </w:rPr>
      </w:pPr>
    </w:p>
    <w:p>
      <w:pPr>
        <w:ind w:left="8" w:firstLine="426"/>
        <w:spacing w:after="0" w:line="261" w:lineRule="auto"/>
        <w:rPr>
          <w:sz w:val="20"/>
          <w:szCs w:val="20"/>
          <w:color w:val="auto"/>
        </w:rPr>
      </w:pPr>
      <w:r>
        <w:rPr>
          <w:rFonts w:ascii="Times New Roman" w:cs="Times New Roman" w:eastAsia="Times New Roman" w:hAnsi="Times New Roman"/>
          <w:sz w:val="17"/>
          <w:szCs w:val="17"/>
          <w:color w:val="auto"/>
        </w:rPr>
        <w:t xml:space="preserve">(j)  Unless approved by the Board in accordance with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any and all Additional Funding and any funding thereof by the Initial Shareholders as described in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shall be made on a cash basis. Without limiting the generality of the foregoing, if an Initial Shareholder desires to fund any or all of the Additional Funding it is entitled to fund by way of in-kind contribution (“</w:t>
      </w:r>
      <w:r>
        <w:rPr>
          <w:rFonts w:ascii="Times New Roman" w:cs="Times New Roman" w:eastAsia="Times New Roman" w:hAnsi="Times New Roman"/>
          <w:sz w:val="17"/>
          <w:szCs w:val="17"/>
          <w:u w:val="single" w:color="auto"/>
          <w:color w:val="auto"/>
        </w:rPr>
        <w:t>Additional In-Kind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by indicating as such in the Exercise Notice or the Additional Funding Shortfall Exercise Notice (the date on which such written notice is delivered, the “</w:t>
      </w:r>
      <w:r>
        <w:rPr>
          <w:rFonts w:ascii="Times New Roman" w:cs="Times New Roman" w:eastAsia="Times New Roman" w:hAnsi="Times New Roman"/>
          <w:sz w:val="17"/>
          <w:szCs w:val="17"/>
          <w:u w:val="single" w:color="auto"/>
          <w:color w:val="auto"/>
        </w:rPr>
        <w:t>In-Kind Contribution Determination Date</w:t>
      </w:r>
      <w:r>
        <w:rPr>
          <w:rFonts w:ascii="Times New Roman" w:cs="Times New Roman" w:eastAsia="Times New Roman" w:hAnsi="Times New Roman"/>
          <w:sz w:val="17"/>
          <w:szCs w:val="17"/>
          <w:color w:val="auto"/>
        </w:rPr>
        <w:t xml:space="preserve">”) and the Initial Shareholder not making the Additional In-Kind Contribution, in its sole and absolute discretion, approves the Additional In-Kind Contribution pursuant to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then the Initial Shareholder desiring to make such Additional In-Kind Contribution shall bear the burden, cost and expense of establishing the Fair Market Value of such Additional In-Kind Contribution, and the other Initial Shareholder shall have the right to approve such Fair Market Value (such approval not to be unreasonably withheld). The Initial Shareholders and the Company shall comply with the Companies Act to conduct any Additional In-Kind Contributions.</w:t>
      </w:r>
    </w:p>
    <w:p>
      <w:pPr>
        <w:spacing w:after="0" w:line="178" w:lineRule="exact"/>
        <w:rPr>
          <w:sz w:val="20"/>
          <w:szCs w:val="20"/>
          <w:color w:val="auto"/>
        </w:rPr>
      </w:pPr>
    </w:p>
    <w:p>
      <w:pPr>
        <w:ind w:left="8" w:right="240" w:firstLine="426"/>
        <w:spacing w:after="0" w:line="295" w:lineRule="auto"/>
        <w:rPr>
          <w:sz w:val="20"/>
          <w:szCs w:val="20"/>
          <w:color w:val="auto"/>
        </w:rPr>
      </w:pPr>
      <w:r>
        <w:rPr>
          <w:rFonts w:ascii="Times New Roman" w:cs="Times New Roman" w:eastAsia="Times New Roman" w:hAnsi="Times New Roman"/>
          <w:sz w:val="17"/>
          <w:szCs w:val="17"/>
          <w:color w:val="auto"/>
        </w:rPr>
        <w:t xml:space="preserve">(k)  For the avoidance of doubt, the rights and obligations of the Initial Shareholders set forth in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shall apply to their respective permitted Transferees pursuant to the terms of this Agreement based on such permitted Transferees’ respective Pro Rata Portions.</w:t>
      </w:r>
    </w:p>
    <w:p>
      <w:pPr>
        <w:spacing w:after="0" w:line="288" w:lineRule="exact"/>
        <w:rPr>
          <w:sz w:val="20"/>
          <w:szCs w:val="20"/>
          <w:color w:val="auto"/>
        </w:rPr>
      </w:pPr>
    </w:p>
    <w:p>
      <w:pPr>
        <w:ind w:left="428" w:hanging="428"/>
        <w:spacing w:after="0"/>
        <w:tabs>
          <w:tab w:leader="none" w:pos="428" w:val="left"/>
        </w:tabs>
        <w:numPr>
          <w:ilvl w:val="0"/>
          <w:numId w:val="2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Governance of the Company</w:t>
      </w:r>
    </w:p>
    <w:p>
      <w:pPr>
        <w:spacing w:after="0" w:line="120" w:lineRule="exact"/>
        <w:rPr>
          <w:sz w:val="20"/>
          <w:szCs w:val="20"/>
          <w:color w:val="auto"/>
        </w:rPr>
      </w:pPr>
    </w:p>
    <w:p>
      <w:pPr>
        <w:ind w:left="8" w:right="20" w:firstLine="426"/>
        <w:spacing w:after="0" w:line="262"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Operation of the Company</w:t>
      </w:r>
      <w:r>
        <w:rPr>
          <w:rFonts w:ascii="Times New Roman" w:cs="Times New Roman" w:eastAsia="Times New Roman" w:hAnsi="Times New Roman"/>
          <w:sz w:val="17"/>
          <w:szCs w:val="17"/>
          <w:color w:val="auto"/>
        </w:rPr>
        <w:t>. Each Shareholder agrees to do and perform such acts and things, as may be reasonably necessary or desirable for purposes of ensuring that the Company shall be operated in accordance with the terms of this Agreement and the other Transaction Documents, including to cause the Company to hold a Shareholders’ meeting (including a meeting of class Shareholders, if applicable) or a Board meeting in accordance with applicable Law, the Articles and this Agreement, and to vote, or cause to be voted, all Company Securities owned by it, or over which such Shareholder has voting control, and to cause its nominee Directors to approve matters at meetings of the Board, from time to time and at all times, in whatever manner as shall be necessary to effect the terms hereof. Unless authorized to do so by the Board, or as mutually agreed by the Initial Shareholders in writing, no Shareholder shall have any power or authority to bind or obligate the Company in any way or any authority to act for the Company or on its behalf.</w:t>
      </w:r>
    </w:p>
    <w:p>
      <w:pPr>
        <w:spacing w:after="0" w:line="38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8" w:firstLine="426"/>
        <w:spacing w:after="0" w:line="266" w:lineRule="auto"/>
        <w:rPr>
          <w:sz w:val="20"/>
          <w:szCs w:val="20"/>
          <w:color w:val="auto"/>
        </w:rPr>
      </w:pPr>
      <w:r>
        <w:rPr>
          <w:rFonts w:ascii="Times New Roman" w:cs="Times New Roman" w:eastAsia="Times New Roman" w:hAnsi="Times New Roman"/>
          <w:sz w:val="17"/>
          <w:szCs w:val="17"/>
          <w:color w:val="auto"/>
        </w:rPr>
        <w:t xml:space="preserve">(a)  The Board shall have the powers and authority set forth in the Articles, as provided under applicable Law and as expressly set forth in this Agreement, subject to the limitations set forth in this Agreement. Except for the matters reserved for the approval of the Shareholders under the Articles, applicable Law or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the Board shall have the exclusive and complete authority, power and discretion to manage and control the business and affairs of the Company, subject to the right of the Board to delegate such power and authority to officers or others responsible for day-to-day operations of the Company to the extent permitted by applicable Law.</w:t>
      </w:r>
    </w:p>
    <w:p>
      <w:pPr>
        <w:spacing w:after="0" w:line="1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648"/>
          </w:cols>
          <w:pgMar w:left="612" w:top="265" w:right="639" w:bottom="1440" w:gutter="0" w:footer="0" w:header="0"/>
        </w:sectPr>
      </w:pPr>
    </w:p>
    <w:bookmarkStart w:id="470" w:name="page471"/>
    <w:bookmarkEnd w:id="470"/>
    <w:p>
      <w:pPr>
        <w:ind w:firstLine="426"/>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2">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(b)  The Board shall consist of [***] Directors, which subject to </w:t>
      </w:r>
      <w:r>
        <w:rPr>
          <w:rFonts w:ascii="Times New Roman" w:cs="Times New Roman" w:eastAsia="Times New Roman" w:hAnsi="Times New Roman"/>
          <w:sz w:val="17"/>
          <w:szCs w:val="17"/>
          <w:u w:val="single" w:color="auto"/>
          <w:color w:val="auto"/>
        </w:rPr>
        <w:t>Section 7.2(c)</w:t>
      </w:r>
      <w:r>
        <w:rPr>
          <w:rFonts w:ascii="Times New Roman" w:cs="Times New Roman" w:eastAsia="Times New Roman" w:hAnsi="Times New Roman"/>
          <w:sz w:val="17"/>
          <w:szCs w:val="17"/>
          <w:color w:val="auto"/>
        </w:rPr>
        <w:t>, [***] of whom shall be nominated by the SBG Shareholder [***] (collectively, the “</w:t>
      </w:r>
      <w:r>
        <w:rPr>
          <w:rFonts w:ascii="Times New Roman" w:cs="Times New Roman" w:eastAsia="Times New Roman" w:hAnsi="Times New Roman"/>
          <w:sz w:val="17"/>
          <w:szCs w:val="17"/>
          <w:u w:val="single" w:color="auto"/>
          <w:color w:val="auto"/>
        </w:rPr>
        <w:t>SBG Directors</w:t>
      </w:r>
      <w:r>
        <w:rPr>
          <w:rFonts w:ascii="Times New Roman" w:cs="Times New Roman" w:eastAsia="Times New Roman" w:hAnsi="Times New Roman"/>
          <w:sz w:val="17"/>
          <w:szCs w:val="17"/>
          <w:color w:val="auto"/>
        </w:rPr>
        <w:t>”), and [***] of whom shall be nominated by the Tempus Shareholder, [***] (collectively, the “</w:t>
      </w:r>
      <w:r>
        <w:rPr>
          <w:rFonts w:ascii="Times New Roman" w:cs="Times New Roman" w:eastAsia="Times New Roman" w:hAnsi="Times New Roman"/>
          <w:sz w:val="17"/>
          <w:szCs w:val="17"/>
          <w:u w:val="single" w:color="auto"/>
          <w:color w:val="auto"/>
        </w:rPr>
        <w:t>Tempus Directors</w:t>
      </w:r>
      <w:r>
        <w:rPr>
          <w:rFonts w:ascii="Times New Roman" w:cs="Times New Roman" w:eastAsia="Times New Roman" w:hAnsi="Times New Roman"/>
          <w:sz w:val="17"/>
          <w:szCs w:val="17"/>
          <w:color w:val="auto"/>
        </w:rPr>
        <w:t xml:space="preserve">”). For the [***] years following the Closing Date, the Chairperson of the Board shall be nominated by [***] and the Vice-Chairperson of the Board shall be nominated by [***]. For the [***] years thereafter, the Chairperson of the Board shall be nominated by [***] and the Vice-Chairperson shall be nominated by [***]. Each of the Chairperson and the Vice-Chairperson shall only have one vote as a Director at the time of any vote and shall not have any additional tie-breaking vote. Each Shareholder shall take any necessary actions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in order to ensure that the composition of the Board is as set forth in this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(c)   Notwithstanding </w:t>
      </w:r>
      <w:r>
        <w:rPr>
          <w:rFonts w:ascii="Times New Roman" w:cs="Times New Roman" w:eastAsia="Times New Roman" w:hAnsi="Times New Roman"/>
          <w:sz w:val="17"/>
          <w:szCs w:val="17"/>
          <w:u w:val="single" w:color="auto"/>
          <w:color w:val="auto"/>
        </w:rPr>
        <w:t>Section 7.2(b)</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100" w:firstLine="960"/>
        <w:spacing w:after="0" w:line="295" w:lineRule="auto"/>
        <w:rPr>
          <w:sz w:val="20"/>
          <w:szCs w:val="20"/>
          <w:color w:val="auto"/>
        </w:rPr>
      </w:pPr>
      <w:r>
        <w:rPr>
          <w:rFonts w:ascii="Times New Roman" w:cs="Times New Roman" w:eastAsia="Times New Roman" w:hAnsi="Times New Roman"/>
          <w:sz w:val="17"/>
          <w:szCs w:val="17"/>
          <w:color w:val="auto"/>
        </w:rPr>
        <w:t xml:space="preserve">(i)  if an Initial Shareholder owns at least [***] of Company Interest, then such Initial Shareholder shall have the right to nominate [***] Directors;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p>
    <w:p>
      <w:pPr>
        <w:spacing w:after="0" w:line="147" w:lineRule="exact"/>
        <w:rPr>
          <w:sz w:val="20"/>
          <w:szCs w:val="20"/>
          <w:color w:val="auto"/>
        </w:rPr>
      </w:pPr>
    </w:p>
    <w:p>
      <w:pPr>
        <w:ind w:right="780" w:firstLine="960"/>
        <w:spacing w:after="0" w:line="295" w:lineRule="auto"/>
        <w:rPr>
          <w:sz w:val="20"/>
          <w:szCs w:val="20"/>
          <w:color w:val="auto"/>
        </w:rPr>
      </w:pPr>
      <w:r>
        <w:rPr>
          <w:rFonts w:ascii="Times New Roman" w:cs="Times New Roman" w:eastAsia="Times New Roman" w:hAnsi="Times New Roman"/>
          <w:sz w:val="17"/>
          <w:szCs w:val="17"/>
          <w:color w:val="auto"/>
        </w:rPr>
        <w:t>(ii)  if an Initial Shareholder owns less than [***] of Company Interest but at least [***] of Company Interest, then such Initial Shareholder shall have the right to nominate [***] Directors;</w:t>
      </w:r>
    </w:p>
    <w:p>
      <w:pPr>
        <w:spacing w:after="0" w:line="147" w:lineRule="exact"/>
        <w:rPr>
          <w:sz w:val="20"/>
          <w:szCs w:val="20"/>
          <w:color w:val="auto"/>
        </w:rPr>
      </w:pPr>
    </w:p>
    <w:p>
      <w:pPr>
        <w:ind w:right="740" w:firstLine="960"/>
        <w:spacing w:after="0" w:line="295" w:lineRule="auto"/>
        <w:rPr>
          <w:sz w:val="20"/>
          <w:szCs w:val="20"/>
          <w:color w:val="auto"/>
        </w:rPr>
      </w:pPr>
      <w:r>
        <w:rPr>
          <w:rFonts w:ascii="Times New Roman" w:cs="Times New Roman" w:eastAsia="Times New Roman" w:hAnsi="Times New Roman"/>
          <w:sz w:val="17"/>
          <w:szCs w:val="17"/>
          <w:color w:val="auto"/>
        </w:rPr>
        <w:t>(iii)  if an Initial Shareholder owns less than [***] of Company Interest but at least [***] of Company Interest, then such Initial Shareholder shall have the right to nominate [***] Director; and</w:t>
      </w:r>
    </w:p>
    <w:p>
      <w:pPr>
        <w:spacing w:after="0" w:line="1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(iv)   if an Initial Shareholder owns less than [***] of Company Interest, such Initial Shareholder [***].</w:t>
      </w:r>
    </w:p>
    <w:p>
      <w:pPr>
        <w:spacing w:after="0" w:line="223" w:lineRule="exact"/>
        <w:rPr>
          <w:sz w:val="20"/>
          <w:szCs w:val="20"/>
          <w:color w:val="auto"/>
        </w:rPr>
      </w:pPr>
    </w:p>
    <w:p>
      <w:pPr>
        <w:jc w:val="both"/>
        <w:ind w:right="340" w:firstLine="426"/>
        <w:spacing w:after="0" w:line="276" w:lineRule="auto"/>
        <w:rPr>
          <w:sz w:val="20"/>
          <w:szCs w:val="20"/>
          <w:color w:val="auto"/>
        </w:rPr>
      </w:pPr>
      <w:r>
        <w:rPr>
          <w:rFonts w:ascii="Times New Roman" w:cs="Times New Roman" w:eastAsia="Times New Roman" w:hAnsi="Times New Roman"/>
          <w:sz w:val="17"/>
          <w:szCs w:val="17"/>
          <w:color w:val="auto"/>
        </w:rPr>
        <w:t xml:space="preserve">Notwithstanding the foregoing, the thresholds contained in clauses (i) through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above may be adjusted by mutual written agreement of the Initial Shareholders in the event a new Shareholder (other than an Affiliate of any of the Initial Shareholders) becomes a party to this Agreement in compliance with the terms hereof. Nothing herein shall impact the Shareholder Reserved Matters set forth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-307975</wp:posOffset>
            </wp:positionV>
            <wp:extent cx="1320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3">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142" w:lineRule="exact"/>
        <w:rPr>
          <w:sz w:val="20"/>
          <w:szCs w:val="20"/>
          <w:color w:val="auto"/>
        </w:rPr>
      </w:pPr>
    </w:p>
    <w:p>
      <w:pPr>
        <w:ind w:right="80" w:firstLine="426"/>
        <w:spacing w:after="0" w:line="262"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Removal; Renomination of Directors</w:t>
      </w:r>
      <w:r>
        <w:rPr>
          <w:rFonts w:ascii="Times New Roman" w:cs="Times New Roman" w:eastAsia="Times New Roman" w:hAnsi="Times New Roman"/>
          <w:sz w:val="17"/>
          <w:szCs w:val="17"/>
          <w:color w:val="auto"/>
        </w:rPr>
        <w:t xml:space="preserve">. Each Shareholder having the right to nominate Directors pursuant to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shall also have the right, in its sole discretion, to remove such Directors at any time and for any reason. If a Shareholder desires to remove any of its nominee Directors, it shall (a) deliver a written notice to the Company and each of the other Shareholders and (b) cause such Director to be removed (including by way of causing such Director to submit a resignation letter) and the Shareholders shall take all actions necessary (if any) to remove such Directors in accordance with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the number of Directors an Initial Shareholder is entitled to nominate is reduced in accordance with </w:t>
      </w:r>
      <w:r>
        <w:rPr>
          <w:rFonts w:ascii="Times New Roman" w:cs="Times New Roman" w:eastAsia="Times New Roman" w:hAnsi="Times New Roman"/>
          <w:sz w:val="17"/>
          <w:szCs w:val="17"/>
          <w:u w:val="single" w:color="auto"/>
          <w:color w:val="auto"/>
        </w:rPr>
        <w:t>Section 7.2(c)</w:t>
      </w:r>
      <w:r>
        <w:rPr>
          <w:rFonts w:ascii="Times New Roman" w:cs="Times New Roman" w:eastAsia="Times New Roman" w:hAnsi="Times New Roman"/>
          <w:sz w:val="17"/>
          <w:szCs w:val="17"/>
          <w:color w:val="auto"/>
        </w:rPr>
        <w:t xml:space="preserve">, such Initial Shareholder shall promptly cause the applicable number of nominee Directors to be removed (including by way of causing the applicable Directors to submit a resignation letter) and the Shareholders shall take all actions necessary (if any) to remove such Directors in accordance with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In the event any nominee Director is so removed for any reason (other than 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640"/>
          </w:cols>
          <w:pgMar w:left="620" w:top="264" w:right="639" w:bottom="1440" w:gutter="0" w:footer="0" w:header="0"/>
        </w:sectPr>
      </w:pPr>
    </w:p>
    <w:bookmarkStart w:id="471" w:name="page472"/>
    <w:bookmarkEnd w:id="471"/>
    <w:p>
      <w:pPr>
        <w:ind w:left="8" w:right="8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removal in accordance with the preceding proviso), the Shareholder that nominated the removed Director may nominate an alternative Director, and the Shareholders shall take all actions necessary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to have such nominated Director be appointed. Each of the SBG Shareholder and the Tempus Shareholder shall identify their respective designees to the Board prior to the Closing, including the designees who will be serving as the Chairperson and Vice-Chairperson of the Board.</w:t>
      </w:r>
    </w:p>
    <w:p>
      <w:pPr>
        <w:spacing w:after="0" w:line="16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Board Meetings</w:t>
      </w:r>
      <w:r>
        <w:rPr>
          <w:rFonts w:ascii="Times New Roman" w:cs="Times New Roman" w:eastAsia="Times New Roman" w:hAnsi="Times New Roman"/>
          <w:sz w:val="17"/>
          <w:szCs w:val="17"/>
          <w:color w:val="auto"/>
        </w:rPr>
        <w:t xml:space="preserve">. Any Director shall have the authority to convene Board meetings;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Board shall meet at least quarterly,</w:t>
      </w:r>
    </w:p>
    <w:p>
      <w:pPr>
        <w:spacing w:after="0" w:line="32" w:lineRule="exact"/>
        <w:rPr>
          <w:sz w:val="20"/>
          <w:szCs w:val="20"/>
          <w:color w:val="auto"/>
        </w:rPr>
      </w:pPr>
    </w:p>
    <w:p>
      <w:pPr>
        <w:ind w:left="8" w:right="20" w:hanging="8"/>
        <w:spacing w:after="0" w:line="258" w:lineRule="auto"/>
        <w:tabs>
          <w:tab w:leader="none" w:pos="255"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notice of all Board meetings shall be given to all of the Directors and the Corporate Auditor not less than five (5) Business Days in advance of each meeting (which five (5)-Business Day period may be shortened by written waiver or actual attendance, without objection, at a Board meeting by all Directors and the Corporate Auditor), which notice shall be accompanied by (i) an agenda specifying in reasonable detail the matters to be raised at such meeting and (ii) copies of any papers to be discussed at such meeting and (c) the location and time of the Board meetings shall be as determined by the Board. Directors may attend Board meetings in person or by any other means of attendance permitted under applicable Law, including via teleconference or videoconference. Board meetings shall be conducted in the English language (with Japanese translation) and minutes of such meetings shall be prepared by the Company in English and Japanese and distributed to each Director and the Corporate Auditor promptly following each meeting. Proposals or reports brought before any Board meeting for information or action (including the Company’s annual financial statements) shall be prepared in Japanese and English.</w:t>
      </w:r>
    </w:p>
    <w:p>
      <w:pPr>
        <w:spacing w:after="0" w:line="182" w:lineRule="exact"/>
        <w:rPr>
          <w:sz w:val="20"/>
          <w:szCs w:val="20"/>
          <w:color w:val="auto"/>
        </w:rPr>
      </w:pPr>
    </w:p>
    <w:p>
      <w:pPr>
        <w:ind w:left="8" w:firstLine="426"/>
        <w:spacing w:after="0" w:line="259"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Board Quorum; Voting</w:t>
      </w:r>
      <w:r>
        <w:rPr>
          <w:rFonts w:ascii="Times New Roman" w:cs="Times New Roman" w:eastAsia="Times New Roman" w:hAnsi="Times New Roman"/>
          <w:sz w:val="17"/>
          <w:szCs w:val="17"/>
          <w:color w:val="auto"/>
        </w:rPr>
        <w:t xml:space="preserve">. A quorum shall be deemed to exist for purposes of Board actions so long as at least a majority of the Directors then serving in office and entitled to vote are present, which must include at least one SBG Director and one Tempus Director. No business shall be conducted at any meeting of Directors unless a quorum is present at the beginning of the meeting and at the time when there is to be voting on any business. If a quorum is not present at any meeting, such meeting of the Board shall be adjourned for at least seven (7) days to a date, time and place proposed by the Chairperson. A meeting of Directors shall be adjourned to another time or date at the request of all the SBG Directors or all the Tempus Directors present at the meeting. No business may be conducted at a meeting after such a request has been made. Any action, determination or resolution of the Board shall require the affirmative vote of at least a majority of Directors attending and entitled to vote at the meeting at which a valid quorum pursuant to this </w:t>
      </w:r>
      <w:r>
        <w:rPr>
          <w:rFonts w:ascii="Times New Roman" w:cs="Times New Roman" w:eastAsia="Times New Roman" w:hAnsi="Times New Roman"/>
          <w:sz w:val="17"/>
          <w:szCs w:val="17"/>
          <w:u w:val="single" w:color="auto"/>
          <w:color w:val="auto"/>
        </w:rPr>
        <w:t>Section 7.5</w:t>
      </w:r>
      <w:r>
        <w:rPr>
          <w:rFonts w:ascii="Times New Roman" w:cs="Times New Roman" w:eastAsia="Times New Roman" w:hAnsi="Times New Roman"/>
          <w:sz w:val="17"/>
          <w:szCs w:val="17"/>
          <w:color w:val="auto"/>
        </w:rPr>
        <w:t xml:space="preserve"> is present, which must include the affirmative vote of at least one SBG Director and one Tempus Director. No action shall be passed by the Board without the affirmative vote of at least one SBG Director and one Tempus Director. The Initial Shareholders acknowledge and agree that none of the SBG Directors or Tempus Directors shall be deemed a person having a special interest (</w:t>
      </w:r>
      <w:r>
        <w:rPr>
          <w:rFonts w:ascii="Times New Roman" w:cs="Times New Roman" w:eastAsia="Times New Roman" w:hAnsi="Times New Roman"/>
          <w:sz w:val="17"/>
          <w:szCs w:val="17"/>
          <w:i w:val="1"/>
          <w:iCs w:val="1"/>
          <w:color w:val="auto"/>
        </w:rPr>
        <w:t>tokubetsu-rigai-kankei-nin</w:t>
      </w:r>
      <w:r>
        <w:rPr>
          <w:rFonts w:ascii="Times New Roman" w:cs="Times New Roman" w:eastAsia="Times New Roman" w:hAnsi="Times New Roman"/>
          <w:sz w:val="17"/>
          <w:szCs w:val="17"/>
          <w:color w:val="auto"/>
        </w:rPr>
        <w:t>) in the context of Article 369, Clause 2 of the Companies Act, nor be excluded from voting at any meeting of Directors for the purpose of any transaction or other relationship with the SBG Shareholder, the Tempus Shareholder or any of their respective Affiliates solely because such Director is nominated by the SBG Shareholder or the Tempus Shareholder. At a meeting of Directors, each Director has one vote. Any action, determination or resolution permitted or required by applicable Law or this Agreement to be taken by the Board may be taken without a meeting if a consent in writing (including via e-mail), setting forth the action taken, is signed by all the Directors entitled to vote thereon and the Corporate Auditor does not raise objection pursuant to the Companies Act.</w:t>
      </w:r>
    </w:p>
    <w:p>
      <w:pPr>
        <w:spacing w:after="0" w:line="32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48"/>
          </w:cols>
          <w:pgMar w:left="612" w:top="265" w:right="639" w:bottom="1440" w:gutter="0" w:footer="0" w:header="0"/>
        </w:sectPr>
      </w:pPr>
    </w:p>
    <w:bookmarkStart w:id="472" w:name="page473"/>
    <w:bookmarkEnd w:id="472"/>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7.6   </w:t>
      </w:r>
      <w:r>
        <w:rPr>
          <w:rFonts w:ascii="Times New Roman" w:cs="Times New Roman" w:eastAsia="Times New Roman" w:hAnsi="Times New Roman"/>
          <w:sz w:val="17"/>
          <w:szCs w:val="17"/>
          <w:u w:val="single" w:color="auto"/>
          <w:color w:val="auto"/>
        </w:rPr>
        <w:t>Officers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200" w:firstLine="426"/>
        <w:spacing w:after="0" w:line="264" w:lineRule="auto"/>
        <w:rPr>
          <w:sz w:val="20"/>
          <w:szCs w:val="20"/>
          <w:color w:val="auto"/>
        </w:rPr>
      </w:pPr>
      <w:r>
        <w:rPr>
          <w:rFonts w:ascii="Times New Roman" w:cs="Times New Roman" w:eastAsia="Times New Roman" w:hAnsi="Times New Roman"/>
          <w:sz w:val="17"/>
          <w:szCs w:val="17"/>
          <w:color w:val="auto"/>
        </w:rPr>
        <w:t xml:space="preserve">(a)  Except as stated in </w:t>
      </w:r>
      <w:r>
        <w:rPr>
          <w:rFonts w:ascii="Times New Roman" w:cs="Times New Roman" w:eastAsia="Times New Roman" w:hAnsi="Times New Roman"/>
          <w:sz w:val="17"/>
          <w:szCs w:val="17"/>
          <w:u w:val="single" w:color="auto"/>
          <w:color w:val="auto"/>
        </w:rPr>
        <w:t>Section 7.6(b)</w:t>
      </w:r>
      <w:r>
        <w:rPr>
          <w:rFonts w:ascii="Times New Roman" w:cs="Times New Roman" w:eastAsia="Times New Roman" w:hAnsi="Times New Roman"/>
          <w:sz w:val="17"/>
          <w:szCs w:val="17"/>
          <w:color w:val="auto"/>
        </w:rPr>
        <w:t xml:space="preserve">, the Board shall from time to time designate and appoint one or more officers of the Company with such titles as the Board shall determine. No officer needs to be a resident of Japan, a Shareholder or a Director. The Board may assign titles to particular officers (including President, Chief Executive Officer or Chief Financial Officer). Unless the Board otherwise decides, if an officer is assigned a title that is commonly used for officers of a </w:t>
      </w:r>
      <w:r>
        <w:rPr>
          <w:rFonts w:ascii="Times New Roman" w:cs="Times New Roman" w:eastAsia="Times New Roman" w:hAnsi="Times New Roman"/>
          <w:sz w:val="17"/>
          <w:szCs w:val="17"/>
          <w:i w:val="1"/>
          <w:iCs w:val="1"/>
          <w:color w:val="auto"/>
        </w:rPr>
        <w:t>kabushiki kaisha</w:t>
      </w:r>
      <w:r>
        <w:rPr>
          <w:rFonts w:ascii="Times New Roman" w:cs="Times New Roman" w:eastAsia="Times New Roman" w:hAnsi="Times New Roman"/>
          <w:sz w:val="17"/>
          <w:szCs w:val="17"/>
          <w:color w:val="auto"/>
        </w:rPr>
        <w:t xml:space="preserve"> incorporated under the Laws of Japan, then the assignment of such title will constitute the delegation to such officer of the authority and duties that are normally associated with that office, subject to the first sentence of </w:t>
      </w:r>
      <w:r>
        <w:rPr>
          <w:rFonts w:ascii="Times New Roman" w:cs="Times New Roman" w:eastAsia="Times New Roman" w:hAnsi="Times New Roman"/>
          <w:sz w:val="17"/>
          <w:szCs w:val="17"/>
          <w:u w:val="single" w:color="auto"/>
          <w:color w:val="auto"/>
        </w:rPr>
        <w:t>Section 7.6(d)</w:t>
      </w:r>
      <w:r>
        <w:rPr>
          <w:rFonts w:ascii="Times New Roman" w:cs="Times New Roman" w:eastAsia="Times New Roman" w:hAnsi="Times New Roman"/>
          <w:sz w:val="17"/>
          <w:szCs w:val="17"/>
          <w:color w:val="auto"/>
        </w:rPr>
        <w:t>. Any number of offices may be held by the same person.</w:t>
      </w:r>
    </w:p>
    <w:p>
      <w:pPr>
        <w:spacing w:after="0" w:line="173" w:lineRule="exact"/>
        <w:rPr>
          <w:sz w:val="20"/>
          <w:szCs w:val="20"/>
          <w:color w:val="auto"/>
        </w:rPr>
      </w:pPr>
    </w:p>
    <w:p>
      <w:pPr>
        <w:ind w:firstLine="426"/>
        <w:spacing w:after="0" w:line="269" w:lineRule="auto"/>
        <w:rPr>
          <w:sz w:val="20"/>
          <w:szCs w:val="20"/>
          <w:color w:val="auto"/>
        </w:rPr>
      </w:pPr>
      <w:r>
        <w:rPr>
          <w:rFonts w:ascii="Times New Roman" w:cs="Times New Roman" w:eastAsia="Times New Roman" w:hAnsi="Times New Roman"/>
          <w:sz w:val="17"/>
          <w:szCs w:val="17"/>
          <w:color w:val="auto"/>
        </w:rPr>
        <w:t xml:space="preserve">(b)  Without limiting the foregoing and notwithstanding it, in any case of a vacancy in the office of the Chief Financial Officer for any reason (including removal pursuant to </w:t>
      </w:r>
      <w:r>
        <w:rPr>
          <w:rFonts w:ascii="Times New Roman" w:cs="Times New Roman" w:eastAsia="Times New Roman" w:hAnsi="Times New Roman"/>
          <w:sz w:val="17"/>
          <w:szCs w:val="17"/>
          <w:u w:val="single" w:color="auto"/>
          <w:color w:val="auto"/>
        </w:rPr>
        <w:t>Section 7.6(d)</w:t>
      </w:r>
      <w:r>
        <w:rPr>
          <w:rFonts w:ascii="Times New Roman" w:cs="Times New Roman" w:eastAsia="Times New Roman" w:hAnsi="Times New Roman"/>
          <w:sz w:val="17"/>
          <w:szCs w:val="17"/>
          <w:color w:val="auto"/>
        </w:rPr>
        <w:t>), the SBG Shareholder shall have the right to recommend to the Board a candidate for the Company’s Chief Financial Officer position, which candidate shall have experience with accounting standards in both Japan and the United States. The appointment of any candidate recommended by the SBG Shareholder shall be subject to approval of the Board at its reasonable discretion.</w:t>
      </w:r>
    </w:p>
    <w:p>
      <w:pPr>
        <w:spacing w:after="0" w:line="169"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(c)  Without limiting the foregoing and notwithstanding it, Initial Shareholders shall fully cooperate with each other and consider each other’s views in good faith in order to identify the executive officer/management team and key personnel (including any personnel to be seconded from the Tempus Shareholder and personnel identified for product localization) prior to the Closing. For the avoidance of doubt, and without limiting the obligations of the parties pursuant to the preceding sentence and the obligations of the Tempus Shareholder under the Tempus Services Agreement to provide personnel to the Company, the final decision regarding the identity of the employees of the Tempus Shareholder to be seconded to the Company or assigned to product localization shall be made by the Tempus Shareholder in its sole and absolute discretion.</w:t>
      </w:r>
    </w:p>
    <w:p>
      <w:pPr>
        <w:spacing w:after="0" w:line="173" w:lineRule="exact"/>
        <w:rPr>
          <w:sz w:val="20"/>
          <w:szCs w:val="20"/>
          <w:color w:val="auto"/>
        </w:rPr>
      </w:pPr>
    </w:p>
    <w:p>
      <w:pPr>
        <w:jc w:val="both"/>
        <w:ind w:right="40" w:firstLine="426"/>
        <w:spacing w:after="0" w:line="276" w:lineRule="auto"/>
        <w:rPr>
          <w:sz w:val="20"/>
          <w:szCs w:val="20"/>
          <w:color w:val="auto"/>
        </w:rPr>
      </w:pPr>
      <w:r>
        <w:rPr>
          <w:rFonts w:ascii="Times New Roman" w:cs="Times New Roman" w:eastAsia="Times New Roman" w:hAnsi="Times New Roman"/>
          <w:sz w:val="17"/>
          <w:szCs w:val="17"/>
          <w:color w:val="auto"/>
        </w:rPr>
        <w:t>(d)  The officers of the Company shall exercise and perform such powers and duties as shall be assigned to them from time to time by the Board, and shall serve at the sole discretion of the Board. Any officers who are appointed by the Board may be removed, at any time and from time to time, by the Board, with or without cause. To the extent permitted by applicable Law, the Board may delegate certain of its powers to officers of the Company.</w:t>
      </w:r>
    </w:p>
    <w:p>
      <w:pPr>
        <w:spacing w:after="0" w:line="162" w:lineRule="exact"/>
        <w:rPr>
          <w:sz w:val="20"/>
          <w:szCs w:val="20"/>
          <w:color w:val="auto"/>
        </w:rPr>
      </w:pPr>
    </w:p>
    <w:p>
      <w:pPr>
        <w:ind w:right="520" w:firstLine="426"/>
        <w:spacing w:after="0" w:line="276" w:lineRule="auto"/>
        <w:rPr>
          <w:sz w:val="20"/>
          <w:szCs w:val="20"/>
          <w:color w:val="auto"/>
        </w:rPr>
      </w:pPr>
      <w:r>
        <w:rPr>
          <w:rFonts w:ascii="Times New Roman" w:cs="Times New Roman" w:eastAsia="Times New Roman" w:hAnsi="Times New Roman"/>
          <w:sz w:val="17"/>
          <w:szCs w:val="17"/>
          <w:color w:val="auto"/>
        </w:rPr>
        <w:t xml:space="preserve">7.7  </w:t>
      </w:r>
      <w:r>
        <w:rPr>
          <w:rFonts w:ascii="Times New Roman" w:cs="Times New Roman" w:eastAsia="Times New Roman" w:hAnsi="Times New Roman"/>
          <w:sz w:val="17"/>
          <w:szCs w:val="17"/>
          <w:u w:val="single" w:color="auto"/>
          <w:color w:val="auto"/>
        </w:rPr>
        <w:t>Corporate Auditor</w:t>
      </w:r>
      <w:r>
        <w:rPr>
          <w:rFonts w:ascii="Times New Roman" w:cs="Times New Roman" w:eastAsia="Times New Roman" w:hAnsi="Times New Roman"/>
          <w:sz w:val="17"/>
          <w:szCs w:val="17"/>
          <w:color w:val="auto"/>
        </w:rPr>
        <w:t xml:space="preserve">. The Company shall have one Corporate Auditor, which shall be nominated by the Board and approved by the Shareholders, subject to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The Corporate Auditor may be removed by the Shareholders for any reason at any time in accordance with applicable Law.</w:t>
      </w:r>
    </w:p>
    <w:p>
      <w:pPr>
        <w:spacing w:after="0" w:line="162"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color w:val="auto"/>
        </w:rPr>
        <w:t xml:space="preserve">7.8  </w:t>
      </w: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 To the fullest extent permitted by applicable Laws, the Company shall indemnify and release each Director and officer against or from monetary damages arising from such Director’s or officer’s breach of any duty (other than criminal acts or willful misconduct) owed as a Director and officer and against claims that may be asserted against such Director of officer as a result of such Director or officer holding such position. At the request of the Shareholder nominating the Director, the Shareholders shall take all necessary actions to give effect to the preceding sentence, including granting consent to releasing such Director’s liabilities to the Company pursuant to Article 424 of the Companies Act.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620"/>
          </w:cols>
          <w:pgMar w:left="620" w:top="265" w:right="659" w:bottom="1440" w:gutter="0" w:footer="0" w:header="0"/>
        </w:sectPr>
      </w:pPr>
    </w:p>
    <w:bookmarkStart w:id="473" w:name="page474"/>
    <w:bookmarkEnd w:id="473"/>
    <w:p>
      <w:pPr>
        <w:ind w:right="80" w:firstLine="426"/>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7.9  </w:t>
      </w:r>
      <w:r>
        <w:rPr>
          <w:rFonts w:ascii="Times New Roman" w:cs="Times New Roman" w:eastAsia="Times New Roman" w:hAnsi="Times New Roman"/>
          <w:sz w:val="17"/>
          <w:szCs w:val="17"/>
          <w:u w:val="single" w:color="auto"/>
          <w:color w:val="auto"/>
        </w:rPr>
        <w:t>Reimbursement; Compensation</w:t>
      </w:r>
      <w:r>
        <w:rPr>
          <w:rFonts w:ascii="Times New Roman" w:cs="Times New Roman" w:eastAsia="Times New Roman" w:hAnsi="Times New Roman"/>
          <w:sz w:val="17"/>
          <w:szCs w:val="17"/>
          <w:color w:val="auto"/>
        </w:rPr>
        <w:t>. The Company will pay, or cause one of its Subsidiaries to pay, the reasonable and documented out-of-pocket costs and expenses incurred by each Director in the course of such Director’s service hereunder, including expenses for travel, meals and accommodation in connection with attending regular and special meetings of the Board, any board of managers, board of directors or similar governing body of each of the Company’s Subsidiaries or any of their respective committees, in each case, subject to the Company’s policies and procedures with respect thereto (including the requirement of reasonable documentation thereof). None of the SBG Directors or the Tempus Directors will receive compensation from the Company or any of its Subsidiaries for serving on the Board or any similar governing body of the Company’s Subsidiaries.</w:t>
      </w:r>
    </w:p>
    <w:p>
      <w:pPr>
        <w:spacing w:after="0" w:line="173" w:lineRule="exact"/>
        <w:rPr>
          <w:sz w:val="20"/>
          <w:szCs w:val="20"/>
          <w:color w:val="auto"/>
        </w:rPr>
      </w:pPr>
    </w:p>
    <w:p>
      <w:pPr>
        <w:ind w:firstLine="426"/>
        <w:spacing w:after="0" w:line="258" w:lineRule="auto"/>
        <w:rPr>
          <w:sz w:val="20"/>
          <w:szCs w:val="20"/>
          <w:color w:val="auto"/>
        </w:rPr>
      </w:pPr>
      <w:r>
        <w:rPr>
          <w:rFonts w:ascii="Times New Roman" w:cs="Times New Roman" w:eastAsia="Times New Roman" w:hAnsi="Times New Roman"/>
          <w:sz w:val="17"/>
          <w:szCs w:val="17"/>
          <w:color w:val="auto"/>
        </w:rPr>
        <w:t xml:space="preserve">7.10  </w:t>
      </w:r>
      <w:r>
        <w:rPr>
          <w:rFonts w:ascii="Times New Roman" w:cs="Times New Roman" w:eastAsia="Times New Roman" w:hAnsi="Times New Roman"/>
          <w:sz w:val="17"/>
          <w:szCs w:val="17"/>
          <w:u w:val="single" w:color="auto"/>
          <w:color w:val="auto"/>
        </w:rPr>
        <w:t>Shareholders’ Meetings</w:t>
      </w:r>
      <w:r>
        <w:rPr>
          <w:rFonts w:ascii="Times New Roman" w:cs="Times New Roman" w:eastAsia="Times New Roman" w:hAnsi="Times New Roman"/>
          <w:sz w:val="17"/>
          <w:szCs w:val="17"/>
          <w:color w:val="auto"/>
        </w:rPr>
        <w:t xml:space="preserve">. The Shareholders shall have the right to vote on such matters as set forth in the Articles and as provided under applicable Law, subject to the limitations set forth in this Agreement. Shareholders shall receive written notice of each Shareholders’ meeting at least thirty (30) days before the scheduled date of such meeting (which notice period may be shortened by written waiver or actual attendance without objection by each Shareholder at such meeting). The Company shall have an annual Shareholders’ meeting within three (3) months from the end of each Fiscal Year. Each Shareholders’ meeting shall be at such time and place as determined by the Board. Meetings shall be conducted in the English language (with Japanese translation), and minutes of such meetings shall be prepared by the Company in Japanese and English. A quorum shall be deemed to exist for purposes of such meeting so long as Shareholders representing at least a majority of the total number of voting rights owned by all Shareholders are present at such meeting, which must include both the SBG Shareholder and the Tempus Shareholder (or their respective proxies);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quorum is not present at the meeting of Shareholders due to the absence of the SBG Shareholder (or its proxy) or the Tempus Shareholder (or its proxy), such meeting shall be adjourned to the same time and place on the date that is fifteen (15) days after the original meeting date (with written notice to all Shareholders) and, if at such adjourned meeting on the same subject and with the same agenda, such quorum is still not present, the attendance of the other Shareholders (or their proxies), so long as they hold at least a majority of the total number of voting rights owned by the Shareholders, shall be deemed a quorum. Subject to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any action, determination or resolution of the Shareholders shall require the affirmative vote of Shareholders representing at least a majority (or any higher percentage as required under the Companies Act) of the voting rights carried by Shareholders who are qualified to vote and attend the meeting, which must include both the SBG Shareholder and the Tempus Shareholder (or their respective proxies), and the Shareholders shall not exercise voting rights to approve any matter at the Shareholders’ meeting if the required quorum is not present. Subject to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any action, determination or resolution permitted or required by applicable Law or this Agreement to be taken by the Shareholders may be taken without a meeting if a consent in writing (including via e-mail), setting forth the action taken, is signed by all of the Shareholders entitled to vote on such matter. This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 xml:space="preserve">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to each general meeting of class Shareholders, which may be required pursuant to the Companies Act, for which references in this </w:t>
      </w:r>
      <w:r>
        <w:rPr>
          <w:rFonts w:ascii="Times New Roman" w:cs="Times New Roman" w:eastAsia="Times New Roman" w:hAnsi="Times New Roman"/>
          <w:sz w:val="17"/>
          <w:szCs w:val="17"/>
          <w:u w:val="single" w:color="auto"/>
          <w:color w:val="auto"/>
        </w:rPr>
        <w:t>Section 7.10</w:t>
      </w:r>
      <w:r>
        <w:rPr>
          <w:rFonts w:ascii="Times New Roman" w:cs="Times New Roman" w:eastAsia="Times New Roman" w:hAnsi="Times New Roman"/>
          <w:sz w:val="17"/>
          <w:szCs w:val="17"/>
          <w:color w:val="auto"/>
        </w:rPr>
        <w:t xml:space="preserve"> to the SBG Shareholder will be replaced with the SBG Class A Shareholder.</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640"/>
          </w:cols>
          <w:pgMar w:left="620" w:top="264" w:right="639" w:bottom="1440" w:gutter="0" w:footer="0" w:header="0"/>
        </w:sectPr>
      </w:pPr>
    </w:p>
    <w:bookmarkStart w:id="474" w:name="page475"/>
    <w:bookmarkEnd w:id="474"/>
    <w:p>
      <w:pPr>
        <w:ind w:left="428"/>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7.11   </w:t>
      </w:r>
      <w:r>
        <w:rPr>
          <w:rFonts w:ascii="Times New Roman" w:cs="Times New Roman" w:eastAsia="Times New Roman" w:hAnsi="Times New Roman"/>
          <w:sz w:val="17"/>
          <w:szCs w:val="17"/>
          <w:u w:val="single" w:color="auto"/>
          <w:color w:val="auto"/>
        </w:rPr>
        <w:t>Shareholder Reserved Matters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8" w:right="300" w:firstLine="426"/>
        <w:spacing w:after="0" w:line="267" w:lineRule="auto"/>
        <w:rPr>
          <w:sz w:val="20"/>
          <w:szCs w:val="20"/>
          <w:color w:val="auto"/>
        </w:rPr>
      </w:pPr>
      <w:r>
        <w:rPr>
          <w:rFonts w:ascii="Times New Roman" w:cs="Times New Roman" w:eastAsia="Times New Roman" w:hAnsi="Times New Roman"/>
          <w:sz w:val="17"/>
          <w:szCs w:val="17"/>
          <w:color w:val="auto"/>
        </w:rPr>
        <w:t>(a)  Notwithstanding any other provision of this Agreement to the contrary, for so long as an Initial Shareholder owns at least [***] of the Company Interest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threshold (i) shall not give any effect to the consolidation of the Company in accordance with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left="8" w:right="180" w:hanging="8"/>
        <w:spacing w:after="0" w:line="256" w:lineRule="auto"/>
        <w:tabs>
          <w:tab w:leader="none" w:pos="264"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may be adjusted by mutual agreement of the Initial Shareholders in the event a new Shareholder (other than an Affiliate of any of the Initial Shareholders) becomes party to this Agreement in compliance with the terms hereof), then, in addition to any approval required by this Agreement or applicable Law, the prior written consent of such Initial Shareholder shall be required for each of the matters set forth on </w:t>
      </w:r>
      <w:r>
        <w:rPr>
          <w:rFonts w:ascii="Times New Roman" w:cs="Times New Roman" w:eastAsia="Times New Roman" w:hAnsi="Times New Roman"/>
          <w:sz w:val="17"/>
          <w:szCs w:val="17"/>
          <w:u w:val="single" w:color="auto"/>
          <w:color w:val="auto"/>
        </w:rPr>
        <w:t>Schedule 7.11</w:t>
      </w:r>
    </w:p>
    <w:p>
      <w:pPr>
        <w:spacing w:after="0" w:line="1" w:lineRule="exact"/>
        <w:rPr>
          <w:rFonts w:ascii="Times New Roman" w:cs="Times New Roman" w:eastAsia="Times New Roman" w:hAnsi="Times New Roman"/>
          <w:sz w:val="17"/>
          <w:szCs w:val="17"/>
          <w:color w:val="auto"/>
        </w:rPr>
      </w:pPr>
    </w:p>
    <w:p>
      <w:pPr>
        <w:ind w:left="8"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Shareholder Reserved Matters</w:t>
      </w:r>
      <w:r>
        <w:rPr>
          <w:rFonts w:ascii="Times New Roman" w:cs="Times New Roman" w:eastAsia="Times New Roman" w:hAnsi="Times New Roman"/>
          <w:sz w:val="17"/>
          <w:szCs w:val="17"/>
          <w:color w:val="auto"/>
        </w:rPr>
        <w:t xml:space="preserve">”) which such consent shall not be unreasonably withheld. Notwithstanding anything herein or in the applicable Contract to the contrary, in the event a Shareholder Reserved Matter involves a Company decision with respect to a Contract between the Company and a Shareholder, including the SBG Brand License Agreement, the IP License Agreement, the Data License Agreement, the Tempus Services Agreement or the SBG Services Agreement, then any decision pertaining to such Shareholder Reserved Matter shall not require the approval of the Shareholder who is a party to such Contact;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the foregoing be interpreted to limit any rights of the parties under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14.4</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ind w:left="8" w:right="60" w:firstLine="426"/>
        <w:spacing w:after="0" w:line="264" w:lineRule="auto"/>
        <w:rPr>
          <w:sz w:val="20"/>
          <w:szCs w:val="20"/>
          <w:color w:val="auto"/>
        </w:rPr>
      </w:pPr>
      <w:r>
        <w:rPr>
          <w:rFonts w:ascii="Times New Roman" w:cs="Times New Roman" w:eastAsia="Times New Roman" w:hAnsi="Times New Roman"/>
          <w:sz w:val="17"/>
          <w:szCs w:val="17"/>
          <w:color w:val="auto"/>
        </w:rPr>
        <w:t xml:space="preserve">(b)  Subject to clauses (i) and (ii) of </w:t>
      </w:r>
      <w:r>
        <w:rPr>
          <w:rFonts w:ascii="Times New Roman" w:cs="Times New Roman" w:eastAsia="Times New Roman" w:hAnsi="Times New Roman"/>
          <w:sz w:val="17"/>
          <w:szCs w:val="17"/>
          <w:u w:val="single" w:color="auto"/>
          <w:color w:val="auto"/>
        </w:rPr>
        <w:t>Section 7.11(a)</w:t>
      </w:r>
      <w:r>
        <w:rPr>
          <w:rFonts w:ascii="Times New Roman" w:cs="Times New Roman" w:eastAsia="Times New Roman" w:hAnsi="Times New Roman"/>
          <w:sz w:val="17"/>
          <w:szCs w:val="17"/>
          <w:color w:val="auto"/>
        </w:rPr>
        <w:t xml:space="preserve">, for the avoidance of doubt, if an Initial Shareholder no longer owns at least [***] of the Company Interest, then that Initial Shareholder’s written consent shall no longer be required for the approval of any Shareholder Reserved Matter. This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covering Shareholder Reserved Matters shall apply only to the Initial Shareholders, and shall not apply (absent the written consent of both Initial Shareholders) to any new Shareholder who acquires a Company Interest through a permitted Transfer (with the exception of any Affiliate of an Initial Shareholder that is a Transferee of Company Securities from such Initial Shareholder, to which Affiliate the Shareholder Reserved Matters will apply in accordance with </w:t>
      </w:r>
      <w:r>
        <w:rPr>
          <w:rFonts w:ascii="Times New Roman" w:cs="Times New Roman" w:eastAsia="Times New Roman" w:hAnsi="Times New Roman"/>
          <w:sz w:val="17"/>
          <w:szCs w:val="17"/>
          <w:u w:val="single" w:color="auto"/>
          <w:color w:val="auto"/>
        </w:rPr>
        <w:t>Section 14.21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Transfer is made in compliance with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7.12   </w:t>
      </w:r>
      <w:r>
        <w:rPr>
          <w:rFonts w:ascii="Times New Roman" w:cs="Times New Roman" w:eastAsia="Times New Roman" w:hAnsi="Times New Roman"/>
          <w:sz w:val="17"/>
          <w:szCs w:val="17"/>
          <w:u w:val="single" w:color="auto"/>
          <w:color w:val="auto"/>
        </w:rPr>
        <w:t>Deadlock Matters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8" w:firstLine="426"/>
        <w:spacing w:after="0" w:line="262"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Resolution by Senior Executives</w:t>
      </w:r>
      <w:r>
        <w:rPr>
          <w:rFonts w:ascii="Times New Roman" w:cs="Times New Roman" w:eastAsia="Times New Roman" w:hAnsi="Times New Roman"/>
          <w:sz w:val="17"/>
          <w:szCs w:val="17"/>
          <w:color w:val="auto"/>
        </w:rPr>
        <w:t xml:space="preserve">. Except as otherwise set forth in the last sentence of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if the Board or the Shareholders, each acting in good faith, are unable to come to a decision in respect of any matter within [***] Days of such matter first being tabled at a Board meeting or Shareholders meeting, or there arises a material disagreement relating to the Company or the Business other than to any alleged breach of this Agreement or any other Transaction Document (any of the foregoing, a “</w:t>
      </w:r>
      <w:r>
        <w:rPr>
          <w:rFonts w:ascii="Times New Roman" w:cs="Times New Roman" w:eastAsia="Times New Roman" w:hAnsi="Times New Roman"/>
          <w:sz w:val="17"/>
          <w:szCs w:val="17"/>
          <w:u w:val="single" w:color="auto"/>
          <w:color w:val="auto"/>
        </w:rPr>
        <w:t>Deadlock Matter</w:t>
      </w:r>
      <w:r>
        <w:rPr>
          <w:rFonts w:ascii="Times New Roman" w:cs="Times New Roman" w:eastAsia="Times New Roman" w:hAnsi="Times New Roman"/>
          <w:sz w:val="17"/>
          <w:szCs w:val="17"/>
          <w:color w:val="auto"/>
        </w:rPr>
        <w:t>”), and such Deadlock Matter may materially affect the ability of the Company to perform its obligations under this Agreement, or may otherwise materially impair the ability of the Company to engage in the Business or to conduct the Business in an effective matter, such Deadlock Matter shall first be referred to [***] of the SBG Shareholder and [***] of the Tempus Shareholder (or, in the case of either Initial Shareholder, an alternative senior executive identified by such Initial Shareholder) who shall seek in good faith to resolve the matter on an amicable basis within [***] days (the “</w:t>
      </w:r>
      <w:r>
        <w:rPr>
          <w:rFonts w:ascii="Times New Roman" w:cs="Times New Roman" w:eastAsia="Times New Roman" w:hAnsi="Times New Roman"/>
          <w:sz w:val="17"/>
          <w:szCs w:val="17"/>
          <w:u w:val="single" w:color="auto"/>
          <w:color w:val="auto"/>
        </w:rPr>
        <w:t>Senior Executive Resolution Period</w:t>
      </w:r>
      <w:r>
        <w:rPr>
          <w:rFonts w:ascii="Times New Roman" w:cs="Times New Roman" w:eastAsia="Times New Roman" w:hAnsi="Times New Roman"/>
          <w:sz w:val="17"/>
          <w:szCs w:val="17"/>
          <w:color w:val="auto"/>
        </w:rPr>
        <w:t>”).</w:t>
      </w:r>
    </w:p>
    <w:p>
      <w:pPr>
        <w:spacing w:after="0" w:line="109"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608"/>
          </w:cols>
          <w:pgMar w:left="612" w:top="264" w:right="679" w:bottom="1440" w:gutter="0" w:footer="0" w:header="0"/>
        </w:sectPr>
      </w:pPr>
    </w:p>
    <w:bookmarkStart w:id="475" w:name="page476"/>
    <w:bookmarkEnd w:id="475"/>
    <w:p>
      <w:pPr>
        <w:jc w:val="both"/>
        <w:ind w:right="180" w:firstLine="42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(b)  </w:t>
      </w:r>
      <w:r>
        <w:rPr>
          <w:rFonts w:ascii="Times New Roman" w:cs="Times New Roman" w:eastAsia="Times New Roman" w:hAnsi="Times New Roman"/>
          <w:sz w:val="17"/>
          <w:szCs w:val="17"/>
          <w:u w:val="single" w:color="auto"/>
          <w:color w:val="auto"/>
        </w:rPr>
        <w:t>Resolution by Chief Executives</w:t>
      </w:r>
      <w:r>
        <w:rPr>
          <w:rFonts w:ascii="Times New Roman" w:cs="Times New Roman" w:eastAsia="Times New Roman" w:hAnsi="Times New Roman"/>
          <w:sz w:val="17"/>
          <w:szCs w:val="17"/>
          <w:color w:val="auto"/>
        </w:rPr>
        <w:t>. If the Deadlock Matter is not resolved prior to the expiration of the Senior Executive Resolution Period, such Deadlock Matter shall be referred to the [***] of the SBG Shareholder and the [***] of the Tempus Shareholder, who shall seek in good faith to resolve the matter on an amicable basis within [***] days (the “</w:t>
      </w:r>
      <w:r>
        <w:rPr>
          <w:rFonts w:ascii="Times New Roman" w:cs="Times New Roman" w:eastAsia="Times New Roman" w:hAnsi="Times New Roman"/>
          <w:sz w:val="17"/>
          <w:szCs w:val="17"/>
          <w:u w:val="single" w:color="auto"/>
          <w:color w:val="auto"/>
        </w:rPr>
        <w:t>CEO Resolution Period</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firstLine="426"/>
        <w:spacing w:after="0" w:line="295"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Resolution by Expert</w:t>
      </w:r>
      <w:r>
        <w:rPr>
          <w:rFonts w:ascii="Times New Roman" w:cs="Times New Roman" w:eastAsia="Times New Roman" w:hAnsi="Times New Roman"/>
          <w:sz w:val="17"/>
          <w:szCs w:val="17"/>
          <w:color w:val="auto"/>
        </w:rPr>
        <w:t>. If the Deadlock Matter is not resolved prior to the expiration of the CEO Resolution Period, and concerns any matter which may be capable of expert determination, either Shareholder may refer the dispute for decision to an expert (the “</w:t>
      </w:r>
      <w:r>
        <w:rPr>
          <w:rFonts w:ascii="Times New Roman" w:cs="Times New Roman" w:eastAsia="Times New Roman" w:hAnsi="Times New Roman"/>
          <w:sz w:val="17"/>
          <w:szCs w:val="17"/>
          <w:u w:val="single" w:color="auto"/>
          <w:color w:val="auto"/>
        </w:rPr>
        <w:t>Expert</w:t>
      </w:r>
      <w:r>
        <w:rPr>
          <w:rFonts w:ascii="Times New Roman" w:cs="Times New Roman" w:eastAsia="Times New Roman" w:hAnsi="Times New Roman"/>
          <w:sz w:val="17"/>
          <w:szCs w:val="17"/>
          <w:color w:val="auto"/>
        </w:rPr>
        <w:t>”) on the following terms:</w:t>
      </w:r>
    </w:p>
    <w:p>
      <w:pPr>
        <w:spacing w:after="0" w:line="147" w:lineRule="exact"/>
        <w:rPr>
          <w:sz w:val="20"/>
          <w:szCs w:val="20"/>
          <w:color w:val="auto"/>
        </w:rPr>
      </w:pPr>
    </w:p>
    <w:p>
      <w:pPr>
        <w:ind w:right="140" w:firstLine="960"/>
        <w:spacing w:after="0" w:line="269" w:lineRule="auto"/>
        <w:rPr>
          <w:sz w:val="20"/>
          <w:szCs w:val="20"/>
          <w:color w:val="auto"/>
        </w:rPr>
      </w:pPr>
      <w:r>
        <w:rPr>
          <w:rFonts w:ascii="Times New Roman" w:cs="Times New Roman" w:eastAsia="Times New Roman" w:hAnsi="Times New Roman"/>
          <w:sz w:val="17"/>
          <w:szCs w:val="17"/>
          <w:color w:val="auto"/>
        </w:rPr>
        <w:t>(i)  unless otherwise agreed among the Shareholders, the Expert shall be appropriately qualified based on the subject matter of the Deadlock Matter and shall be appointed by mutual agreement among the Shareholders, or, failing agreement, within [***] days of the initiation of the reference, shall (following an application made by either Shareholder) be appointed by the International Centre for Expertise in accordance with the provisions for appointment of experts under the Rules of Expertise of the International Chamber of Commerce;</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(ii)   the Expert shall determine whether or not the Deadlock Matter is suitable for Expert determination;</w:t>
      </w:r>
    </w:p>
    <w:p>
      <w:pPr>
        <w:spacing w:after="0" w:line="223" w:lineRule="exact"/>
        <w:rPr>
          <w:sz w:val="20"/>
          <w:szCs w:val="20"/>
          <w:color w:val="auto"/>
        </w:rPr>
      </w:pPr>
    </w:p>
    <w:p>
      <w:pPr>
        <w:ind w:right="320" w:firstLine="960"/>
        <w:spacing w:after="0" w:line="295" w:lineRule="auto"/>
        <w:rPr>
          <w:sz w:val="20"/>
          <w:szCs w:val="20"/>
          <w:color w:val="auto"/>
        </w:rPr>
      </w:pPr>
      <w:r>
        <w:rPr>
          <w:rFonts w:ascii="Times New Roman" w:cs="Times New Roman" w:eastAsia="Times New Roman" w:hAnsi="Times New Roman"/>
          <w:sz w:val="17"/>
          <w:szCs w:val="17"/>
          <w:color w:val="auto"/>
        </w:rPr>
        <w:t>(iii)  the Expert may have access to all relevant documents of the Company and of the relevant parties, subject to any confidentiality provisions then in place or as agreed among the Shareholders;</w:t>
      </w:r>
    </w:p>
    <w:p>
      <w:pPr>
        <w:spacing w:after="0" w:line="1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(iv)   the relevant parties may make representations and submissions to the Expert but there still shall be no formal hearing;</w:t>
      </w:r>
    </w:p>
    <w:p>
      <w:pPr>
        <w:spacing w:after="0" w:line="223" w:lineRule="exact"/>
        <w:rPr>
          <w:sz w:val="20"/>
          <w:szCs w:val="20"/>
          <w:color w:val="auto"/>
        </w:rPr>
      </w:pPr>
    </w:p>
    <w:p>
      <w:pPr>
        <w:ind w:right="340" w:firstLine="960"/>
        <w:spacing w:after="0" w:line="295" w:lineRule="auto"/>
        <w:rPr>
          <w:sz w:val="20"/>
          <w:szCs w:val="20"/>
          <w:color w:val="auto"/>
        </w:rPr>
      </w:pPr>
      <w:r>
        <w:rPr>
          <w:rFonts w:ascii="Times New Roman" w:cs="Times New Roman" w:eastAsia="Times New Roman" w:hAnsi="Times New Roman"/>
          <w:sz w:val="17"/>
          <w:szCs w:val="17"/>
          <w:color w:val="auto"/>
        </w:rPr>
        <w:t>(v)  the Expert shall make a determination within [***] Days of its appointment and shall notify the Shareholders in writing of such Expert’s determination; and</w:t>
      </w:r>
    </w:p>
    <w:p>
      <w:pPr>
        <w:spacing w:after="0" w:line="147" w:lineRule="exact"/>
        <w:rPr>
          <w:sz w:val="20"/>
          <w:szCs w:val="20"/>
          <w:color w:val="auto"/>
        </w:rPr>
      </w:pPr>
    </w:p>
    <w:p>
      <w:pPr>
        <w:ind w:right="20" w:firstLine="960"/>
        <w:spacing w:after="0" w:line="295" w:lineRule="auto"/>
        <w:rPr>
          <w:sz w:val="20"/>
          <w:szCs w:val="20"/>
          <w:color w:val="auto"/>
        </w:rPr>
      </w:pPr>
      <w:r>
        <w:rPr>
          <w:rFonts w:ascii="Times New Roman" w:cs="Times New Roman" w:eastAsia="Times New Roman" w:hAnsi="Times New Roman"/>
          <w:sz w:val="17"/>
          <w:szCs w:val="17"/>
          <w:color w:val="auto"/>
        </w:rPr>
        <w:t>(vi)  the fees of the Expert shall be paid by the Shareholders in their Pro Rata Portions unless such Expert determines that the conduct of one Shareholder is such that it should pay the fees of the Expert.</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Resolution of Deadlock Matter</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jc w:val="both"/>
        <w:ind w:firstLine="960"/>
        <w:spacing w:after="0" w:line="276" w:lineRule="auto"/>
        <w:rPr>
          <w:sz w:val="20"/>
          <w:szCs w:val="20"/>
          <w:color w:val="auto"/>
        </w:rPr>
      </w:pPr>
      <w:r>
        <w:rPr>
          <w:rFonts w:ascii="Times New Roman" w:cs="Times New Roman" w:eastAsia="Times New Roman" w:hAnsi="Times New Roman"/>
          <w:sz w:val="17"/>
          <w:szCs w:val="17"/>
          <w:color w:val="auto"/>
        </w:rPr>
        <w:t xml:space="preserve">(i)  If the Deadlock Matter has been resolved pursuant to the foregoing provisions of this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then such resolution shall be final and binding upon the Company and the Shareholders, and the Shareholders shall, or shall cause their respective nominee Directors, to take any actions as reasonably necessary to give effect to such resolution.</w:t>
      </w:r>
    </w:p>
    <w:p>
      <w:pPr>
        <w:spacing w:after="0" w:line="162" w:lineRule="exact"/>
        <w:rPr>
          <w:sz w:val="20"/>
          <w:szCs w:val="20"/>
          <w:color w:val="auto"/>
        </w:rPr>
      </w:pPr>
    </w:p>
    <w:p>
      <w:pPr>
        <w:ind w:right="320" w:firstLine="960"/>
        <w:spacing w:after="0" w:line="295" w:lineRule="auto"/>
        <w:rPr>
          <w:sz w:val="20"/>
          <w:szCs w:val="20"/>
          <w:color w:val="auto"/>
        </w:rPr>
      </w:pPr>
      <w:r>
        <w:rPr>
          <w:rFonts w:ascii="Times New Roman" w:cs="Times New Roman" w:eastAsia="Times New Roman" w:hAnsi="Times New Roman"/>
          <w:sz w:val="17"/>
          <w:szCs w:val="17"/>
          <w:color w:val="auto"/>
        </w:rPr>
        <w:t xml:space="preserve">(ii)  If the Deadlock Matter is not resolved pursuant to foregoing provisions of this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xml:space="preserve"> and concerns the approval of a draft business plan for any Fiscal Year, then the prior year’s approved Business Plan shall continue to apply in accordance with </w:t>
      </w:r>
      <w:r>
        <w:rPr>
          <w:rFonts w:ascii="Times New Roman" w:cs="Times New Roman" w:eastAsia="Times New Roman" w:hAnsi="Times New Roman"/>
          <w:sz w:val="17"/>
          <w:szCs w:val="17"/>
          <w:u w:val="single" w:color="auto"/>
          <w:color w:val="auto"/>
        </w:rPr>
        <w:t>Section 7.13(c)</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right="120" w:firstLine="960"/>
        <w:spacing w:after="0" w:line="295" w:lineRule="auto"/>
        <w:rPr>
          <w:sz w:val="20"/>
          <w:szCs w:val="20"/>
          <w:color w:val="auto"/>
        </w:rPr>
      </w:pPr>
      <w:r>
        <w:rPr>
          <w:rFonts w:ascii="Times New Roman" w:cs="Times New Roman" w:eastAsia="Times New Roman" w:hAnsi="Times New Roman"/>
          <w:sz w:val="17"/>
          <w:szCs w:val="17"/>
          <w:color w:val="auto"/>
        </w:rPr>
        <w:t xml:space="preserve">(iii)  If the Deadlock Matter is not resolved pursuant to the foregoing provisions of this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xml:space="preserve">, the Deadlock Matter shall then be resolved in accordance with </w:t>
      </w:r>
      <w:r>
        <w:rPr>
          <w:rFonts w:ascii="Times New Roman" w:cs="Times New Roman" w:eastAsia="Times New Roman" w:hAnsi="Times New Roman"/>
          <w:sz w:val="17"/>
          <w:szCs w:val="17"/>
          <w:u w:val="single" w:color="auto"/>
          <w:color w:val="auto"/>
        </w:rPr>
        <w:t>Section 14.4</w:t>
      </w:r>
      <w:r>
        <w:rPr>
          <w:rFonts w:ascii="Times New Roman" w:cs="Times New Roman" w:eastAsia="Times New Roman" w:hAnsi="Times New Roman"/>
          <w:sz w:val="17"/>
          <w:szCs w:val="17"/>
          <w:color w:val="auto"/>
        </w:rPr>
        <w:t>.</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560"/>
          </w:cols>
          <w:pgMar w:left="620" w:top="264" w:right="719" w:bottom="1440" w:gutter="0" w:footer="0" w:header="0"/>
        </w:sectPr>
      </w:pPr>
    </w:p>
    <w:bookmarkStart w:id="476" w:name="page477"/>
    <w:bookmarkEnd w:id="476"/>
    <w:p>
      <w:pPr>
        <w:ind w:left="8" w:right="40" w:firstLine="960"/>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(iv)  For the avoidance of doubt and notwithstanding anything contained herein to the contrary, if the Deadlock Matter concerns the approval of whether the Company requires Additional Funding in accordance with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and the Expert or, if applicable, the Arbitrator, issues a final and binding decision to allow such Additional Funding, the provisions of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will apply to such Additional Funding and, for the avoidance of doubt, (A) the exercise of the rights of the Initial Shareholders under, and the process for consummation of such Additional Funding, in accordance with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may not be challenged as a “Deadlock Matter” and (B) an Initial Shareholder’s decision not to fund any Additional Funding, in whole or in part, shall not constitute a Deadlock Matter such that an Initial Shareholder may be forced to participate in an Additional Funding contrary to the provisions of </w:t>
      </w:r>
      <w:r>
        <w:rPr>
          <w:rFonts w:ascii="Times New Roman" w:cs="Times New Roman" w:eastAsia="Times New Roman" w:hAnsi="Times New Roman"/>
          <w:sz w:val="17"/>
          <w:szCs w:val="17"/>
          <w:u w:val="single" w:color="auto"/>
          <w:color w:val="auto"/>
        </w:rPr>
        <w:t>Section 6.2(i)</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7.13   </w:t>
      </w:r>
      <w:r>
        <w:rPr>
          <w:rFonts w:ascii="Times New Roman" w:cs="Times New Roman" w:eastAsia="Times New Roman" w:hAnsi="Times New Roman"/>
          <w:sz w:val="17"/>
          <w:szCs w:val="17"/>
          <w:u w:val="single" w:color="auto"/>
          <w:color w:val="auto"/>
        </w:rPr>
        <w:t>Business Plan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8" w:right="60" w:firstLine="960"/>
        <w:spacing w:after="0" w:line="276" w:lineRule="auto"/>
        <w:rPr>
          <w:sz w:val="20"/>
          <w:szCs w:val="20"/>
          <w:color w:val="auto"/>
        </w:rPr>
      </w:pPr>
      <w:r>
        <w:rPr>
          <w:rFonts w:ascii="Times New Roman" w:cs="Times New Roman" w:eastAsia="Times New Roman" w:hAnsi="Times New Roman"/>
          <w:sz w:val="17"/>
          <w:szCs w:val="17"/>
          <w:color w:val="auto"/>
        </w:rPr>
        <w:t xml:space="preserve">(a)  The Initial Shareholders shall cooperate in good faith and use their respective reasonable best efforts to prepare an initial business plan of the Company by the Closing, which shall be reasonably detailed and for a period from the Closing Date until the end of five (5) full Fiscal Years of the Company and include the details set forth on </w:t>
      </w:r>
      <w:r>
        <w:rPr>
          <w:rFonts w:ascii="Times New Roman" w:cs="Times New Roman" w:eastAsia="Times New Roman" w:hAnsi="Times New Roman"/>
          <w:sz w:val="17"/>
          <w:szCs w:val="17"/>
          <w:u w:val="single" w:color="auto"/>
          <w:color w:val="auto"/>
        </w:rPr>
        <w:t>Schedule 7.13(a)</w:t>
      </w:r>
      <w:r>
        <w:rPr>
          <w:rFonts w:ascii="Times New Roman" w:cs="Times New Roman" w:eastAsia="Times New Roman" w:hAnsi="Times New Roman"/>
          <w:sz w:val="17"/>
          <w:szCs w:val="17"/>
          <w:color w:val="auto"/>
        </w:rPr>
        <w:t xml:space="preserve"> as well as certain financial performance goals (the “</w:t>
      </w:r>
      <w:r>
        <w:rPr>
          <w:rFonts w:ascii="Times New Roman" w:cs="Times New Roman" w:eastAsia="Times New Roman" w:hAnsi="Times New Roman"/>
          <w:sz w:val="17"/>
          <w:szCs w:val="17"/>
          <w:u w:val="single" w:color="auto"/>
          <w:color w:val="auto"/>
        </w:rPr>
        <w:t>Initial Business Plan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(b)   Immediately after the Closing, the Initial Shareholders shall cause their respective Board nominees to approve the Initial Business</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Plan.</w:t>
      </w:r>
    </w:p>
    <w:p>
      <w:pPr>
        <w:spacing w:after="0" w:line="205" w:lineRule="exact"/>
        <w:rPr>
          <w:sz w:val="20"/>
          <w:szCs w:val="20"/>
          <w:color w:val="auto"/>
        </w:rPr>
      </w:pPr>
    </w:p>
    <w:p>
      <w:pPr>
        <w:ind w:left="8" w:right="60" w:firstLine="960"/>
        <w:spacing w:after="0" w:line="264" w:lineRule="auto"/>
        <w:rPr>
          <w:sz w:val="20"/>
          <w:szCs w:val="20"/>
          <w:color w:val="auto"/>
        </w:rPr>
      </w:pPr>
      <w:r>
        <w:rPr>
          <w:rFonts w:ascii="Times New Roman" w:cs="Times New Roman" w:eastAsia="Times New Roman" w:hAnsi="Times New Roman"/>
          <w:sz w:val="17"/>
          <w:szCs w:val="17"/>
          <w:color w:val="auto"/>
        </w:rPr>
        <w:t>(c)  On an annual basis thereafter, the officers of the Company shall prepare and provide to the Board for approval a draft business plan no later than [***] Days prior to the end of each Fiscal Year. Each business plan so approved by the Board, including the Initial Business Plan, is referred to herein as a “</w:t>
      </w:r>
      <w:r>
        <w:rPr>
          <w:rFonts w:ascii="Times New Roman" w:cs="Times New Roman" w:eastAsia="Times New Roman" w:hAnsi="Times New Roman"/>
          <w:sz w:val="17"/>
          <w:szCs w:val="17"/>
          <w:u w:val="single" w:color="auto"/>
          <w:color w:val="auto"/>
        </w:rPr>
        <w:t>Business Plan</w:t>
      </w:r>
      <w:r>
        <w:rPr>
          <w:rFonts w:ascii="Times New Roman" w:cs="Times New Roman" w:eastAsia="Times New Roman" w:hAnsi="Times New Roman"/>
          <w:sz w:val="17"/>
          <w:szCs w:val="17"/>
          <w:color w:val="auto"/>
        </w:rPr>
        <w:t>.” If the Board fails to approve any draft business plan prior to the beginning of the applicable Fiscal Year, then the prior Fiscal Year’s approved Business Plan, adjusted for any changes in the consumer price index over the relevant period (excluding non-recurring expenditures), will be deemed approved by the Board solely for purposes of operating the Company during such Fiscal Year until a business plan for such Fiscal Year is approved by the Board.</w:t>
      </w:r>
    </w:p>
    <w:p>
      <w:pPr>
        <w:spacing w:after="0" w:line="173" w:lineRule="exact"/>
        <w:rPr>
          <w:sz w:val="20"/>
          <w:szCs w:val="20"/>
          <w:color w:val="auto"/>
        </w:rPr>
      </w:pPr>
    </w:p>
    <w:p>
      <w:pPr>
        <w:ind w:left="8" w:right="20" w:firstLine="960"/>
        <w:spacing w:after="0" w:line="295" w:lineRule="auto"/>
        <w:rPr>
          <w:sz w:val="20"/>
          <w:szCs w:val="20"/>
          <w:color w:val="auto"/>
        </w:rPr>
      </w:pPr>
      <w:r>
        <w:rPr>
          <w:rFonts w:ascii="Times New Roman" w:cs="Times New Roman" w:eastAsia="Times New Roman" w:hAnsi="Times New Roman"/>
          <w:sz w:val="17"/>
          <w:szCs w:val="17"/>
          <w:color w:val="auto"/>
        </w:rPr>
        <w:t>(d)  The Board and the Company’s officers shall cause the Company to conduct its operations in accordance with the Initial Business Plan or any other Business Plan then in effect.</w:t>
      </w:r>
    </w:p>
    <w:p>
      <w:pPr>
        <w:spacing w:after="0" w:line="147" w:lineRule="exact"/>
        <w:rPr>
          <w:sz w:val="20"/>
          <w:szCs w:val="20"/>
          <w:color w:val="auto"/>
        </w:rPr>
      </w:pPr>
    </w:p>
    <w:p>
      <w:pPr>
        <w:ind w:left="8" w:right="140" w:firstLine="960"/>
        <w:spacing w:after="0" w:line="264" w:lineRule="auto"/>
        <w:rPr>
          <w:sz w:val="20"/>
          <w:szCs w:val="20"/>
          <w:color w:val="auto"/>
        </w:rPr>
      </w:pPr>
      <w:r>
        <w:rPr>
          <w:rFonts w:ascii="Times New Roman" w:cs="Times New Roman" w:eastAsia="Times New Roman" w:hAnsi="Times New Roman"/>
          <w:sz w:val="17"/>
          <w:szCs w:val="17"/>
          <w:color w:val="auto"/>
        </w:rPr>
        <w:t>(e)  If the Tempus Shareholder or any of its Affiliates launches any product offering in any area that is not covered by this Agreement or any of the other Transaction Documents (collectively, the “</w:t>
      </w:r>
      <w:r>
        <w:rPr>
          <w:rFonts w:ascii="Times New Roman" w:cs="Times New Roman" w:eastAsia="Times New Roman" w:hAnsi="Times New Roman"/>
          <w:sz w:val="17"/>
          <w:szCs w:val="17"/>
          <w:u w:val="single" w:color="auto"/>
          <w:color w:val="auto"/>
        </w:rPr>
        <w:t>New Product Offerings</w:t>
      </w:r>
      <w:r>
        <w:rPr>
          <w:rFonts w:ascii="Times New Roman" w:cs="Times New Roman" w:eastAsia="Times New Roman" w:hAnsi="Times New Roman"/>
          <w:sz w:val="17"/>
          <w:szCs w:val="17"/>
          <w:color w:val="auto"/>
        </w:rPr>
        <w:t>”), the Board, in consultation with the SBG Shareholder and the Tempus Shareholder, will have the option (but not the obligation) (i) to expand the scope of the Business to include such New Product Offerings and</w:t>
      </w:r>
    </w:p>
    <w:p>
      <w:pPr>
        <w:ind w:left="8" w:hanging="8"/>
        <w:spacing w:after="0" w:line="260" w:lineRule="auto"/>
        <w:tabs>
          <w:tab w:leader="none" w:pos="264"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update the Business Plan then in effect, the SBG Brand License Agreement, the Tempus Services Agreement, the SBG Services Agreement, the IP License Agreement and the Data License Agreement to include the provision of New Product Offerings by the Tempus Shareholder or any of its Affiliates to the Company at [***] of providing such New Product Offerings to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Tempus Shareholder or any of its Affiliates procures any consumable, reagent, equipment or any other goods or services on behalf of the Company or any of its Affiliates because the Company is unable to procure such item directly from a third party, the Tempus Shareholder shall pass through such</w:t>
      </w:r>
    </w:p>
    <w:p>
      <w:pPr>
        <w:spacing w:after="0" w:line="1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668"/>
          </w:cols>
          <w:pgMar w:left="612" w:top="265" w:right="619" w:bottom="1440" w:gutter="0" w:footer="0" w:header="0"/>
        </w:sectPr>
      </w:pPr>
    </w:p>
    <w:bookmarkStart w:id="477" w:name="page478"/>
    <w:bookmarkEnd w:id="477"/>
    <w:p>
      <w:pPr>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goods and services to the Company at cost) (collectively, the “</w:t>
      </w:r>
      <w:r>
        <w:rPr>
          <w:rFonts w:ascii="Times New Roman" w:cs="Times New Roman" w:eastAsia="Times New Roman" w:hAnsi="Times New Roman"/>
          <w:sz w:val="17"/>
          <w:szCs w:val="17"/>
          <w:u w:val="single" w:color="auto"/>
          <w:color w:val="auto"/>
        </w:rPr>
        <w:t>New Product Offering Updates</w:t>
      </w:r>
      <w:r>
        <w:rPr>
          <w:rFonts w:ascii="Times New Roman" w:cs="Times New Roman" w:eastAsia="Times New Roman" w:hAnsi="Times New Roman"/>
          <w:sz w:val="17"/>
          <w:szCs w:val="17"/>
          <w:color w:val="auto"/>
        </w:rPr>
        <w:t>”). The Initial Shareholders shall cooperate with each other and the Company to execute and deliver such instruments, agreements and other documents, and perform such other acts and things, as may be reasonably necessary or desirable for purposes of effecting such New Product Offering Updates.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7.14   </w:t>
      </w:r>
      <w:r>
        <w:rPr>
          <w:rFonts w:ascii="Times New Roman" w:cs="Times New Roman" w:eastAsia="Times New Roman" w:hAnsi="Times New Roman"/>
          <w:sz w:val="17"/>
          <w:szCs w:val="17"/>
          <w:u w:val="single" w:color="auto"/>
          <w:color w:val="auto"/>
        </w:rPr>
        <w:t>Fiscal Year, Financial Statements; Accounting</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220" w:firstLine="426"/>
        <w:spacing w:after="0" w:line="295" w:lineRule="auto"/>
        <w:rPr>
          <w:sz w:val="20"/>
          <w:szCs w:val="20"/>
          <w:color w:val="auto"/>
        </w:rPr>
      </w:pPr>
      <w:r>
        <w:rPr>
          <w:rFonts w:ascii="Times New Roman" w:cs="Times New Roman" w:eastAsia="Times New Roman" w:hAnsi="Times New Roman"/>
          <w:sz w:val="17"/>
          <w:szCs w:val="17"/>
          <w:color w:val="auto"/>
        </w:rPr>
        <w:t>(a)  The Company’s fiscal year shall be from January 1 through December 31 (the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and the Company shall not change its Fiscal Year without the prior approval of the Initial Shareholders.</w:t>
      </w:r>
    </w:p>
    <w:p>
      <w:pPr>
        <w:spacing w:after="0" w:line="147" w:lineRule="exact"/>
        <w:rPr>
          <w:sz w:val="20"/>
          <w:szCs w:val="20"/>
          <w:color w:val="auto"/>
        </w:rPr>
      </w:pPr>
    </w:p>
    <w:p>
      <w:pPr>
        <w:ind w:right="40" w:firstLine="426"/>
        <w:spacing w:after="0" w:line="262" w:lineRule="auto"/>
        <w:rPr>
          <w:sz w:val="20"/>
          <w:szCs w:val="20"/>
          <w:color w:val="auto"/>
        </w:rPr>
      </w:pPr>
      <w:r>
        <w:rPr>
          <w:rFonts w:ascii="Times New Roman" w:cs="Times New Roman" w:eastAsia="Times New Roman" w:hAnsi="Times New Roman"/>
          <w:sz w:val="17"/>
          <w:szCs w:val="17"/>
          <w:color w:val="auto"/>
        </w:rPr>
        <w:t>(b)  In addition to non-consolidated annual financial statements prepared in accordance with JGAAP pursuant to the Companies Act, the Company shall prepare financial statements in accordance with US GAAP and in reasonable detail, and shall contain such financial data as the SBG Shareholder and the Tempus Shareholder may deem necessary in order to keep the Shareholders advised of the Company’s financial status (although quarterly statements need not include footnotes and may be subject to year-end adjustments). In the event any Initial Shareholder or any of its Affiliates determines, in its sole discretion, that additional financial statements or other accounting procedures (including, for the avoidance of doubt, variance adjustment with IFRS) are required or advisable to facilitate the accounting with respect to the Company of such Initial Shareholder or any of its Affiliates, each of the Shareholders shall cause its nominee Directors to authorize such additional financial statement or other accounting procedures, as the case may be.</w:t>
      </w:r>
    </w:p>
    <w:p>
      <w:pPr>
        <w:spacing w:after="0" w:line="388" w:lineRule="exact"/>
        <w:rPr>
          <w:sz w:val="20"/>
          <w:szCs w:val="20"/>
          <w:color w:val="auto"/>
        </w:rPr>
      </w:pPr>
    </w:p>
    <w:p>
      <w:pPr>
        <w:ind w:right="20" w:firstLine="426"/>
        <w:spacing w:after="0" w:line="261" w:lineRule="auto"/>
        <w:rPr>
          <w:sz w:val="20"/>
          <w:szCs w:val="20"/>
          <w:color w:val="auto"/>
        </w:rPr>
      </w:pPr>
      <w:r>
        <w:rPr>
          <w:rFonts w:ascii="Times New Roman" w:cs="Times New Roman" w:eastAsia="Times New Roman" w:hAnsi="Times New Roman"/>
          <w:sz w:val="17"/>
          <w:szCs w:val="17"/>
          <w:color w:val="auto"/>
        </w:rPr>
        <w:t>(c)  The Initial Shareholders shall engage [***] as the auditing firm for the Company (the “</w:t>
      </w:r>
      <w:r>
        <w:rPr>
          <w:rFonts w:ascii="Times New Roman" w:cs="Times New Roman" w:eastAsia="Times New Roman" w:hAnsi="Times New Roman"/>
          <w:sz w:val="17"/>
          <w:szCs w:val="17"/>
          <w:u w:val="single" w:color="auto"/>
          <w:color w:val="auto"/>
        </w:rPr>
        <w:t>Company Auditing Firm</w:t>
      </w:r>
      <w:r>
        <w:rPr>
          <w:rFonts w:ascii="Times New Roman" w:cs="Times New Roman" w:eastAsia="Times New Roman" w:hAnsi="Times New Roman"/>
          <w:sz w:val="17"/>
          <w:szCs w:val="17"/>
          <w:color w:val="auto"/>
        </w:rPr>
        <w:t>”), which will also act as an independent auditor (</w:t>
      </w:r>
      <w:r>
        <w:rPr>
          <w:rFonts w:ascii="Times New Roman" w:cs="Times New Roman" w:eastAsia="Times New Roman" w:hAnsi="Times New Roman"/>
          <w:sz w:val="17"/>
          <w:szCs w:val="17"/>
          <w:i w:val="1"/>
          <w:iCs w:val="1"/>
          <w:color w:val="auto"/>
        </w:rPr>
        <w:t>kaikei kansanin</w:t>
      </w:r>
      <w:r>
        <w:rPr>
          <w:rFonts w:ascii="Times New Roman" w:cs="Times New Roman" w:eastAsia="Times New Roman" w:hAnsi="Times New Roman"/>
          <w:sz w:val="17"/>
          <w:szCs w:val="17"/>
          <w:color w:val="auto"/>
        </w:rPr>
        <w:t>) as defined under the Companies Act if the Company qualifies as a large company (</w:t>
      </w:r>
      <w:r>
        <w:rPr>
          <w:rFonts w:ascii="Times New Roman" w:cs="Times New Roman" w:eastAsia="Times New Roman" w:hAnsi="Times New Roman"/>
          <w:sz w:val="17"/>
          <w:szCs w:val="17"/>
          <w:i w:val="1"/>
          <w:iCs w:val="1"/>
          <w:color w:val="auto"/>
        </w:rPr>
        <w:t>dai-gaisha</w:t>
      </w:r>
      <w:r>
        <w:rPr>
          <w:rFonts w:ascii="Times New Roman" w:cs="Times New Roman" w:eastAsia="Times New Roman" w:hAnsi="Times New Roman"/>
          <w:sz w:val="17"/>
          <w:szCs w:val="17"/>
          <w:color w:val="auto"/>
        </w:rPr>
        <w:t xml:space="preserve">) as defined under the Companies Act. Notwithstanding anything to the contrary contained herein, unless and until the Tempus Shareholder exercises the Consolidation Option, the SBG Shareholder shall have the right to nominate the Company Auditing Firm, which firm shall be familiar with the corporate Laws of Japan and JGAAP, in addition to US GAAP and IFRS;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Tempus Shareholder shall have the right to approve the SBG Shareholder’s nomination in writing (such approval not to be unreasonably withheld, conditioned or delayed). Each Shareholder shall take any necessary actions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in order to give effect to this </w:t>
      </w:r>
      <w:r>
        <w:rPr>
          <w:rFonts w:ascii="Times New Roman" w:cs="Times New Roman" w:eastAsia="Times New Roman" w:hAnsi="Times New Roman"/>
          <w:sz w:val="17"/>
          <w:szCs w:val="17"/>
          <w:u w:val="single" w:color="auto"/>
          <w:color w:val="auto"/>
        </w:rPr>
        <w:t>Section 7.14(c)</w:t>
      </w:r>
      <w:r>
        <w:rPr>
          <w:rFonts w:ascii="Times New Roman" w:cs="Times New Roman" w:eastAsia="Times New Roman" w:hAnsi="Times New Roman"/>
          <w:sz w:val="17"/>
          <w:szCs w:val="17"/>
          <w:color w:val="auto"/>
        </w:rPr>
        <w:t xml:space="preserve">. If and when the Tempus Shareholder exercises the Consolidation Option, the Tempus Shareholder shall have the right to nominate the Company Auditing Firm, which firm shall be familiar with the corporate Laws of Japan and JGAAP, in addition to US GAAP and IFRS;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SBG Shareholder shall have the right to approve the Tempus Shareholder’s nomination in writing (such approval not to be unreasonably withheld, conditioned or delayed).</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7.15   </w:t>
      </w:r>
      <w:r>
        <w:rPr>
          <w:rFonts w:ascii="Times New Roman" w:cs="Times New Roman" w:eastAsia="Times New Roman" w:hAnsi="Times New Roman"/>
          <w:sz w:val="17"/>
          <w:szCs w:val="17"/>
          <w:u w:val="single" w:color="auto"/>
          <w:color w:val="auto"/>
        </w:rPr>
        <w:t>Information Rights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160" w:firstLine="426"/>
        <w:spacing w:after="0" w:line="276" w:lineRule="auto"/>
        <w:rPr>
          <w:sz w:val="20"/>
          <w:szCs w:val="20"/>
          <w:color w:val="auto"/>
        </w:rPr>
      </w:pPr>
      <w:r>
        <w:rPr>
          <w:rFonts w:ascii="Times New Roman" w:cs="Times New Roman" w:eastAsia="Times New Roman" w:hAnsi="Times New Roman"/>
          <w:sz w:val="17"/>
          <w:szCs w:val="17"/>
          <w:color w:val="auto"/>
        </w:rPr>
        <w:t xml:space="preserve">(a)  In addition to and without prejudice to shareholders rights under the Companies Act or the Articles, the Company agrees to furnish to each Shareholder owning more than [***] of the Company Interest, the following information for the Company and its Subsidiaries (each reference to the “Company” in this </w:t>
      </w:r>
      <w:r>
        <w:rPr>
          <w:rFonts w:ascii="Times New Roman" w:cs="Times New Roman" w:eastAsia="Times New Roman" w:hAnsi="Times New Roman"/>
          <w:sz w:val="17"/>
          <w:szCs w:val="17"/>
          <w:u w:val="single" w:color="auto"/>
          <w:color w:val="auto"/>
        </w:rPr>
        <w:t>Section 7.15</w:t>
      </w:r>
      <w:r>
        <w:rPr>
          <w:rFonts w:ascii="Times New Roman" w:cs="Times New Roman" w:eastAsia="Times New Roman" w:hAnsi="Times New Roman"/>
          <w:sz w:val="17"/>
          <w:szCs w:val="17"/>
          <w:color w:val="auto"/>
        </w:rPr>
        <w:t xml:space="preserve"> being deemed to refer to each and every such entity), the following information (in English):</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620"/>
          </w:cols>
          <w:pgMar w:left="620" w:top="264" w:right="659" w:bottom="1440" w:gutter="0" w:footer="0" w:header="0"/>
        </w:sectPr>
      </w:pPr>
    </w:p>
    <w:bookmarkStart w:id="478" w:name="page479"/>
    <w:bookmarkEnd w:id="478"/>
    <w:p>
      <w:pPr>
        <w:ind w:firstLine="960"/>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  As soon as practicable following the end of each quarter of each Fiscal Year, but in any event within [***] days after the end of each quarter, a preliminary, unaudited balance sheet as of the end of such quarter, and preliminary, unaudited versions of the statement of income (loss), statement of cash flows, statement of changes in equity, breakdown of selling, general and administrative expenses and statement of other comprehensive income of the Company on a consolidated basis for such quarter and for the current Fiscal Year to date, including a comparison to plan figures for such period, prepared in accordance with US GAAP (except as noted therein or as disclosed to the recipients thereof), with the exception that no notes need be attached to such statements and year-end audit adjustments may not have been made, in each case certified by the chief financial officer of the Company;</w:t>
      </w:r>
    </w:p>
    <w:p>
      <w:pPr>
        <w:spacing w:after="0" w:line="387" w:lineRule="exact"/>
        <w:rPr>
          <w:sz w:val="20"/>
          <w:szCs w:val="20"/>
          <w:color w:val="auto"/>
        </w:rPr>
      </w:pPr>
    </w:p>
    <w:p>
      <w:pPr>
        <w:ind w:right="40" w:firstLine="960"/>
        <w:spacing w:after="0" w:line="262" w:lineRule="auto"/>
        <w:rPr>
          <w:sz w:val="20"/>
          <w:szCs w:val="20"/>
          <w:color w:val="auto"/>
        </w:rPr>
      </w:pPr>
      <w:r>
        <w:rPr>
          <w:rFonts w:ascii="Times New Roman" w:cs="Times New Roman" w:eastAsia="Times New Roman" w:hAnsi="Times New Roman"/>
          <w:sz w:val="17"/>
          <w:szCs w:val="17"/>
          <w:color w:val="auto"/>
        </w:rPr>
        <w:t xml:space="preserve">(ii)  As soon as practicable following the end of each Fiscal Year beginning as of and including the Company’s initial, partial Fiscal Year, but in any event within [***] days after the end of the applicable Fiscal Year, an audited statement of income (loss), statement of cash flows, statement of changes in equity, breakdown of selling, general and administrative expenses and statement of other comprehensive income for such Fiscal Year and the audited balance sheet as of the end of such Fiscal Year of the Company on a standalone and on a consolidated basis, together with accompanying notes, all prepared in accordance with US GAAP (except as noted therein or as disclosed to the recipients thereto), setting forth in each case in comparative form the figures for the previous Fiscal Year and to plan figures for such period, all in reasonable detail. In the event the Tempus Shareholder exercises the Consolidation Option in accordance with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all such annual financial statements shall also be audited and certified by the Company Auditing Firm in order to ensure appropriate consolidation with the Tempus Shareholder’s U.S.-based financial statements; and</w:t>
      </w:r>
    </w:p>
    <w:p>
      <w:pPr>
        <w:spacing w:after="0" w:line="175" w:lineRule="exact"/>
        <w:rPr>
          <w:sz w:val="20"/>
          <w:szCs w:val="20"/>
          <w:color w:val="auto"/>
        </w:rPr>
      </w:pPr>
    </w:p>
    <w:p>
      <w:pPr>
        <w:ind w:right="620" w:firstLine="960"/>
        <w:spacing w:after="0" w:line="295" w:lineRule="auto"/>
        <w:rPr>
          <w:sz w:val="20"/>
          <w:szCs w:val="20"/>
          <w:color w:val="auto"/>
        </w:rPr>
      </w:pPr>
      <w:r>
        <w:rPr>
          <w:rFonts w:ascii="Times New Roman" w:cs="Times New Roman" w:eastAsia="Times New Roman" w:hAnsi="Times New Roman"/>
          <w:sz w:val="17"/>
          <w:szCs w:val="17"/>
          <w:color w:val="auto"/>
        </w:rPr>
        <w:t>(iii)  Upon the request of any Shareholder, any other information which is reasonably required by the Shareholder for accounting purposes, as soon as practicable after such request.</w:t>
      </w:r>
    </w:p>
    <w:p>
      <w:pPr>
        <w:spacing w:after="0" w:line="147" w:lineRule="exact"/>
        <w:rPr>
          <w:sz w:val="20"/>
          <w:szCs w:val="20"/>
          <w:color w:val="auto"/>
        </w:rPr>
      </w:pPr>
    </w:p>
    <w:p>
      <w:pPr>
        <w:ind w:right="160" w:firstLine="426"/>
        <w:spacing w:after="0" w:line="266" w:lineRule="auto"/>
        <w:rPr>
          <w:sz w:val="20"/>
          <w:szCs w:val="20"/>
          <w:color w:val="auto"/>
        </w:rPr>
      </w:pPr>
      <w:r>
        <w:rPr>
          <w:rFonts w:ascii="Times New Roman" w:cs="Times New Roman" w:eastAsia="Times New Roman" w:hAnsi="Times New Roman"/>
          <w:sz w:val="17"/>
          <w:szCs w:val="17"/>
          <w:color w:val="auto"/>
        </w:rPr>
        <w:t xml:space="preserve">(b)  Subject to </w:t>
      </w:r>
      <w:r>
        <w:rPr>
          <w:rFonts w:ascii="Times New Roman" w:cs="Times New Roman" w:eastAsia="Times New Roman" w:hAnsi="Times New Roman"/>
          <w:sz w:val="17"/>
          <w:szCs w:val="17"/>
          <w:u w:val="single" w:color="auto"/>
          <w:color w:val="auto"/>
        </w:rPr>
        <w:t>Section 7.15(c)(ii)</w:t>
      </w:r>
      <w:r>
        <w:rPr>
          <w:rFonts w:ascii="Times New Roman" w:cs="Times New Roman" w:eastAsia="Times New Roman" w:hAnsi="Times New Roman"/>
          <w:sz w:val="17"/>
          <w:szCs w:val="17"/>
          <w:color w:val="auto"/>
        </w:rPr>
        <w:t xml:space="preserve">, for so long as any Shareholder holds at least a [***] of the Company Interest, the Company shall allow such Shareholder, at such Shareholder’s expense, to visit and inspect the Company’s properties, examine its books of account and records and discuss the Company’s affairs, finances and accounts with its officers, in each case during normal business hours of the Company as may be reasonably requested by such Shareholder;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obligated pursuant to this </w:t>
      </w:r>
      <w:r>
        <w:rPr>
          <w:rFonts w:ascii="Times New Roman" w:cs="Times New Roman" w:eastAsia="Times New Roman" w:hAnsi="Times New Roman"/>
          <w:sz w:val="17"/>
          <w:szCs w:val="17"/>
          <w:u w:val="single" w:color="auto"/>
          <w:color w:val="auto"/>
        </w:rPr>
        <w:t>Section 7.15(b)</w:t>
      </w:r>
      <w:r>
        <w:rPr>
          <w:rFonts w:ascii="Times New Roman" w:cs="Times New Roman" w:eastAsia="Times New Roman" w:hAnsi="Times New Roman"/>
          <w:sz w:val="17"/>
          <w:szCs w:val="17"/>
          <w:color w:val="auto"/>
        </w:rPr>
        <w:t xml:space="preserve"> to provide access to any information the disclosure of which would adversely affect the attorney-client privilege between the Company and its counsel.</w:t>
      </w:r>
    </w:p>
    <w:p>
      <w:pPr>
        <w:spacing w:after="0" w:line="171"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color w:val="auto"/>
        </w:rPr>
        <w:t xml:space="preserve">(c)  Notwithstanding anything to the contrary in this </w:t>
      </w:r>
      <w:r>
        <w:rPr>
          <w:rFonts w:ascii="Times New Roman" w:cs="Times New Roman" w:eastAsia="Times New Roman" w:hAnsi="Times New Roman"/>
          <w:sz w:val="17"/>
          <w:szCs w:val="17"/>
          <w:u w:val="single" w:color="auto"/>
          <w:color w:val="auto"/>
        </w:rPr>
        <w:t>Section 7.15</w:t>
      </w:r>
      <w:r>
        <w:rPr>
          <w:rFonts w:ascii="Times New Roman" w:cs="Times New Roman" w:eastAsia="Times New Roman" w:hAnsi="Times New Roman"/>
          <w:sz w:val="17"/>
          <w:szCs w:val="17"/>
          <w:color w:val="auto"/>
        </w:rPr>
        <w:t xml:space="preserve"> or otherwise in this Agreement, (i) all Shareholders shall receive the information set forth in </w:t>
      </w:r>
      <w:r>
        <w:rPr>
          <w:rFonts w:ascii="Times New Roman" w:cs="Times New Roman" w:eastAsia="Times New Roman" w:hAnsi="Times New Roman"/>
          <w:sz w:val="17"/>
          <w:szCs w:val="17"/>
          <w:u w:val="single" w:color="auto"/>
          <w:color w:val="auto"/>
        </w:rPr>
        <w:t>Section 7.15(a)(ii)</w:t>
      </w:r>
      <w:r>
        <w:rPr>
          <w:rFonts w:ascii="Times New Roman" w:cs="Times New Roman" w:eastAsia="Times New Roman" w:hAnsi="Times New Roman"/>
          <w:sz w:val="17"/>
          <w:szCs w:val="17"/>
          <w:color w:val="auto"/>
        </w:rPr>
        <w:t xml:space="preserve"> and (ii) no Shareholder shall, by reason of this Agreement, have access to any Trade Secrets, Confidential Information (unless covered by an enforceable confidentiality agreement, in form acceptable to the Company) or classified information of the Company. Each Shareholder hereby agrees to hold in confidence and trust and not to misuse or disclose any Confidential Information provided pursuant to this </w:t>
      </w:r>
      <w:r>
        <w:rPr>
          <w:rFonts w:ascii="Times New Roman" w:cs="Times New Roman" w:eastAsia="Times New Roman" w:hAnsi="Times New Roman"/>
          <w:sz w:val="17"/>
          <w:szCs w:val="17"/>
          <w:u w:val="single" w:color="auto"/>
          <w:color w:val="auto"/>
        </w:rPr>
        <w:t>Section 7.15</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620"/>
          </w:cols>
          <w:pgMar w:left="620" w:top="264" w:right="659" w:bottom="1440" w:gutter="0" w:footer="0" w:header="0"/>
        </w:sectPr>
      </w:pPr>
    </w:p>
    <w:bookmarkStart w:id="479" w:name="page480"/>
    <w:bookmarkEnd w:id="479"/>
    <w:p>
      <w:pPr>
        <w:ind w:right="20" w:firstLine="426"/>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7.16  </w:t>
      </w:r>
      <w:r>
        <w:rPr>
          <w:rFonts w:ascii="Times New Roman" w:cs="Times New Roman" w:eastAsia="Times New Roman" w:hAnsi="Times New Roman"/>
          <w:sz w:val="17"/>
          <w:szCs w:val="17"/>
          <w:u w:val="single" w:color="auto"/>
          <w:color w:val="auto"/>
        </w:rPr>
        <w:t>Employee Incentive Plan</w:t>
      </w:r>
      <w:r>
        <w:rPr>
          <w:rFonts w:ascii="Times New Roman" w:cs="Times New Roman" w:eastAsia="Times New Roman" w:hAnsi="Times New Roman"/>
          <w:sz w:val="17"/>
          <w:szCs w:val="17"/>
          <w:color w:val="auto"/>
        </w:rPr>
        <w:t>. The Initial Shareholders shall use their commercially reasonable efforts to cause the Board and the Company to adopt a non-voting employee stock incentive plan (an “</w:t>
      </w:r>
      <w:r>
        <w:rPr>
          <w:rFonts w:ascii="Times New Roman" w:cs="Times New Roman" w:eastAsia="Times New Roman" w:hAnsi="Times New Roman"/>
          <w:sz w:val="17"/>
          <w:szCs w:val="17"/>
          <w:u w:val="single" w:color="auto"/>
          <w:color w:val="auto"/>
        </w:rPr>
        <w:t>Employee Incentive Plan</w:t>
      </w:r>
      <w:r>
        <w:rPr>
          <w:rFonts w:ascii="Times New Roman" w:cs="Times New Roman" w:eastAsia="Times New Roman" w:hAnsi="Times New Roman"/>
          <w:sz w:val="17"/>
          <w:szCs w:val="17"/>
          <w:color w:val="auto"/>
        </w:rPr>
        <w:t>”) on such terms as shall be mutually agreed by the Initial Shareholders, as soon as reasonably practicable after the Closing.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Transfer of Company Securities</w:t>
      </w:r>
    </w:p>
    <w:p>
      <w:pPr>
        <w:spacing w:after="0" w:line="120" w:lineRule="exact"/>
        <w:rPr>
          <w:sz w:val="20"/>
          <w:szCs w:val="20"/>
          <w:color w:val="auto"/>
        </w:rPr>
      </w:pPr>
    </w:p>
    <w:p>
      <w:pPr>
        <w:ind w:right="20" w:firstLine="426"/>
        <w:spacing w:after="0" w:line="266"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Prohibition on Transfer During the Lock-in Period</w:t>
      </w:r>
      <w:r>
        <w:rPr>
          <w:rFonts w:ascii="Times New Roman" w:cs="Times New Roman" w:eastAsia="Times New Roman" w:hAnsi="Times New Roman"/>
          <w:sz w:val="17"/>
          <w:szCs w:val="17"/>
          <w:color w:val="auto"/>
        </w:rPr>
        <w:t xml:space="preserve">. Except as expressly permitted by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during the period starting on the Closing Date and ending on [***] (the “</w:t>
      </w:r>
      <w:r>
        <w:rPr>
          <w:rFonts w:ascii="Times New Roman" w:cs="Times New Roman" w:eastAsia="Times New Roman" w:hAnsi="Times New Roman"/>
          <w:sz w:val="17"/>
          <w:szCs w:val="17"/>
          <w:u w:val="single" w:color="auto"/>
          <w:color w:val="auto"/>
        </w:rPr>
        <w:t>Lock-in Period</w:t>
      </w:r>
      <w:r>
        <w:rPr>
          <w:rFonts w:ascii="Times New Roman" w:cs="Times New Roman" w:eastAsia="Times New Roman" w:hAnsi="Times New Roman"/>
          <w:sz w:val="17"/>
          <w:szCs w:val="17"/>
          <w:color w:val="auto"/>
        </w:rPr>
        <w:t>”), no Shareholder may Transfer any of such Shareholder’s Company Securities to any Person without the prior written consent of each of the Initial Shareholders. No party shall attempt (including by submitting a request to the Company to approve a Transfer under Article 136 or Paragraph 2 of Article 137 of the Companies Act) or conduct any Transfer in a way that will constitute a breach of this Agreement.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Transfers Following the Lock-in Period; Right of First Refusal</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120" w:firstLine="426"/>
        <w:spacing w:after="0" w:line="295" w:lineRule="auto"/>
        <w:rPr>
          <w:sz w:val="20"/>
          <w:szCs w:val="20"/>
          <w:color w:val="auto"/>
        </w:rPr>
      </w:pPr>
      <w:r>
        <w:rPr>
          <w:rFonts w:ascii="Times New Roman" w:cs="Times New Roman" w:eastAsia="Times New Roman" w:hAnsi="Times New Roman"/>
          <w:sz w:val="17"/>
          <w:szCs w:val="17"/>
          <w:color w:val="auto"/>
        </w:rPr>
        <w:t xml:space="preserve">(a)  Following the Lock-in Period, an Initial Shareholder may Transfer its Company Securities to another Person subject to compliance with the provisions of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7"/>
          <w:szCs w:val="17"/>
          <w:color w:val="auto"/>
        </w:rPr>
        <w:t>(b)  If, following the Lock-in Period, an Initial Shareholder proposes to Transfer all or any portion of its Company Securities (the “</w:t>
      </w:r>
      <w:r>
        <w:rPr>
          <w:rFonts w:ascii="Times New Roman" w:cs="Times New Roman" w:eastAsia="Times New Roman" w:hAnsi="Times New Roman"/>
          <w:sz w:val="17"/>
          <w:szCs w:val="17"/>
          <w:u w:val="single" w:color="auto"/>
          <w:color w:val="auto"/>
        </w:rPr>
        <w:t>ROFR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to any Person (any such Initial Shareholder, a “</w:t>
      </w:r>
      <w:r>
        <w:rPr>
          <w:rFonts w:ascii="Times New Roman" w:cs="Times New Roman" w:eastAsia="Times New Roman" w:hAnsi="Times New Roman"/>
          <w:sz w:val="17"/>
          <w:szCs w:val="17"/>
          <w:u w:val="single" w:color="auto"/>
          <w:color w:val="auto"/>
        </w:rPr>
        <w:t>Transferring Shareholder</w:t>
      </w:r>
      <w:r>
        <w:rPr>
          <w:rFonts w:ascii="Times New Roman" w:cs="Times New Roman" w:eastAsia="Times New Roman" w:hAnsi="Times New Roman"/>
          <w:sz w:val="17"/>
          <w:szCs w:val="17"/>
          <w:color w:val="auto"/>
        </w:rPr>
        <w:t>”), the Transferring Shareholder shall deliver written notice to the other Initial Shareholder no later than [***] Days before the proposed closing date of such Transfer (the “</w:t>
      </w:r>
      <w:r>
        <w:rPr>
          <w:rFonts w:ascii="Times New Roman" w:cs="Times New Roman" w:eastAsia="Times New Roman" w:hAnsi="Times New Roman"/>
          <w:sz w:val="17"/>
          <w:szCs w:val="17"/>
          <w:u w:val="single" w:color="auto"/>
          <w:color w:val="auto"/>
        </w:rPr>
        <w:t>Transfer Notice</w:t>
      </w:r>
      <w:r>
        <w:rPr>
          <w:rFonts w:ascii="Times New Roman" w:cs="Times New Roman" w:eastAsia="Times New Roman" w:hAnsi="Times New Roman"/>
          <w:sz w:val="17"/>
          <w:szCs w:val="17"/>
          <w:color w:val="auto"/>
        </w:rPr>
        <w:t>”), together with a copy of any form of agreement executed by the Transferring Shareholder in connection with such Transfer transaction. Such Transfer Notice shall specify the following:</w:t>
      </w:r>
    </w:p>
    <w:p>
      <w:pPr>
        <w:spacing w:after="0" w:line="1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   the proposed closing date of the Transfer;</w:t>
      </w:r>
    </w:p>
    <w:p>
      <w:pPr>
        <w:spacing w:after="0" w:line="223" w:lineRule="exact"/>
        <w:rPr>
          <w:sz w:val="20"/>
          <w:szCs w:val="20"/>
          <w:color w:val="auto"/>
        </w:rPr>
      </w:pPr>
    </w:p>
    <w:p>
      <w:pPr>
        <w:jc w:val="both"/>
        <w:ind w:firstLine="960"/>
        <w:spacing w:after="0" w:line="276" w:lineRule="auto"/>
        <w:rPr>
          <w:sz w:val="20"/>
          <w:szCs w:val="20"/>
          <w:color w:val="auto"/>
        </w:rPr>
      </w:pPr>
      <w:r>
        <w:rPr>
          <w:rFonts w:ascii="Times New Roman" w:cs="Times New Roman" w:eastAsia="Times New Roman" w:hAnsi="Times New Roman"/>
          <w:sz w:val="17"/>
          <w:szCs w:val="17"/>
          <w:color w:val="auto"/>
        </w:rPr>
        <w:t>(ii)  the price per share of the ROFR Securities (and if applicable, the differing prices of different classes of ROFR Securities) applicable to the Transfer by the Transferring Shareholder and the number of ROFR Securities to be sold, and a high-level summary of the other material terms and conditions of the proposed Transfer; and</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(iii)   the identity of the proposed Transferee of the ROFR Securities.</w:t>
      </w:r>
    </w:p>
    <w:p>
      <w:pPr>
        <w:spacing w:after="0" w:line="223" w:lineRule="exact"/>
        <w:rPr>
          <w:sz w:val="20"/>
          <w:szCs w:val="20"/>
          <w:color w:val="auto"/>
        </w:rPr>
      </w:pPr>
    </w:p>
    <w:p>
      <w:pPr>
        <w:jc w:val="both"/>
        <w:ind w:right="80" w:firstLine="426"/>
        <w:spacing w:after="0" w:line="269" w:lineRule="auto"/>
        <w:rPr>
          <w:sz w:val="20"/>
          <w:szCs w:val="20"/>
          <w:color w:val="auto"/>
        </w:rPr>
      </w:pPr>
      <w:r>
        <w:rPr>
          <w:rFonts w:ascii="Times New Roman" w:cs="Times New Roman" w:eastAsia="Times New Roman" w:hAnsi="Times New Roman"/>
          <w:sz w:val="17"/>
          <w:szCs w:val="17"/>
          <w:color w:val="auto"/>
        </w:rPr>
        <w:t>(c)  The Initial Shareholder receiving such Transfer Notice may, within ten (10) Business Days from its receipt of such Transfer Notice, deliver written notice to the Transferring Shareholder and the Company (the “</w:t>
      </w:r>
      <w:r>
        <w:rPr>
          <w:rFonts w:ascii="Times New Roman" w:cs="Times New Roman" w:eastAsia="Times New Roman" w:hAnsi="Times New Roman"/>
          <w:sz w:val="17"/>
          <w:szCs w:val="17"/>
          <w:u w:val="single" w:color="auto"/>
          <w:color w:val="auto"/>
        </w:rPr>
        <w:t>ROFR Election Notice</w:t>
      </w:r>
      <w:r>
        <w:rPr>
          <w:rFonts w:ascii="Times New Roman" w:cs="Times New Roman" w:eastAsia="Times New Roman" w:hAnsi="Times New Roman"/>
          <w:sz w:val="17"/>
          <w:szCs w:val="17"/>
          <w:color w:val="auto"/>
        </w:rPr>
        <w:t>”) that it elects to purchase all or any portion of the ROFR Securities, or declines to purchase any of the ROFR Securities. If such Initial Shareholder does not deliver a ROFR Election Notice by such date, it will be deemed to have elected not to purchase any of the ROFR Securities.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640"/>
          </w:cols>
          <w:pgMar w:left="620" w:top="264" w:right="639" w:bottom="1440" w:gutter="0" w:footer="0" w:header="0"/>
        </w:sectPr>
      </w:pPr>
    </w:p>
    <w:bookmarkStart w:id="480" w:name="page481"/>
    <w:bookmarkEnd w:id="480"/>
    <w:p>
      <w:pPr>
        <w:ind w:right="20" w:firstLine="426"/>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(d)  If the Initial Shareholder elects to purchase less than all of the ROFR Securities or declines to purchase the ROFR Securities in accordance with </w:t>
      </w:r>
      <w:r>
        <w:rPr>
          <w:rFonts w:ascii="Times New Roman" w:cs="Times New Roman" w:eastAsia="Times New Roman" w:hAnsi="Times New Roman"/>
          <w:sz w:val="17"/>
          <w:szCs w:val="17"/>
          <w:u w:val="single" w:color="auto"/>
          <w:color w:val="auto"/>
        </w:rPr>
        <w:t>Section 8.2(c)</w:t>
      </w:r>
      <w:r>
        <w:rPr>
          <w:rFonts w:ascii="Times New Roman" w:cs="Times New Roman" w:eastAsia="Times New Roman" w:hAnsi="Times New Roman"/>
          <w:sz w:val="17"/>
          <w:szCs w:val="17"/>
          <w:color w:val="auto"/>
        </w:rPr>
        <w:t xml:space="preserve">, the Transfer of the remaining portion of the ROFR Securities to the proposed Transferee shall be consummated as soon as practicable following the delivery of the ROFR Election Notice, but in any event within sixty (60) days following the delivery of the Transfer Notice by the Transferring Shareholder;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sixty (60)-day period shall be extended to obtain any Regulatory Approvals as may be reasonably necessary to effect such Transfer. If the ROFR Securities are not so Transferred during such sixty (60)-day period (as may be extended pursuant to the preceding proviso), then the Transferring Shareholder shall not Transfer any of such ROFR Securities without complying again in full with the provisions of this Agreement. Subject to obtaining any Regulatory Approvals as may be reasonably necessary to effect the purchase of the ROFR Securities, the Initial Shareholder electing to purchase the ROFR Securities in accordance with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pay for the ROFR Securities by delivery of wire transfer of immediately available funds to an account specified by the Transferring Shareholder. The Transferring Shareholder shall cooperate with the Initial Shareholder electing to purchase the ROFR Securities to obtain any Regulatory Approvals as may be reasonably necessary to effect the purchase of the ROFR Securities and the provisions of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with respect to the process of obtaining such Regulatory Approvals. The Initial Shareholder electing to purchase the ROFR Securities in accordance with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be entitled to receive customary representations and warranties regarding such sale and receive a customary release of claims and such other evidence, including applicable inheritance and estate tax waivers, as may be reasonably necessary (in the electing Initial Shareholder’s judgment, as applicable) to effect the purchase of the ROFR Securities. If an Initial Shareholder fails to deliver a ROFR Election Notice or elects to not purchase the ROFR Securities with respect to a particular proposed Transfer, such failure or election shall not constitute a waiver of such Initial Shareholder’s right to exercise its rights pursuant to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for subsequent proposed Transfers.</w:t>
      </w:r>
    </w:p>
    <w:p>
      <w:pPr>
        <w:spacing w:after="0" w:line="177" w:lineRule="exact"/>
        <w:rPr>
          <w:sz w:val="20"/>
          <w:szCs w:val="20"/>
          <w:color w:val="auto"/>
        </w:rPr>
      </w:pPr>
    </w:p>
    <w:p>
      <w:pPr>
        <w:ind w:right="120" w:firstLine="426"/>
        <w:spacing w:after="0" w:line="263"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Affiliate Transfer</w:t>
      </w:r>
      <w:r>
        <w:rPr>
          <w:rFonts w:ascii="Times New Roman" w:cs="Times New Roman" w:eastAsia="Times New Roman" w:hAnsi="Times New Roman"/>
          <w:sz w:val="17"/>
          <w:szCs w:val="17"/>
          <w:color w:val="auto"/>
        </w:rPr>
        <w:t xml:space="preserve">. Notwithstanding any provisions to the contrary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or otherwise in this Agreement, any Shareholder may Transfer its Company Securities to any one or more of its Affiliates (upon at least ten (10) Business Days’ notice to the other Shareholders), subject to such Transferee becoming a party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Transfer to an Affiliate shall not relieve the transferring Shareholder from its obligations under this Agreement or the other Transaction Documents, which shall remain in full force and effect in all respects and such transferring Shareholder shall remain responsible for the performance of its Affiliate’s obligations as a Shareholder hereunder. To the extent that the Transferee ceases to be an Affiliate of the transferring Shareholder, immediately prior to such time, the transferring Shareholder shall cause the relevant Company Securities to be Transferred back to the original Shareholder (or another eligible Affiliate thereof).</w:t>
      </w:r>
    </w:p>
    <w:p>
      <w:pPr>
        <w:spacing w:after="0" w:line="173" w:lineRule="exact"/>
        <w:rPr>
          <w:sz w:val="20"/>
          <w:szCs w:val="20"/>
          <w:color w:val="auto"/>
        </w:rPr>
      </w:pPr>
    </w:p>
    <w:p>
      <w:pPr>
        <w:ind w:firstLine="426"/>
        <w:spacing w:after="0" w:line="265"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Consolidation of the Company by Tempus Shareholder</w:t>
      </w:r>
      <w:r>
        <w:rPr>
          <w:rFonts w:ascii="Times New Roman" w:cs="Times New Roman" w:eastAsia="Times New Roman" w:hAnsi="Times New Roman"/>
          <w:sz w:val="17"/>
          <w:szCs w:val="17"/>
          <w:color w:val="auto"/>
        </w:rPr>
        <w:t>. On or after January 1, 2027 and solely for the purpose of permitting the Tempus Shareholder to consolidate the Company’s financial statements with its own pursuant to US GAAP, the Tempus Shareholder shall have the right to purchase or subscribe for the number of Common Stock or Class A Stock or other new series or class of capital stock of the Company equal to one-tenth of one percent (0.1%) of the Company Interest as of the date of the Consolidation Option Notice (the “</w:t>
      </w:r>
      <w:r>
        <w:rPr>
          <w:rFonts w:ascii="Times New Roman" w:cs="Times New Roman" w:eastAsia="Times New Roman" w:hAnsi="Times New Roman"/>
          <w:sz w:val="17"/>
          <w:szCs w:val="17"/>
          <w:u w:val="single" w:color="auto"/>
          <w:color w:val="auto"/>
        </w:rPr>
        <w:t>Controlling Interest</w:t>
      </w:r>
      <w:r>
        <w:rPr>
          <w:rFonts w:ascii="Times New Roman" w:cs="Times New Roman" w:eastAsia="Times New Roman" w:hAnsi="Times New Roman"/>
          <w:sz w:val="17"/>
          <w:szCs w:val="17"/>
          <w:color w:val="auto"/>
        </w:rPr>
        <w:t>,” and such purchase or subscription option, the “</w:t>
      </w:r>
      <w:r>
        <w:rPr>
          <w:rFonts w:ascii="Times New Roman" w:cs="Times New Roman" w:eastAsia="Times New Roman" w:hAnsi="Times New Roman"/>
          <w:sz w:val="17"/>
          <w:szCs w:val="17"/>
          <w:u w:val="single" w:color="auto"/>
          <w:color w:val="auto"/>
        </w:rPr>
        <w:t>Consolidation Option</w:t>
      </w:r>
      <w:r>
        <w:rPr>
          <w:rFonts w:ascii="Times New Roman" w:cs="Times New Roman" w:eastAsia="Times New Roman" w:hAnsi="Times New Roman"/>
          <w:sz w:val="17"/>
          <w:szCs w:val="17"/>
          <w:color w:val="auto"/>
        </w:rPr>
        <w:t>”) from the SBG Shareholder or the Company at the Fair Market Value on the terms and subject to the conditions of this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620"/>
          </w:cols>
          <w:pgMar w:left="620" w:top="264" w:right="659" w:bottom="1440" w:gutter="0" w:footer="0" w:header="0"/>
        </w:sectPr>
      </w:pPr>
    </w:p>
    <w:bookmarkStart w:id="481" w:name="page482"/>
    <w:bookmarkEnd w:id="481"/>
    <w:p>
      <w:pPr>
        <w:ind w:right="20"/>
        <w:spacing w:after="0" w:line="260"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Section 8.4</w:t>
      </w:r>
      <w:r>
        <w:rPr>
          <w:rFonts w:ascii="Times New Roman" w:cs="Times New Roman" w:eastAsia="Times New Roman" w:hAnsi="Times New Roman"/>
          <w:sz w:val="17"/>
          <w:szCs w:val="17"/>
          <w:color w:val="auto"/>
        </w:rPr>
        <w:t>. If the Tempus Shareholder desires to exercise the Consolidation Option, it shall deliver a written notice to the SBG Shareholder, and to the Company if applicable, to that effect (the “</w:t>
      </w:r>
      <w:r>
        <w:rPr>
          <w:rFonts w:ascii="Times New Roman" w:cs="Times New Roman" w:eastAsia="Times New Roman" w:hAnsi="Times New Roman"/>
          <w:sz w:val="17"/>
          <w:szCs w:val="17"/>
          <w:u w:val="single" w:color="auto"/>
          <w:color w:val="auto"/>
        </w:rPr>
        <w:t>Consolidation Option Notice</w:t>
      </w:r>
      <w:r>
        <w:rPr>
          <w:rFonts w:ascii="Times New Roman" w:cs="Times New Roman" w:eastAsia="Times New Roman" w:hAnsi="Times New Roman"/>
          <w:sz w:val="17"/>
          <w:szCs w:val="17"/>
          <w:color w:val="auto"/>
        </w:rPr>
        <w:t>,” and the date of such notice, the “</w:t>
      </w:r>
      <w:r>
        <w:rPr>
          <w:rFonts w:ascii="Times New Roman" w:cs="Times New Roman" w:eastAsia="Times New Roman" w:hAnsi="Times New Roman"/>
          <w:sz w:val="17"/>
          <w:szCs w:val="17"/>
          <w:u w:val="single" w:color="auto"/>
          <w:color w:val="auto"/>
        </w:rPr>
        <w:t>Consolidation Option Notice Date</w:t>
      </w:r>
      <w:r>
        <w:rPr>
          <w:rFonts w:ascii="Times New Roman" w:cs="Times New Roman" w:eastAsia="Times New Roman" w:hAnsi="Times New Roman"/>
          <w:sz w:val="17"/>
          <w:szCs w:val="17"/>
          <w:color w:val="auto"/>
        </w:rPr>
        <w:t xml:space="preserve">”). Following receipt of the Consolidation Option Notice by the SBG Shareholder (and the Company), the Tempus Shareholder and the SBG Shareholder shall discuss in good faith and make the minimum changes to this Agreement and the governance provisions contained herein necessary to effectuate such consolidation under US GAAP following the exercise of the Consolidation Option. The Tempus Shareholder and the SBG Shareholder shall use their respective reasonable best efforts to maintain all other governance aspects of the 50/50 joint venture as specified in this Agreement following the exercise of the Consolidation Option. The Initial Shareholders shall cooperate with each other and the Company to execute and deliver such instruments, agreements and other documents, and perform such other acts and things, as may be reasonably necessary or desirable for the purposes of effecting any such changes, including amendments mutually agreed by the Tempus Shareholder and the SBG Shareholder to this Agreement or any of the other Transaction Documents. For purposes of this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only, and for no other purpose, the Fair Market Value of the Controlling Interest shall be determined by the mutual agreement of the Initial Shareholders, or (b) if the Initial Shareholders are unable to so mutually agree, then $[***], which represents [***].</w:t>
      </w:r>
    </w:p>
    <w:p>
      <w:pPr>
        <w:spacing w:after="0" w:line="389" w:lineRule="exact"/>
        <w:rPr>
          <w:sz w:val="20"/>
          <w:szCs w:val="20"/>
          <w:color w:val="auto"/>
        </w:rPr>
      </w:pPr>
    </w:p>
    <w:p>
      <w:pPr>
        <w:ind w:right="100" w:firstLine="426"/>
        <w:spacing w:after="0" w:line="263"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Transfer of SPV</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Section 14.20(b)</w:t>
      </w:r>
      <w:r>
        <w:rPr>
          <w:rFonts w:ascii="Times New Roman" w:cs="Times New Roman" w:eastAsia="Times New Roman" w:hAnsi="Times New Roman"/>
          <w:sz w:val="17"/>
          <w:szCs w:val="17"/>
          <w:color w:val="auto"/>
        </w:rPr>
        <w:t xml:space="preserve"> or anything else to the contrary in this Agreement, if either Initial Shareholder is a legal entity with a primary purpose of passively holding the Company Securities (such entity, an “</w:t>
      </w:r>
      <w:r>
        <w:rPr>
          <w:rFonts w:ascii="Times New Roman" w:cs="Times New Roman" w:eastAsia="Times New Roman" w:hAnsi="Times New Roman"/>
          <w:sz w:val="17"/>
          <w:szCs w:val="17"/>
          <w:u w:val="single" w:color="auto"/>
          <w:color w:val="auto"/>
        </w:rPr>
        <w:t>SPV</w:t>
      </w:r>
      <w:r>
        <w:rPr>
          <w:rFonts w:ascii="Times New Roman" w:cs="Times New Roman" w:eastAsia="Times New Roman" w:hAnsi="Times New Roman"/>
          <w:sz w:val="17"/>
          <w:szCs w:val="17"/>
          <w:color w:val="auto"/>
        </w:rPr>
        <w:t xml:space="preserve">”), the transfer of the equity interests of such SPV (or any SPV that directly or indirectly controls such SPV) will (a) be deemed a Transfer of Company Securities subject to the terms of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including, as applicable,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(Prohibition on Transfer During the Lock-in Period) and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(Transfers Following the Lock-in Period; Right of First Refusal) and (y) result in such Initial Shareholder SPV’s rights to nominate Directors being reduced in accordance with the terms of </w:t>
      </w:r>
      <w:r>
        <w:rPr>
          <w:rFonts w:ascii="Times New Roman" w:cs="Times New Roman" w:eastAsia="Times New Roman" w:hAnsi="Times New Roman"/>
          <w:sz w:val="17"/>
          <w:szCs w:val="17"/>
          <w:u w:val="single" w:color="auto"/>
          <w:color w:val="auto"/>
        </w:rPr>
        <w:t>Section 7.2(c)</w:t>
      </w:r>
      <w:r>
        <w:rPr>
          <w:rFonts w:ascii="Times New Roman" w:cs="Times New Roman" w:eastAsia="Times New Roman" w:hAnsi="Times New Roman"/>
          <w:sz w:val="17"/>
          <w:szCs w:val="17"/>
          <w:color w:val="auto"/>
        </w:rPr>
        <w:t xml:space="preserve">. Notwithstanding the foregoing, the foregoing shall not apply to Transfers of SPV equity interests to an Affiliate of an Initial Shareholder;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Transfer is made in compliance with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Additional Covenants of the Initial Shareholders and the Company</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color w:val="auto"/>
        </w:rPr>
        <w:t xml:space="preserve">(a)  To the extent permitted by any applicable Law, the Company shall distribute funds by way of dividend to the Shareholders at such time as the Board may determine, subject to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and the retention and establishment of reserves for expenses of the Company as set forth in the Business Plan then in effect or otherwise as determined in the sole discretion of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expiration of the Lock-in Period and to the extent permitted by applicable Laws, the Company shall use its best efforts and each Shareholder shall cause its nominee Directors to vote in favor of taking any and all actions necessary, to reduce the stated capital and capital reserves to create a distributable amount (</w:t>
      </w:r>
      <w:r>
        <w:rPr>
          <w:rFonts w:ascii="Times New Roman" w:cs="Times New Roman" w:eastAsia="Times New Roman" w:hAnsi="Times New Roman"/>
          <w:sz w:val="17"/>
          <w:szCs w:val="17"/>
          <w:i w:val="1"/>
          <w:iCs w:val="1"/>
          <w:color w:val="auto"/>
        </w:rPr>
        <w:t>bunpai kanou gaku</w:t>
      </w:r>
      <w:r>
        <w:rPr>
          <w:rFonts w:ascii="Times New Roman" w:cs="Times New Roman" w:eastAsia="Times New Roman" w:hAnsi="Times New Roman"/>
          <w:sz w:val="17"/>
          <w:szCs w:val="17"/>
          <w:color w:val="auto"/>
        </w:rPr>
        <w:t>) and distribute excess cash, in the form of dividends to the Shareholders, that exceeds the amounts needed to fund the operations of the Company pursuant to the Business Plan then in effect.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660"/>
          </w:cols>
          <w:pgMar w:left="620" w:top="265" w:right="619" w:bottom="1440" w:gutter="0" w:footer="0" w:header="0"/>
        </w:sectPr>
      </w:pPr>
    </w:p>
    <w:bookmarkStart w:id="482" w:name="page483"/>
    <w:bookmarkEnd w:id="482"/>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   Any and all dividends will be distributed to Shareholders based on their Pro Rata Portion.</w:t>
      </w: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Exclusivity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Non-Competition</w:t>
      </w:r>
      <w:r>
        <w:rPr>
          <w:rFonts w:ascii="Times New Roman" w:cs="Times New Roman" w:eastAsia="Times New Roman" w:hAnsi="Times New Roman"/>
          <w:sz w:val="17"/>
          <w:szCs w:val="17"/>
          <w:color w:val="auto"/>
        </w:rPr>
        <w:t>. Until the later of [***], the Tempus Shareholder shall not, directly or indirectly, through itself or any of its Affiliates:</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   engage in the Business or any business that is substantially similar to the Business in Japan; or</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(ii)   license Tempus Technology or Licensed Data to any competitor of the Company for use in Japan.</w:t>
      </w:r>
    </w:p>
    <w:p>
      <w:pPr>
        <w:spacing w:after="0" w:line="223" w:lineRule="exact"/>
        <w:rPr>
          <w:sz w:val="20"/>
          <w:szCs w:val="20"/>
          <w:color w:val="auto"/>
        </w:rPr>
      </w:pPr>
    </w:p>
    <w:p>
      <w:pPr>
        <w:ind w:right="20" w:firstLine="960"/>
        <w:spacing w:after="0" w:line="276" w:lineRule="auto"/>
        <w:rPr>
          <w:sz w:val="20"/>
          <w:szCs w:val="20"/>
          <w:color w:val="auto"/>
        </w:rPr>
      </w:pPr>
      <w:r>
        <w:rPr>
          <w:rFonts w:ascii="Times New Roman" w:cs="Times New Roman" w:eastAsia="Times New Roman" w:hAnsi="Times New Roman"/>
          <w:sz w:val="17"/>
          <w:szCs w:val="17"/>
          <w:color w:val="auto"/>
        </w:rPr>
        <w:t xml:space="preserve">(iii)  launch or operate, or agree to launch or operate, any joint venture or other similar partnership with any Person other than the SBG Shareholder (or any of its Affiliates) for the Business or any business that is substantially similar to the Business in any Restricted Territory without first complying with the Outside JV Consultation Right and Outside JV ROFR described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(b)   Nothing in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or this Agreement shall prohibit or otherwise limit the Tempus Shareholder from:</w:t>
      </w:r>
    </w:p>
    <w:p>
      <w:pPr>
        <w:spacing w:after="0" w:line="223" w:lineRule="exact"/>
        <w:rPr>
          <w:sz w:val="20"/>
          <w:szCs w:val="20"/>
          <w:color w:val="auto"/>
        </w:rPr>
      </w:pPr>
    </w:p>
    <w:p>
      <w:pPr>
        <w:ind w:right="360" w:firstLine="960"/>
        <w:spacing w:after="0" w:line="295" w:lineRule="auto"/>
        <w:rPr>
          <w:sz w:val="20"/>
          <w:szCs w:val="20"/>
          <w:color w:val="auto"/>
        </w:rPr>
      </w:pPr>
      <w:r>
        <w:rPr>
          <w:rFonts w:ascii="Times New Roman" w:cs="Times New Roman" w:eastAsia="Times New Roman" w:hAnsi="Times New Roman"/>
          <w:sz w:val="17"/>
          <w:szCs w:val="17"/>
          <w:color w:val="auto"/>
        </w:rPr>
        <w:t>(i)  performing laboratory testing on behalf of or for biopharmaceutical or life sciences companies, including Japanese companies or customers, if such testing is performed by the Tempus Shareholder in the United States;</w:t>
      </w:r>
    </w:p>
    <w:p>
      <w:pPr>
        <w:spacing w:after="0" w:line="147" w:lineRule="exact"/>
        <w:rPr>
          <w:sz w:val="20"/>
          <w:szCs w:val="20"/>
          <w:color w:val="auto"/>
        </w:rPr>
      </w:pPr>
    </w:p>
    <w:p>
      <w:pPr>
        <w:ind w:right="260" w:firstLine="960"/>
        <w:spacing w:after="0" w:line="295" w:lineRule="auto"/>
        <w:rPr>
          <w:sz w:val="20"/>
          <w:szCs w:val="20"/>
          <w:color w:val="auto"/>
        </w:rPr>
      </w:pPr>
      <w:r>
        <w:rPr>
          <w:rFonts w:ascii="Times New Roman" w:cs="Times New Roman" w:eastAsia="Times New Roman" w:hAnsi="Times New Roman"/>
          <w:sz w:val="17"/>
          <w:szCs w:val="17"/>
          <w:color w:val="auto"/>
        </w:rPr>
        <w:t xml:space="preserve">(ii)  licensing data (including Licensed Data) to non-competitors of the Company in Japan, including biopharmaceutical and other life sciences companies located or otherwise doing business in Japan;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 or</w:t>
      </w:r>
    </w:p>
    <w:p>
      <w:pPr>
        <w:spacing w:after="0" w:line="1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(iii)   performing its obligations under the Tempus Services Agreement.</w:t>
      </w:r>
    </w:p>
    <w:p>
      <w:pPr>
        <w:spacing w:after="0" w:line="223" w:lineRule="exact"/>
        <w:rPr>
          <w:sz w:val="20"/>
          <w:szCs w:val="20"/>
          <w:color w:val="auto"/>
        </w:rPr>
      </w:pPr>
    </w:p>
    <w:p>
      <w:pPr>
        <w:ind w:right="160" w:firstLine="426"/>
        <w:spacing w:after="0" w:line="269" w:lineRule="auto"/>
        <w:rPr>
          <w:sz w:val="20"/>
          <w:szCs w:val="20"/>
          <w:color w:val="auto"/>
        </w:rPr>
      </w:pPr>
      <w:r>
        <w:rPr>
          <w:rFonts w:ascii="Times New Roman" w:cs="Times New Roman" w:eastAsia="Times New Roman" w:hAnsi="Times New Roman"/>
          <w:sz w:val="17"/>
          <w:szCs w:val="17"/>
          <w:color w:val="auto"/>
        </w:rPr>
        <w:t xml:space="preserve">(c)  In the event the Tempus Shareholder or any of its Affiliates, on the one hand, and the SBG Shareholder or any of its Affiliates, on the other hand, mutually agree to launch a joint venture in any of the then applicable Restricted Territories, the definitive transaction agreement for such joint venture shall contain the same restrictions set forth in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on the Tempus Shareholder and its Affiliates from competing with such joint venture in such Restricted Territory.</w:t>
      </w:r>
    </w:p>
    <w:p>
      <w:pPr>
        <w:spacing w:after="0" w:line="169"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 xml:space="preserve">(d)  The restrictions set forth in the preceding provisions of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shall terminate in the event that the SBG Shareholder, directly or through one or more of any of its controlled Affiliates, owns, manages, operates, controls or participates in the ownership, management, operation or control of, any Person that is engaged in the Business or a business that is substantially similar to the Business in Japan;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all purposes of this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the term “control” or “controlled” shall mean the possession, directly or indirectly, of power to direct or cause the direction of management or policies (whether through ownership of securities or other ownership interests, by Contract or otherwise);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SBG Shareholder shall not be deemed to control (i) [***], or (ii) [***].</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620"/>
          </w:cols>
          <w:pgMar w:left="620" w:top="265" w:right="659" w:bottom="1440" w:gutter="0" w:footer="0" w:header="0"/>
        </w:sectPr>
      </w:pPr>
    </w:p>
    <w:bookmarkStart w:id="483" w:name="page484"/>
    <w:bookmarkEnd w:id="483"/>
    <w:p>
      <w:pPr>
        <w:ind w:left="8" w:right="120" w:firstLine="426"/>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9.3  </w:t>
      </w:r>
      <w:r>
        <w:rPr>
          <w:rFonts w:ascii="Times New Roman" w:cs="Times New Roman" w:eastAsia="Times New Roman" w:hAnsi="Times New Roman"/>
          <w:sz w:val="17"/>
          <w:szCs w:val="17"/>
          <w:u w:val="single" w:color="auto"/>
          <w:color w:val="auto"/>
        </w:rPr>
        <w:t>Outside JV</w:t>
      </w:r>
      <w:r>
        <w:rPr>
          <w:rFonts w:ascii="Times New Roman" w:cs="Times New Roman" w:eastAsia="Times New Roman" w:hAnsi="Times New Roman"/>
          <w:sz w:val="17"/>
          <w:szCs w:val="17"/>
          <w:color w:val="auto"/>
        </w:rPr>
        <w:t>. During the Lock-in Period, if the SBG Shareholder remains a Shareholder of the Company and (x) if the Tempus Shareholder decides to pursue or form an Outside JV (an “</w:t>
      </w:r>
      <w:r>
        <w:rPr>
          <w:rFonts w:ascii="Times New Roman" w:cs="Times New Roman" w:eastAsia="Times New Roman" w:hAnsi="Times New Roman"/>
          <w:sz w:val="17"/>
          <w:szCs w:val="17"/>
          <w:u w:val="single" w:color="auto"/>
          <w:color w:val="auto"/>
        </w:rPr>
        <w:t>Outside JV Election</w:t>
      </w:r>
      <w:r>
        <w:rPr>
          <w:rFonts w:ascii="Times New Roman" w:cs="Times New Roman" w:eastAsia="Times New Roman" w:hAnsi="Times New Roman"/>
          <w:sz w:val="17"/>
          <w:szCs w:val="17"/>
          <w:color w:val="auto"/>
        </w:rPr>
        <w:t>”) or (y) if the Tempus Shareholder receives a bona fide offer from a third party to enter into an Outside JV (irrespective of whether such offer was initiated by the third party or by the Tempus Shareholder or any of its Affiliates), then</w:t>
      </w:r>
    </w:p>
    <w:p>
      <w:pPr>
        <w:ind w:left="8" w:right="60" w:hanging="8"/>
        <w:spacing w:after="0" w:line="262" w:lineRule="auto"/>
        <w:tabs>
          <w:tab w:leader="none" w:pos="216"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Tempus Shareholder shall discuss with the SBG Shareholder in good faith the terms of any such Outside JV (the “</w:t>
      </w:r>
      <w:r>
        <w:rPr>
          <w:rFonts w:ascii="Times New Roman" w:cs="Times New Roman" w:eastAsia="Times New Roman" w:hAnsi="Times New Roman"/>
          <w:sz w:val="17"/>
          <w:szCs w:val="17"/>
          <w:u w:val="single" w:color="auto"/>
          <w:color w:val="auto"/>
        </w:rPr>
        <w:t>Outside JV Consultation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Right</w:t>
      </w:r>
      <w:r>
        <w:rPr>
          <w:rFonts w:ascii="Times New Roman" w:cs="Times New Roman" w:eastAsia="Times New Roman" w:hAnsi="Times New Roman"/>
          <w:sz w:val="17"/>
          <w:szCs w:val="17"/>
          <w:color w:val="auto"/>
        </w:rPr>
        <w:t>”) and (ii) the SBG Shareholder shall be entitled to a right of first refusal to participate in such Outside JV (the “</w:t>
      </w:r>
      <w:r>
        <w:rPr>
          <w:rFonts w:ascii="Times New Roman" w:cs="Times New Roman" w:eastAsia="Times New Roman" w:hAnsi="Times New Roman"/>
          <w:sz w:val="17"/>
          <w:szCs w:val="17"/>
          <w:u w:val="single" w:color="auto"/>
          <w:color w:val="auto"/>
        </w:rPr>
        <w:t>Outside JV ROFR</w:t>
      </w:r>
      <w:r>
        <w:rPr>
          <w:rFonts w:ascii="Times New Roman" w:cs="Times New Roman" w:eastAsia="Times New Roman" w:hAnsi="Times New Roman"/>
          <w:sz w:val="17"/>
          <w:szCs w:val="17"/>
          <w:color w:val="auto"/>
        </w:rPr>
        <w:t xml:space="preserve">”), in each case pursuant to the terms set forth in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Outside JV</w:t>
      </w:r>
      <w:r>
        <w:rPr>
          <w:rFonts w:ascii="Times New Roman" w:cs="Times New Roman" w:eastAsia="Times New Roman" w:hAnsi="Times New Roman"/>
          <w:sz w:val="17"/>
          <w:szCs w:val="17"/>
          <w:color w:val="auto"/>
        </w:rPr>
        <w:t>” means a joint venture or similar arrangement for any business that is substantially similar to the Business of the Company within a Restricted Territory.</w:t>
      </w:r>
    </w:p>
    <w:p>
      <w:pPr>
        <w:spacing w:after="0" w:line="27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Outside JV Consultation Right</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8" w:firstLine="960"/>
        <w:spacing w:after="0" w:line="261" w:lineRule="auto"/>
        <w:rPr>
          <w:sz w:val="20"/>
          <w:szCs w:val="20"/>
          <w:color w:val="auto"/>
        </w:rPr>
      </w:pPr>
      <w:r>
        <w:rPr>
          <w:rFonts w:ascii="Times New Roman" w:cs="Times New Roman" w:eastAsia="Times New Roman" w:hAnsi="Times New Roman"/>
          <w:sz w:val="17"/>
          <w:szCs w:val="17"/>
          <w:color w:val="auto"/>
        </w:rPr>
        <w:t>(i)  Within [***] days of making an Outside JV Election, the Tempus Shareholder shall provide written notice to the SBG Shareholder of such Outside JV Election (the “</w:t>
      </w:r>
      <w:r>
        <w:rPr>
          <w:rFonts w:ascii="Times New Roman" w:cs="Times New Roman" w:eastAsia="Times New Roman" w:hAnsi="Times New Roman"/>
          <w:sz w:val="17"/>
          <w:szCs w:val="17"/>
          <w:u w:val="single" w:color="auto"/>
          <w:color w:val="auto"/>
        </w:rPr>
        <w:t>Outside JV Notice</w:t>
      </w:r>
      <w:r>
        <w:rPr>
          <w:rFonts w:ascii="Times New Roman" w:cs="Times New Roman" w:eastAsia="Times New Roman" w:hAnsi="Times New Roman"/>
          <w:sz w:val="17"/>
          <w:szCs w:val="17"/>
          <w:color w:val="auto"/>
        </w:rPr>
        <w:t>”). The Outside JV Notice shall include the material terms and conditions of the potential Outside JV that the Tempus Shareholder has elected to pursue. Following delivery of the Outside JV Notice, the Tempus Shareholder shall, and shall cause its Affiliates and its and their respective Representatives and shareholders, to: (A) negotiate in good faith with the SBG Shareholder with respect to the potential Outside JV; (B) provide the SBG Shareholder with reasonable access during reasonable business hours to books, records, facilities, officers, other Representatives and any other information reasonably requested by the SBG Shareholder and, if applicable, on terms no less extensive than have been provided to any party that the Tempus Shareholder is discussing the Outside JV; and (C) keep the SBG Shareholder fully informed on a reasonably current basis of the status of, and any material developments, discussions or negotiations regarding, such potential Outside JV (the period during which the parties engage in the foregoing clauses (A)-(C), the “</w:t>
      </w:r>
      <w:r>
        <w:rPr>
          <w:rFonts w:ascii="Times New Roman" w:cs="Times New Roman" w:eastAsia="Times New Roman" w:hAnsi="Times New Roman"/>
          <w:sz w:val="17"/>
          <w:szCs w:val="17"/>
          <w:u w:val="single" w:color="auto"/>
          <w:color w:val="auto"/>
        </w:rPr>
        <w:t>Outside JV Negotiation Period</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8" w:firstLine="960"/>
        <w:spacing w:after="0" w:line="266" w:lineRule="auto"/>
        <w:rPr>
          <w:sz w:val="20"/>
          <w:szCs w:val="20"/>
          <w:color w:val="auto"/>
        </w:rPr>
      </w:pPr>
      <w:r>
        <w:rPr>
          <w:rFonts w:ascii="Times New Roman" w:cs="Times New Roman" w:eastAsia="Times New Roman" w:hAnsi="Times New Roman"/>
          <w:sz w:val="17"/>
          <w:szCs w:val="17"/>
          <w:color w:val="auto"/>
        </w:rPr>
        <w:t xml:space="preserve">(ii)  The Outside JV Negotiation Period shall not exceed [***] days from the date of the Outside JV Notice absent mutual written agreement of the Initial Shareholders. If the Tempus Shareholder and the SBG Shareholder reach mutually agreeable terms for an Outside JV following the negotiations described in the preceding provisions of this </w:t>
      </w:r>
      <w:r>
        <w:rPr>
          <w:rFonts w:ascii="Times New Roman" w:cs="Times New Roman" w:eastAsia="Times New Roman" w:hAnsi="Times New Roman"/>
          <w:sz w:val="17"/>
          <w:szCs w:val="17"/>
          <w:u w:val="single" w:color="auto"/>
          <w:color w:val="auto"/>
        </w:rPr>
        <w:t>Section 9.3(a)</w:t>
      </w:r>
      <w:r>
        <w:rPr>
          <w:rFonts w:ascii="Times New Roman" w:cs="Times New Roman" w:eastAsia="Times New Roman" w:hAnsi="Times New Roman"/>
          <w:sz w:val="17"/>
          <w:szCs w:val="17"/>
          <w:color w:val="auto"/>
        </w:rPr>
        <w:t>, then the parties shall cooperate with each other in good faith to execute and deliver such instruments, agreements and other documents, and perform such other acts and things, as may be reasonably necessary or desirable for purposes of effecting such Outside JV.</w:t>
      </w:r>
    </w:p>
    <w:p>
      <w:pPr>
        <w:spacing w:after="0" w:line="27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Outside JV ROFR</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8" w:right="140" w:firstLine="960"/>
        <w:spacing w:after="0" w:line="264" w:lineRule="auto"/>
        <w:rPr>
          <w:sz w:val="20"/>
          <w:szCs w:val="20"/>
          <w:color w:val="auto"/>
        </w:rPr>
      </w:pPr>
      <w:r>
        <w:rPr>
          <w:rFonts w:ascii="Times New Roman" w:cs="Times New Roman" w:eastAsia="Times New Roman" w:hAnsi="Times New Roman"/>
          <w:sz w:val="17"/>
          <w:szCs w:val="17"/>
          <w:color w:val="auto"/>
        </w:rPr>
        <w:t xml:space="preserve">(i)  Notwithstanding and irrespective of the foregoing provisions of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at least [***] Days before the Tempus Shareholder or any of its Affiliates enter into a reasonably detailed term sheet with any third party with respect to an Outside JV (a “</w:t>
      </w:r>
      <w:r>
        <w:rPr>
          <w:rFonts w:ascii="Times New Roman" w:cs="Times New Roman" w:eastAsia="Times New Roman" w:hAnsi="Times New Roman"/>
          <w:sz w:val="17"/>
          <w:szCs w:val="17"/>
          <w:u w:val="single" w:color="auto"/>
          <w:color w:val="auto"/>
        </w:rPr>
        <w:t>Third-Party Outside JV 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Sheet</w:t>
      </w:r>
      <w:r>
        <w:rPr>
          <w:rFonts w:ascii="Times New Roman" w:cs="Times New Roman" w:eastAsia="Times New Roman" w:hAnsi="Times New Roman"/>
          <w:sz w:val="17"/>
          <w:szCs w:val="17"/>
          <w:color w:val="auto"/>
        </w:rPr>
        <w:t>”), the Tempus Shareholder shall provide written notice to the SBG Shareholder of such Third-Party Outside JV Term Sheet (the “</w:t>
      </w:r>
      <w:r>
        <w:rPr>
          <w:rFonts w:ascii="Times New Roman" w:cs="Times New Roman" w:eastAsia="Times New Roman" w:hAnsi="Times New Roman"/>
          <w:sz w:val="17"/>
          <w:szCs w:val="17"/>
          <w:u w:val="single" w:color="auto"/>
          <w:color w:val="auto"/>
        </w:rPr>
        <w:t>Outside JV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ROFR Notice</w:t>
      </w:r>
      <w:r>
        <w:rPr>
          <w:rFonts w:ascii="Times New Roman" w:cs="Times New Roman" w:eastAsia="Times New Roman" w:hAnsi="Times New Roman"/>
          <w:sz w:val="17"/>
          <w:szCs w:val="17"/>
          <w:color w:val="auto"/>
        </w:rPr>
        <w:t>”), including, if applicable, a copy of any and all material documentation and communications related thereto (including the Third-Party Outside JV Term Sheet), any proposals or offers from third parties, and the identity of the third party contemplated to be a party to such potential Outside JV;</w:t>
      </w:r>
    </w:p>
    <w:p>
      <w:pPr>
        <w:spacing w:after="0" w:line="108"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608"/>
          </w:cols>
          <w:pgMar w:left="612" w:top="265" w:right="679" w:bottom="1440" w:gutter="0" w:footer="0" w:header="0"/>
        </w:sectPr>
      </w:pPr>
    </w:p>
    <w:bookmarkStart w:id="484" w:name="page485"/>
    <w:bookmarkEnd w:id="484"/>
    <w:p>
      <w:pPr>
        <w:ind w:left="8" w:right="80"/>
        <w:spacing w:after="0" w:line="263"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provided</w:t>
      </w:r>
      <w:r>
        <w:rPr>
          <w:rFonts w:ascii="Times New Roman" w:cs="Times New Roman" w:eastAsia="Times New Roman" w:hAnsi="Times New Roman"/>
          <w:sz w:val="17"/>
          <w:szCs w:val="17"/>
          <w:color w:val="auto"/>
        </w:rPr>
        <w:t xml:space="preserve"> that to the extent that any such disclosure is expressly prohibited by the terms of a confidentiality agreement between the Tempus Shareholder and such third party (despite the Tempus Shareholder using its commercially reasonable efforts to permit such disclosure), then, in lieu of disclosing such material documentation, communications or identity of such third party, the Tempus Shareholder shall include a reasonably detailed description of the proposed Outside JV, including its material terms and a reasonably detailed description of the third party (including its industry, geography and general description of its business) to enable the SBG Shareholder to evaluate such potential Outside JV. The Outside JV ROFR Notice shall include, at a minimum, the principal economic and legal terms for such proposed Outside JV, including by way of example price, capital contributions, conditions to close, license and other commercial terms, governance rights, transfer and exit rights and key operational matters.</w:t>
      </w:r>
    </w:p>
    <w:p>
      <w:pPr>
        <w:spacing w:after="0" w:line="173" w:lineRule="exact"/>
        <w:rPr>
          <w:sz w:val="20"/>
          <w:szCs w:val="20"/>
          <w:color w:val="auto"/>
        </w:rPr>
      </w:pPr>
    </w:p>
    <w:p>
      <w:pPr>
        <w:ind w:left="8" w:right="20" w:firstLine="960"/>
        <w:spacing w:after="0" w:line="264" w:lineRule="auto"/>
        <w:rPr>
          <w:sz w:val="20"/>
          <w:szCs w:val="20"/>
          <w:color w:val="auto"/>
        </w:rPr>
      </w:pPr>
      <w:r>
        <w:rPr>
          <w:rFonts w:ascii="Times New Roman" w:cs="Times New Roman" w:eastAsia="Times New Roman" w:hAnsi="Times New Roman"/>
          <w:sz w:val="17"/>
          <w:szCs w:val="17"/>
          <w:color w:val="auto"/>
        </w:rPr>
        <w:t>(ii)  Within [***] days of receiving the Outside JV ROFR Notice (such period the “</w:t>
      </w:r>
      <w:r>
        <w:rPr>
          <w:rFonts w:ascii="Times New Roman" w:cs="Times New Roman" w:eastAsia="Times New Roman" w:hAnsi="Times New Roman"/>
          <w:sz w:val="17"/>
          <w:szCs w:val="17"/>
          <w:u w:val="single" w:color="auto"/>
          <w:color w:val="auto"/>
        </w:rPr>
        <w:t>Outside JV ROFR Exercise Period</w:t>
      </w:r>
      <w:r>
        <w:rPr>
          <w:rFonts w:ascii="Times New Roman" w:cs="Times New Roman" w:eastAsia="Times New Roman" w:hAnsi="Times New Roman"/>
          <w:sz w:val="17"/>
          <w:szCs w:val="17"/>
          <w:color w:val="auto"/>
        </w:rPr>
        <w:t>”), the SBG Shareholder shall have the right to exercise the Outside JV ROFR by delivering written notice to that effect to the Tempus Shareholder (the “</w:t>
      </w:r>
      <w:r>
        <w:rPr>
          <w:rFonts w:ascii="Times New Roman" w:cs="Times New Roman" w:eastAsia="Times New Roman" w:hAnsi="Times New Roman"/>
          <w:sz w:val="17"/>
          <w:szCs w:val="17"/>
          <w:u w:val="single" w:color="auto"/>
          <w:color w:val="auto"/>
        </w:rPr>
        <w:t>Outside JV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ROFR Exercise Notice</w:t>
      </w:r>
      <w:r>
        <w:rPr>
          <w:rFonts w:ascii="Times New Roman" w:cs="Times New Roman" w:eastAsia="Times New Roman" w:hAnsi="Times New Roman"/>
          <w:sz w:val="17"/>
          <w:szCs w:val="17"/>
          <w:color w:val="auto"/>
        </w:rPr>
        <w:t>”). If the SBG Shareholder delivers an Outside JV ROFR Exercise Notice pursuant to the preceding sentence, then for a period of</w:t>
      </w:r>
    </w:p>
    <w:p>
      <w:pPr>
        <w:ind w:left="8" w:hanging="8"/>
        <w:spacing w:after="0" w:line="259" w:lineRule="auto"/>
        <w:tabs>
          <w:tab w:leader="none" w:pos="429"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following delivery of the Outside JV ROFR Exercise Notice (the “</w:t>
      </w:r>
      <w:r>
        <w:rPr>
          <w:rFonts w:ascii="Times New Roman" w:cs="Times New Roman" w:eastAsia="Times New Roman" w:hAnsi="Times New Roman"/>
          <w:sz w:val="17"/>
          <w:szCs w:val="17"/>
          <w:u w:val="single" w:color="auto"/>
          <w:color w:val="auto"/>
        </w:rPr>
        <w:t>Outside JV ROFR Period</w:t>
      </w:r>
      <w:r>
        <w:rPr>
          <w:rFonts w:ascii="Times New Roman" w:cs="Times New Roman" w:eastAsia="Times New Roman" w:hAnsi="Times New Roman"/>
          <w:sz w:val="17"/>
          <w:szCs w:val="17"/>
          <w:color w:val="auto"/>
        </w:rPr>
        <w:t xml:space="preserve">”), the Tempus Shareholder shall, and shall cause its Affiliates and its and their respective Representatives and shareholders, to: (i) negotiate exclusively in good faith with the SBG Shareholder the definitive agreements for such Outside JV based upon the terms set forth in the Third-Party Outside JV Term Sheet or the Outside JV ROFR Notice, as the case may be, and (ii) provide the SBG Shareholder with reasonable access during reasonable business hours to books, records, facilities, officers, other Representatives and any other information reasonably requested by the SBG Shareholder. If the Tempus Shareholder and the SBG Shareholder reach mutually agreeable terms for an Outside JV following the negotiations described in the preceding provisions of this </w:t>
      </w:r>
      <w:r>
        <w:rPr>
          <w:rFonts w:ascii="Times New Roman" w:cs="Times New Roman" w:eastAsia="Times New Roman" w:hAnsi="Times New Roman"/>
          <w:sz w:val="17"/>
          <w:szCs w:val="17"/>
          <w:u w:val="single" w:color="auto"/>
          <w:color w:val="auto"/>
        </w:rPr>
        <w:t>Section 9.3(b)</w:t>
      </w:r>
      <w:r>
        <w:rPr>
          <w:rFonts w:ascii="Times New Roman" w:cs="Times New Roman" w:eastAsia="Times New Roman" w:hAnsi="Times New Roman"/>
          <w:sz w:val="17"/>
          <w:szCs w:val="17"/>
          <w:color w:val="auto"/>
        </w:rPr>
        <w:t>, then the parties shall cooperate with each other in good faith to execute and deliver such instruments, agreements and other documents, and perform such other acts and things, as may be reasonably necessary or desirable for purposes of effecting such Outside JV.</w:t>
      </w:r>
    </w:p>
    <w:p>
      <w:pPr>
        <w:spacing w:after="0" w:line="176" w:lineRule="exact"/>
        <w:rPr>
          <w:sz w:val="20"/>
          <w:szCs w:val="20"/>
          <w:color w:val="auto"/>
        </w:rPr>
      </w:pPr>
    </w:p>
    <w:p>
      <w:pPr>
        <w:ind w:left="8" w:right="200" w:firstLine="960"/>
        <w:spacing w:after="0" w:line="263" w:lineRule="auto"/>
        <w:rPr>
          <w:sz w:val="20"/>
          <w:szCs w:val="20"/>
          <w:color w:val="auto"/>
        </w:rPr>
      </w:pPr>
      <w:r>
        <w:rPr>
          <w:rFonts w:ascii="Times New Roman" w:cs="Times New Roman" w:eastAsia="Times New Roman" w:hAnsi="Times New Roman"/>
          <w:sz w:val="17"/>
          <w:szCs w:val="17"/>
          <w:color w:val="auto"/>
        </w:rPr>
        <w:t xml:space="preserve">(iii)  If the SBG Shareholder fails to deliver an Outside JV ROFR Exercise Notice within the Outside JV ROFR Exercise Period, elects not to exercise the Outside JV ROFR with respect to the particular proposed Outside JV, or the parties are unable to execute a definitive agreement within the Outside JV ROFR Exercise Period, then the Tempus Shareholder shall be free to enter into a definitive agreements, based on the terms set forth in the Outside JV ROFR Notice as delivered to the SBG Shareholder with the third party described in such Outside JV ROFR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Tempus Shareholder does not so consummate such Outside JV within [***] days, then the Tempus Shareholder shall not commence or continue a process for such Outside JV or enter into any definitive agreement for, or close, such Outside JV without again complying with all of the notice and negotiation procedures and requirements set forth in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8" w:right="120" w:firstLine="426"/>
        <w:spacing w:after="0" w:line="269" w:lineRule="auto"/>
        <w:rPr>
          <w:sz w:val="20"/>
          <w:szCs w:val="20"/>
          <w:color w:val="auto"/>
        </w:rPr>
      </w:pPr>
      <w:r>
        <w:rPr>
          <w:rFonts w:ascii="Times New Roman" w:cs="Times New Roman" w:eastAsia="Times New Roman" w:hAnsi="Times New Roman"/>
          <w:sz w:val="17"/>
          <w:szCs w:val="17"/>
          <w:color w:val="auto"/>
        </w:rPr>
        <w:t xml:space="preserve">(c)  For the avoidance of doubt, the rights set forth in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shall apply with respect to each proposed Outside JV and in the event that the terms of a particular Outside JV materially change relative to the terms set forth in the applicable Outside JV Notice or Outside JV ROFR Notice (such material change shall include any change to principal economic and legal terms for such Outside JV, including by way of example, price, capital contributions, conditions</w:t>
      </w:r>
    </w:p>
    <w:p>
      <w:pPr>
        <w:spacing w:after="0" w:line="10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648"/>
          </w:cols>
          <w:pgMar w:left="612" w:top="264" w:right="639" w:bottom="1440" w:gutter="0" w:footer="0" w:header="0"/>
        </w:sectPr>
      </w:pPr>
    </w:p>
    <w:bookmarkStart w:id="485" w:name="page486"/>
    <w:bookmarkEnd w:id="485"/>
    <w:p>
      <w:pPr>
        <w:ind w:right="3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to close, license and other commercial terms, governance rights, transfer and exit rights and key operational matters), the Tempus Shareholder shall again comply with the obligations set forth in this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including delivery of a new Outside JV Notice or Outside JV ROFR Notice, as applicable.</w:t>
      </w:r>
    </w:p>
    <w:p>
      <w:pPr>
        <w:spacing w:after="0" w:line="162" w:lineRule="exact"/>
        <w:rPr>
          <w:sz w:val="20"/>
          <w:szCs w:val="20"/>
          <w:color w:val="auto"/>
        </w:rPr>
      </w:pPr>
    </w:p>
    <w:p>
      <w:pPr>
        <w:ind w:right="20" w:firstLine="426"/>
        <w:spacing w:after="0" w:line="264"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India JV</w:t>
      </w:r>
      <w:r>
        <w:rPr>
          <w:rFonts w:ascii="Times New Roman" w:cs="Times New Roman" w:eastAsia="Times New Roman" w:hAnsi="Times New Roman"/>
          <w:sz w:val="17"/>
          <w:szCs w:val="17"/>
          <w:color w:val="auto"/>
        </w:rPr>
        <w:t>. During the Lock-in Period, each time the Tempus Shareholder proposes to launch any joint venture or other similar partnership with a substantially similar business model as the Company in India (each, an “</w:t>
      </w:r>
      <w:r>
        <w:rPr>
          <w:rFonts w:ascii="Times New Roman" w:cs="Times New Roman" w:eastAsia="Times New Roman" w:hAnsi="Times New Roman"/>
          <w:sz w:val="17"/>
          <w:szCs w:val="17"/>
          <w:u w:val="single" w:color="auto"/>
          <w:color w:val="auto"/>
        </w:rPr>
        <w:t>India JV</w:t>
      </w:r>
      <w:r>
        <w:rPr>
          <w:rFonts w:ascii="Times New Roman" w:cs="Times New Roman" w:eastAsia="Times New Roman" w:hAnsi="Times New Roman"/>
          <w:sz w:val="17"/>
          <w:szCs w:val="17"/>
          <w:color w:val="auto"/>
        </w:rPr>
        <w:t xml:space="preserve">”), the Tempus Shareholder shall offer the SBG Shareholder a reasonable and meaningful opportunity to make an offer to participate in such joint venture or other similar partnership by negotiating in good faith with the SBG Shareholder with respect to the potential India JV, including the terms thereof and opportunities for the SBG Shareholder and the Tempus Shareholder to collaborate in such country;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decision to enter into any definitive agreement with respect to an India JV shall be in the Tempus Shareholder’s sole and absolute discretion.</w:t>
      </w:r>
    </w:p>
    <w:p>
      <w:pPr>
        <w:spacing w:after="0" w:line="2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Data Support; Data Support Business Opportunity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426"/>
        <w:spacing w:after="0" w:line="269"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Data Support</w:t>
      </w:r>
      <w:r>
        <w:rPr>
          <w:rFonts w:ascii="Times New Roman" w:cs="Times New Roman" w:eastAsia="Times New Roman" w:hAnsi="Times New Roman"/>
          <w:sz w:val="17"/>
          <w:szCs w:val="17"/>
          <w:color w:val="auto"/>
        </w:rPr>
        <w:t>. From and after the Closing, and for so long as the SBG Shareholder remains a Shareholder of the Company, the SBG Shareholder, the Tempus Shareholder and the Company shall discuss in good faith the prospect of the SBG Shareholder or any of its Affiliates providing high-speed data processing and analysis products and services to the Company (“</w:t>
      </w:r>
      <w:r>
        <w:rPr>
          <w:rFonts w:ascii="Times New Roman" w:cs="Times New Roman" w:eastAsia="Times New Roman" w:hAnsi="Times New Roman"/>
          <w:sz w:val="17"/>
          <w:szCs w:val="17"/>
          <w:u w:val="single" w:color="auto"/>
          <w:color w:val="auto"/>
        </w:rPr>
        <w:t>Data Support</w:t>
      </w:r>
      <w:r>
        <w:rPr>
          <w:rFonts w:ascii="Times New Roman" w:cs="Times New Roman" w:eastAsia="Times New Roman" w:hAnsi="Times New Roman"/>
          <w:sz w:val="17"/>
          <w:szCs w:val="17"/>
          <w:color w:val="auto"/>
        </w:rPr>
        <w:t>”) from data centers or similar infrastructure of the SBG Shareholder or any of its Affiliates on commercially reasonable and arms-length terms.</w:t>
      </w: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Data Support Business Opportunity</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960"/>
        <w:spacing w:after="0" w:line="263" w:lineRule="auto"/>
        <w:rPr>
          <w:sz w:val="20"/>
          <w:szCs w:val="20"/>
          <w:color w:val="auto"/>
        </w:rPr>
      </w:pPr>
      <w:r>
        <w:rPr>
          <w:rFonts w:ascii="Times New Roman" w:cs="Times New Roman" w:eastAsia="Times New Roman" w:hAnsi="Times New Roman"/>
          <w:sz w:val="17"/>
          <w:szCs w:val="17"/>
          <w:color w:val="auto"/>
        </w:rPr>
        <w:t xml:space="preserve">(i)  Without limiting the provisions set forth in </w:t>
      </w:r>
      <w:r>
        <w:rPr>
          <w:rFonts w:ascii="Times New Roman" w:cs="Times New Roman" w:eastAsia="Times New Roman" w:hAnsi="Times New Roman"/>
          <w:sz w:val="17"/>
          <w:szCs w:val="17"/>
          <w:u w:val="single" w:color="auto"/>
          <w:color w:val="auto"/>
        </w:rPr>
        <w:t>Section 9.5(a)</w:t>
      </w:r>
      <w:r>
        <w:rPr>
          <w:rFonts w:ascii="Times New Roman" w:cs="Times New Roman" w:eastAsia="Times New Roman" w:hAnsi="Times New Roman"/>
          <w:sz w:val="17"/>
          <w:szCs w:val="17"/>
          <w:color w:val="auto"/>
        </w:rPr>
        <w:t>, at least [***] days prior to the Company entering into any definitive agreement (each, a “</w:t>
      </w:r>
      <w:r>
        <w:rPr>
          <w:rFonts w:ascii="Times New Roman" w:cs="Times New Roman" w:eastAsia="Times New Roman" w:hAnsi="Times New Roman"/>
          <w:sz w:val="17"/>
          <w:szCs w:val="17"/>
          <w:u w:val="single" w:color="auto"/>
          <w:color w:val="auto"/>
        </w:rPr>
        <w:t>Third-Party Data Support Agreement</w:t>
      </w:r>
      <w:r>
        <w:rPr>
          <w:rFonts w:ascii="Times New Roman" w:cs="Times New Roman" w:eastAsia="Times New Roman" w:hAnsi="Times New Roman"/>
          <w:sz w:val="17"/>
          <w:szCs w:val="17"/>
          <w:color w:val="auto"/>
        </w:rPr>
        <w:t>”) with a third-party service provider for any Data Support (each, a “</w:t>
      </w:r>
      <w:r>
        <w:rPr>
          <w:rFonts w:ascii="Times New Roman" w:cs="Times New Roman" w:eastAsia="Times New Roman" w:hAnsi="Times New Roman"/>
          <w:sz w:val="17"/>
          <w:szCs w:val="17"/>
          <w:u w:val="single" w:color="auto"/>
          <w:color w:val="auto"/>
        </w:rPr>
        <w:t>Data Support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Opportunity</w:t>
      </w:r>
      <w:r>
        <w:rPr>
          <w:rFonts w:ascii="Times New Roman" w:cs="Times New Roman" w:eastAsia="Times New Roman" w:hAnsi="Times New Roman"/>
          <w:sz w:val="17"/>
          <w:szCs w:val="17"/>
          <w:color w:val="auto"/>
        </w:rPr>
        <w:t>”), the Company shall provide a written notice to the SBG Shareholder (the “</w:t>
      </w:r>
      <w:r>
        <w:rPr>
          <w:rFonts w:ascii="Times New Roman" w:cs="Times New Roman" w:eastAsia="Times New Roman" w:hAnsi="Times New Roman"/>
          <w:sz w:val="17"/>
          <w:szCs w:val="17"/>
          <w:u w:val="single" w:color="auto"/>
          <w:color w:val="auto"/>
        </w:rPr>
        <w:t>Data Support Business Opportunity ROFR Notice</w:t>
      </w:r>
      <w:r>
        <w:rPr>
          <w:rFonts w:ascii="Times New Roman" w:cs="Times New Roman" w:eastAsia="Times New Roman" w:hAnsi="Times New Roman"/>
          <w:sz w:val="17"/>
          <w:szCs w:val="17"/>
          <w:color w:val="auto"/>
        </w:rPr>
        <w:t>”). The Data Support Business Opportunity ROFR Notice shall provide sufficient information, and the Company shall additionally provide to the SBG Shareholder such other information reasonably requested by the SBG Shareholder, to allow the SBG Shareholder or its Affiliates to evaluate the material terms of the proposed Third-Party Data Support Agreement to assess whether the SBG Shareholder or its Affiliate, as the case may be, is willing and able to provide Data Support on similar or better terms.</w:t>
      </w:r>
    </w:p>
    <w:p>
      <w:pPr>
        <w:spacing w:after="0" w:line="173" w:lineRule="exact"/>
        <w:rPr>
          <w:sz w:val="20"/>
          <w:szCs w:val="20"/>
          <w:color w:val="auto"/>
        </w:rPr>
      </w:pPr>
    </w:p>
    <w:p>
      <w:pPr>
        <w:jc w:val="both"/>
        <w:ind w:right="60" w:firstLine="960"/>
        <w:spacing w:after="0" w:line="276" w:lineRule="auto"/>
        <w:rPr>
          <w:sz w:val="20"/>
          <w:szCs w:val="20"/>
          <w:color w:val="auto"/>
        </w:rPr>
      </w:pPr>
      <w:r>
        <w:rPr>
          <w:rFonts w:ascii="Times New Roman" w:cs="Times New Roman" w:eastAsia="Times New Roman" w:hAnsi="Times New Roman"/>
          <w:sz w:val="17"/>
          <w:szCs w:val="17"/>
          <w:color w:val="auto"/>
        </w:rPr>
        <w:t>(ii)  During the period commencing on the date on which the SBG Shareholder becomes entitled to a Data Support Business Opportunity ROFR Notice and until the expiration of the Data Support Business Opportunity ROFR Period, neither the Company nor any of its Affiliates shall enter into any definitive documentation contemplating a Data Support Business Opportunity with any party other than the SBG Shareholder.</w:t>
      </w:r>
    </w:p>
    <w:p>
      <w:pPr>
        <w:spacing w:after="0" w:line="162" w:lineRule="exact"/>
        <w:rPr>
          <w:sz w:val="20"/>
          <w:szCs w:val="20"/>
          <w:color w:val="auto"/>
        </w:rPr>
      </w:pPr>
    </w:p>
    <w:p>
      <w:pPr>
        <w:ind w:right="120" w:firstLine="960"/>
        <w:spacing w:after="0" w:line="276" w:lineRule="auto"/>
        <w:rPr>
          <w:sz w:val="20"/>
          <w:szCs w:val="20"/>
          <w:color w:val="auto"/>
        </w:rPr>
      </w:pPr>
      <w:r>
        <w:rPr>
          <w:rFonts w:ascii="Times New Roman" w:cs="Times New Roman" w:eastAsia="Times New Roman" w:hAnsi="Times New Roman"/>
          <w:sz w:val="17"/>
          <w:szCs w:val="17"/>
          <w:color w:val="auto"/>
        </w:rPr>
        <w:t>(iii)  The SBG Shareholder shall have the right, exercisable within [***] days from the date it receives the Data Support Business Opportunity ROFR Notice (the “</w:t>
      </w:r>
      <w:r>
        <w:rPr>
          <w:rFonts w:ascii="Times New Roman" w:cs="Times New Roman" w:eastAsia="Times New Roman" w:hAnsi="Times New Roman"/>
          <w:sz w:val="17"/>
          <w:szCs w:val="17"/>
          <w:u w:val="single" w:color="auto"/>
          <w:color w:val="auto"/>
        </w:rPr>
        <w:t>Data Support Business Opportunity ROFR Period</w:t>
      </w:r>
      <w:r>
        <w:rPr>
          <w:rFonts w:ascii="Times New Roman" w:cs="Times New Roman" w:eastAsia="Times New Roman" w:hAnsi="Times New Roman"/>
          <w:sz w:val="17"/>
          <w:szCs w:val="17"/>
          <w:color w:val="auto"/>
        </w:rPr>
        <w:t>”), to consummate and make effective the transactions contemplated by the Third-Party Data Support Agreement based on the terms set forth in such</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640"/>
          </w:cols>
          <w:pgMar w:left="620" w:top="264" w:right="639" w:bottom="1440" w:gutter="0" w:footer="0" w:header="0"/>
        </w:sectPr>
      </w:pPr>
    </w:p>
    <w:bookmarkStart w:id="486" w:name="page487"/>
    <w:bookmarkEnd w:id="486"/>
    <w:p>
      <w:pPr>
        <w:ind w:right="4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Third-Party Data Support Agreement, and such other terms as may be mutually agreed between the Company and the SBG Shareholder or one or more of its Affiliates (the “</w:t>
      </w:r>
      <w:r>
        <w:rPr>
          <w:rFonts w:ascii="Times New Roman" w:cs="Times New Roman" w:eastAsia="Times New Roman" w:hAnsi="Times New Roman"/>
          <w:sz w:val="17"/>
          <w:szCs w:val="17"/>
          <w:u w:val="single" w:color="auto"/>
          <w:color w:val="auto"/>
        </w:rPr>
        <w:t>Data Support Business Opportunity ROFR</w:t>
      </w:r>
      <w:r>
        <w:rPr>
          <w:rFonts w:ascii="Times New Roman" w:cs="Times New Roman" w:eastAsia="Times New Roman" w:hAnsi="Times New Roman"/>
          <w:sz w:val="17"/>
          <w:szCs w:val="17"/>
          <w:color w:val="auto"/>
        </w:rPr>
        <w:t>”), by delivering written notice to the Company (the “</w:t>
      </w:r>
      <w:r>
        <w:rPr>
          <w:rFonts w:ascii="Times New Roman" w:cs="Times New Roman" w:eastAsia="Times New Roman" w:hAnsi="Times New Roman"/>
          <w:sz w:val="17"/>
          <w:szCs w:val="17"/>
          <w:u w:val="single" w:color="auto"/>
          <w:color w:val="auto"/>
        </w:rPr>
        <w:t>Data Support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Opportunity ROFR Exercise Notice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Data Support Business Opportunity ROFR may only be exercised if the SBG Shareholder (directly or through one or more of its Affiliates) can provide the applicable Data Support to the Company on terms that are substantially similar or better to those being offered by the applicable third-party service provider as set forth in the Third-Party Data Support Agreement, including price, quantity, functionality, quality and any other commercial term that a similar situated, reasonable party would consider when selecting such a third-party service provider. Upon delivery of a Data Support Business Opportunity ROFR Exercise Notice, the SBG Shareholder and the Company shall cooperate with each other in good faith to execute and deliver such instruments, agreements and other documents, and perform such other acts and things, as may be reasonably necessary or desirable for purposes of effecting the transactions contemplated by the Data Support Business Opportunity ROFR.</w:t>
      </w:r>
    </w:p>
    <w:p>
      <w:pPr>
        <w:spacing w:after="0" w:line="178" w:lineRule="exact"/>
        <w:rPr>
          <w:sz w:val="20"/>
          <w:szCs w:val="20"/>
          <w:color w:val="auto"/>
        </w:rPr>
      </w:pPr>
    </w:p>
    <w:p>
      <w:pPr>
        <w:ind w:right="100" w:firstLine="960"/>
        <w:spacing w:after="0" w:line="261" w:lineRule="auto"/>
        <w:rPr>
          <w:sz w:val="20"/>
          <w:szCs w:val="20"/>
          <w:color w:val="auto"/>
        </w:rPr>
      </w:pPr>
      <w:r>
        <w:rPr>
          <w:rFonts w:ascii="Times New Roman" w:cs="Times New Roman" w:eastAsia="Times New Roman" w:hAnsi="Times New Roman"/>
          <w:sz w:val="17"/>
          <w:szCs w:val="17"/>
          <w:color w:val="auto"/>
        </w:rPr>
        <w:t xml:space="preserve">(iv)  If the SBG Shareholder fails to deliver a Data Support Business Opportunity ROFR Exercise Notice within the Data Support Business Opportunity ROFR Period or elects not to exercise the Data Support Business Opportunity ROFR with respect to the particular proposed Data Support Business Opportunity, then the Company shall be free, for a period of [***] days following expiration of the Data Support Business Opportunity ROFR Period, to enter into the Third-Party Data Support Agreement with the party identified in the Data Support Business Opportunity ROFR Notice on the terms set forth in the Third-Party Data Support Agreement as delivered to the SBG Shareholder in accordance with </w:t>
      </w:r>
      <w:r>
        <w:rPr>
          <w:rFonts w:ascii="Times New Roman" w:cs="Times New Roman" w:eastAsia="Times New Roman" w:hAnsi="Times New Roman"/>
          <w:sz w:val="17"/>
          <w:szCs w:val="17"/>
          <w:u w:val="single" w:color="auto"/>
          <w:color w:val="auto"/>
        </w:rPr>
        <w:t>Section 9.5(b)</w:t>
      </w:r>
    </w:p>
    <w:p>
      <w:pPr>
        <w:spacing w:after="0" w:line="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Company does not so consummate such Data Support Business Opportunity during such 240-day period, then the Company shall not commence or continue a process for such Data Support Business Opportunity or enter into any definitive agreement for, or close, such Data Support Business Opportunity without again complying with all of the notice and negotiation procedures and requirements set forth in this </w:t>
      </w:r>
      <w:r>
        <w:rPr>
          <w:rFonts w:ascii="Times New Roman" w:cs="Times New Roman" w:eastAsia="Times New Roman" w:hAnsi="Times New Roman"/>
          <w:sz w:val="17"/>
          <w:szCs w:val="17"/>
          <w:u w:val="single" w:color="auto"/>
          <w:color w:val="auto"/>
        </w:rPr>
        <w:t>Section 9.5(b)</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40" w:firstLine="960"/>
        <w:spacing w:after="0" w:line="266" w:lineRule="auto"/>
        <w:rPr>
          <w:sz w:val="20"/>
          <w:szCs w:val="20"/>
          <w:color w:val="auto"/>
        </w:rPr>
      </w:pPr>
      <w:r>
        <w:rPr>
          <w:rFonts w:ascii="Times New Roman" w:cs="Times New Roman" w:eastAsia="Times New Roman" w:hAnsi="Times New Roman"/>
          <w:sz w:val="17"/>
          <w:szCs w:val="17"/>
          <w:color w:val="auto"/>
        </w:rPr>
        <w:t xml:space="preserve">(v)  For the avoidance of doubt, the rights set forth in this </w:t>
      </w:r>
      <w:r>
        <w:rPr>
          <w:rFonts w:ascii="Times New Roman" w:cs="Times New Roman" w:eastAsia="Times New Roman" w:hAnsi="Times New Roman"/>
          <w:sz w:val="17"/>
          <w:szCs w:val="17"/>
          <w:u w:val="single" w:color="auto"/>
          <w:color w:val="auto"/>
        </w:rPr>
        <w:t>Section 9.5(b)</w:t>
      </w:r>
      <w:r>
        <w:rPr>
          <w:rFonts w:ascii="Times New Roman" w:cs="Times New Roman" w:eastAsia="Times New Roman" w:hAnsi="Times New Roman"/>
          <w:sz w:val="17"/>
          <w:szCs w:val="17"/>
          <w:color w:val="auto"/>
        </w:rPr>
        <w:t xml:space="preserve"> shall apply with respect to each proposed Data Support Business Opportunity and in the event that the terms of a particular Data Support Business Opportunity change relative to the terms set forth in the applicable Data Support Business Opportunity ROFR Notice, the Company shall be required to again comply with all the obligation set forth in this </w:t>
      </w:r>
      <w:r>
        <w:rPr>
          <w:rFonts w:ascii="Times New Roman" w:cs="Times New Roman" w:eastAsia="Times New Roman" w:hAnsi="Times New Roman"/>
          <w:sz w:val="17"/>
          <w:szCs w:val="17"/>
          <w:u w:val="single" w:color="auto"/>
          <w:color w:val="auto"/>
        </w:rPr>
        <w:t>Section 9.5(b)</w:t>
      </w:r>
      <w:r>
        <w:rPr>
          <w:rFonts w:ascii="Times New Roman" w:cs="Times New Roman" w:eastAsia="Times New Roman" w:hAnsi="Times New Roman"/>
          <w:sz w:val="17"/>
          <w:szCs w:val="17"/>
          <w:color w:val="auto"/>
        </w:rPr>
        <w:t xml:space="preserve">, including delivery of a new Data Support Business Opportunity ROFR Notice. Each Shareholder shall take any necessary actions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in order to effect the terms of this </w:t>
      </w:r>
      <w:r>
        <w:rPr>
          <w:rFonts w:ascii="Times New Roman" w:cs="Times New Roman" w:eastAsia="Times New Roman" w:hAnsi="Times New Roman"/>
          <w:sz w:val="17"/>
          <w:szCs w:val="17"/>
          <w:u w:val="single" w:color="auto"/>
          <w:color w:val="auto"/>
        </w:rPr>
        <w:t>Section 9.5(b)</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firstLine="426"/>
        <w:spacing w:after="0" w:line="276"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License of Additional Records</w:t>
      </w:r>
      <w:r>
        <w:rPr>
          <w:rFonts w:ascii="Times New Roman" w:cs="Times New Roman" w:eastAsia="Times New Roman" w:hAnsi="Times New Roman"/>
          <w:sz w:val="17"/>
          <w:szCs w:val="17"/>
          <w:color w:val="auto"/>
        </w:rPr>
        <w:t>. From and after the Closing, pursuant to Section 2(c) of the Data License Agreement, the Board shall have the option to authorize the purchase of additional licenses of Unrestricted De-Identified Records, as the Data License Agreement defines such term. The Tempus Shareholder shall ensure that its nominee Directors do not unreasonably withhold their approval of such authorization.</w:t>
      </w:r>
    </w:p>
    <w:p>
      <w:pPr>
        <w:spacing w:after="0" w:line="162" w:lineRule="exact"/>
        <w:rPr>
          <w:sz w:val="20"/>
          <w:szCs w:val="20"/>
          <w:color w:val="auto"/>
        </w:rPr>
      </w:pPr>
    </w:p>
    <w:p>
      <w:pPr>
        <w:ind w:right="180" w:firstLine="426"/>
        <w:spacing w:after="0" w:line="276"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From and after the Closing, the Company shall keep its assets and those of its Subsidiaries which are of an insurable character insured by financially sound and reputable insurers against loss or damage by fire, explosion and other risks customarily insured against by companies in the Company’s line of business, and maintain, with financially sound and reputable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660"/>
          </w:cols>
          <w:pgMar w:left="620" w:top="265" w:right="619" w:bottom="1440" w:gutter="0" w:footer="0" w:header="0"/>
        </w:sectPr>
      </w:pPr>
    </w:p>
    <w:bookmarkStart w:id="487" w:name="page488"/>
    <w:bookmarkEnd w:id="487"/>
    <w:p>
      <w:pPr>
        <w:ind w:left="8"/>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insurers, insurance against other hazards and risks and liability to persons and property to the extent and in the manner customary for companies in similar businesses similarly situated. At all times after the Closing, the Company shall procure and maintain directors’ and officers’ fiduciary and related liability insurance from financially sound and reputable insurers in an amount and on terms and conditions satisfactory to the Board.</w:t>
      </w:r>
    </w:p>
    <w:p>
      <w:pPr>
        <w:spacing w:after="0" w:line="162" w:lineRule="exact"/>
        <w:rPr>
          <w:sz w:val="20"/>
          <w:szCs w:val="20"/>
          <w:color w:val="auto"/>
        </w:rPr>
      </w:pPr>
    </w:p>
    <w:p>
      <w:pPr>
        <w:ind w:left="8" w:right="120" w:firstLine="426"/>
        <w:spacing w:after="0" w:line="276"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Accounts and Records</w:t>
      </w:r>
      <w:r>
        <w:rPr>
          <w:rFonts w:ascii="Times New Roman" w:cs="Times New Roman" w:eastAsia="Times New Roman" w:hAnsi="Times New Roman"/>
          <w:sz w:val="17"/>
          <w:szCs w:val="17"/>
          <w:color w:val="auto"/>
        </w:rPr>
        <w:t>. Subject to the last sentence of Section 7.14(b), from and after the Closing, the Company shall keep true records and books of account in which full, true and correct entries will be made of all dealings or transactions in relation to its business and affairs in accordance with US GAAP.</w:t>
      </w:r>
    </w:p>
    <w:p>
      <w:pPr>
        <w:spacing w:after="0" w:line="162" w:lineRule="exact"/>
        <w:rPr>
          <w:sz w:val="20"/>
          <w:szCs w:val="20"/>
          <w:color w:val="auto"/>
        </w:rPr>
      </w:pPr>
    </w:p>
    <w:p>
      <w:pPr>
        <w:ind w:left="8" w:right="80" w:firstLine="426"/>
        <w:spacing w:after="0" w:line="276" w:lineRule="auto"/>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Maintenance of Corporate Existence, Etc</w:t>
      </w:r>
      <w:r>
        <w:rPr>
          <w:rFonts w:ascii="Times New Roman" w:cs="Times New Roman" w:eastAsia="Times New Roman" w:hAnsi="Times New Roman"/>
          <w:sz w:val="17"/>
          <w:szCs w:val="17"/>
          <w:color w:val="auto"/>
        </w:rPr>
        <w:t>. From and after the Closing, the Company shall maintain in full force and effect its corporate existence, rights and franchises and all licenses and other rights in or to use Intellectual Property Rights owned or possessed by it or any Subsidiary and deemed by the Company to be necessary to the conduct of their business.</w:t>
      </w:r>
    </w:p>
    <w:p>
      <w:pPr>
        <w:spacing w:after="0" w:line="162" w:lineRule="exact"/>
        <w:rPr>
          <w:sz w:val="20"/>
          <w:szCs w:val="20"/>
          <w:color w:val="auto"/>
        </w:rPr>
      </w:pPr>
    </w:p>
    <w:p>
      <w:pPr>
        <w:ind w:left="8" w:right="200" w:firstLine="426"/>
        <w:spacing w:after="0" w:line="276" w:lineRule="auto"/>
        <w:rPr>
          <w:sz w:val="20"/>
          <w:szCs w:val="20"/>
          <w:color w:val="auto"/>
        </w:rPr>
      </w:pPr>
      <w:r>
        <w:rPr>
          <w:rFonts w:ascii="Times New Roman" w:cs="Times New Roman" w:eastAsia="Times New Roman" w:hAnsi="Times New Roman"/>
          <w:sz w:val="17"/>
          <w:szCs w:val="17"/>
          <w:color w:val="auto"/>
        </w:rPr>
        <w:t xml:space="preserve">9.10  </w:t>
      </w:r>
      <w:r>
        <w:rPr>
          <w:rFonts w:ascii="Times New Roman" w:cs="Times New Roman" w:eastAsia="Times New Roman" w:hAnsi="Times New Roman"/>
          <w:sz w:val="17"/>
          <w:szCs w:val="17"/>
          <w:u w:val="single" w:color="auto"/>
          <w:color w:val="auto"/>
        </w:rPr>
        <w:t>Proprietary Information and Inventions Agreements</w:t>
      </w:r>
      <w:r>
        <w:rPr>
          <w:rFonts w:ascii="Times New Roman" w:cs="Times New Roman" w:eastAsia="Times New Roman" w:hAnsi="Times New Roman"/>
          <w:sz w:val="17"/>
          <w:szCs w:val="17"/>
          <w:color w:val="auto"/>
        </w:rPr>
        <w:t>. From and after the Closing, the Company shall procure from each Person employed by, contracting with or seconded to, it or any Subsidiary to enter into a proprietary information and inventions agreement in a form reasonably satisfactory to the Company.</w:t>
      </w:r>
    </w:p>
    <w:p>
      <w:pPr>
        <w:spacing w:after="0" w:line="2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10.   Representations and Warranties of the SBG Shareholder</w:t>
      </w:r>
    </w:p>
    <w:p>
      <w:pPr>
        <w:spacing w:after="0" w:line="120" w:lineRule="exact"/>
        <w:rPr>
          <w:sz w:val="20"/>
          <w:szCs w:val="20"/>
          <w:color w:val="auto"/>
        </w:rPr>
      </w:pPr>
    </w:p>
    <w:p>
      <w:pPr>
        <w:ind w:left="8" w:right="380" w:firstLine="426"/>
        <w:spacing w:after="0" w:line="295" w:lineRule="auto"/>
        <w:rPr>
          <w:sz w:val="20"/>
          <w:szCs w:val="20"/>
          <w:color w:val="auto"/>
        </w:rPr>
      </w:pPr>
      <w:r>
        <w:rPr>
          <w:rFonts w:ascii="Times New Roman" w:cs="Times New Roman" w:eastAsia="Times New Roman" w:hAnsi="Times New Roman"/>
          <w:sz w:val="17"/>
          <w:szCs w:val="17"/>
          <w:color w:val="auto"/>
        </w:rPr>
        <w:t>The SBG Shareholder hereby represents and warrants to the Tempus Shareholder as of the Effective Date and the Closing Date (or as of such other date and time as may be expressly provided herein) as follows:</w:t>
      </w:r>
    </w:p>
    <w:p>
      <w:pPr>
        <w:spacing w:after="0" w:line="145" w:lineRule="exact"/>
        <w:rPr>
          <w:sz w:val="20"/>
          <w:szCs w:val="20"/>
          <w:color w:val="auto"/>
        </w:rPr>
      </w:pPr>
    </w:p>
    <w:p>
      <w:pPr>
        <w:ind w:left="8" w:right="40" w:firstLine="426"/>
        <w:spacing w:after="0" w:line="262"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Organization and Power</w:t>
      </w:r>
      <w:r>
        <w:rPr>
          <w:rFonts w:ascii="Times New Roman" w:cs="Times New Roman" w:eastAsia="Times New Roman" w:hAnsi="Times New Roman"/>
          <w:sz w:val="17"/>
          <w:szCs w:val="17"/>
          <w:color w:val="auto"/>
        </w:rPr>
        <w:t xml:space="preserve">. The SBG Shareholder is a </w:t>
      </w:r>
      <w:r>
        <w:rPr>
          <w:rFonts w:ascii="Times New Roman" w:cs="Times New Roman" w:eastAsia="Times New Roman" w:hAnsi="Times New Roman"/>
          <w:sz w:val="17"/>
          <w:szCs w:val="17"/>
          <w:i w:val="1"/>
          <w:iCs w:val="1"/>
          <w:color w:val="auto"/>
        </w:rPr>
        <w:t>kabushiki kaisha</w:t>
      </w:r>
      <w:r>
        <w:rPr>
          <w:rFonts w:ascii="Times New Roman" w:cs="Times New Roman" w:eastAsia="Times New Roman" w:hAnsi="Times New Roman"/>
          <w:sz w:val="17"/>
          <w:szCs w:val="17"/>
          <w:color w:val="auto"/>
        </w:rPr>
        <w:t>, duly formed and validly existing and, to the extent such concept is applicable, in good standing under the Laws of Japan. The SBG Shareholder is duly qualified or licensed to do business and, to the extent such concept is applicable, in good standing in those jurisdictions where the conduct or nature of their business makes such qualification or license necessary, except for those jurisdictions in which the failure by the SBG Shareholder to be so qualified or licensed would not reasonably be expected to have, individually or in the aggregate, an SBG Material Adverse Effect. The SBG Shareholder has all requisite corporate power and authority to own, operate, lease or otherwise hold its properties and assets and to conduct its business as presently conducted, except as would not reasonably be expected to have, individually or in the aggregate, an SBG Material Adverse Effect. The SBG Shareholder has the power and authority to execute and deliver this Agreement and the other Transaction Documents to which such it is a party and to carry out the transactions contemplated hereby and thereby.</w:t>
      </w:r>
    </w:p>
    <w:p>
      <w:pPr>
        <w:spacing w:after="0" w:line="175" w:lineRule="exact"/>
        <w:rPr>
          <w:sz w:val="20"/>
          <w:szCs w:val="20"/>
          <w:color w:val="auto"/>
        </w:rPr>
      </w:pPr>
    </w:p>
    <w:p>
      <w:pPr>
        <w:ind w:left="8" w:right="20" w:firstLine="426"/>
        <w:spacing w:after="0" w:line="269"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As of the Closing, (a) the Company is a </w:t>
      </w:r>
      <w:r>
        <w:rPr>
          <w:rFonts w:ascii="Times New Roman" w:cs="Times New Roman" w:eastAsia="Times New Roman" w:hAnsi="Times New Roman"/>
          <w:sz w:val="17"/>
          <w:szCs w:val="17"/>
          <w:i w:val="1"/>
          <w:iCs w:val="1"/>
          <w:color w:val="auto"/>
        </w:rPr>
        <w:t>kabushiki kaisha</w:t>
      </w:r>
      <w:r>
        <w:rPr>
          <w:rFonts w:ascii="Times New Roman" w:cs="Times New Roman" w:eastAsia="Times New Roman" w:hAnsi="Times New Roman"/>
          <w:sz w:val="17"/>
          <w:szCs w:val="17"/>
          <w:color w:val="auto"/>
        </w:rPr>
        <w:t xml:space="preserve"> duly incorporated and validly existing under the Laws of Japan, (b) the sole owner of the SBG Existing Shares is the SBG Shareholder, which owns such SBG Shareholder Existing Shares free and clear of any and all Liens,</w:t>
      </w:r>
    </w:p>
    <w:p>
      <w:pPr>
        <w:ind w:left="8" w:right="340" w:hanging="8"/>
        <w:spacing w:after="0" w:line="273" w:lineRule="auto"/>
        <w:tabs>
          <w:tab w:leader="none" w:pos="245"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engaged in any activity, business or other operation since its organization, other than incorporation-related matters and any actions taken to carry out the transactions contemplated by this Agreement and the other Transaction Documents, (d) the</w:t>
      </w:r>
    </w:p>
    <w:p>
      <w:pPr>
        <w:spacing w:after="0" w:line="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648"/>
          </w:cols>
          <w:pgMar w:left="612" w:top="264" w:right="639" w:bottom="1440" w:gutter="0" w:footer="0" w:header="0"/>
        </w:sectPr>
      </w:pPr>
    </w:p>
    <w:bookmarkStart w:id="488" w:name="page489"/>
    <w:bookmarkEnd w:id="488"/>
    <w:p>
      <w:pPr>
        <w:ind w:left="8" w:right="38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Company does not owe any debts, liabilities, taxes or other obligations to any Person and (e) the articles of incorporation of the Company are in the form of the Articles.</w:t>
      </w:r>
    </w:p>
    <w:p>
      <w:pPr>
        <w:spacing w:after="0" w:line="147" w:lineRule="exact"/>
        <w:rPr>
          <w:sz w:val="20"/>
          <w:szCs w:val="20"/>
          <w:color w:val="auto"/>
        </w:rPr>
      </w:pPr>
    </w:p>
    <w:p>
      <w:pPr>
        <w:ind w:left="8" w:firstLine="426"/>
        <w:spacing w:after="0" w:line="262"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Authorization and Binding Effect</w:t>
      </w:r>
      <w:r>
        <w:rPr>
          <w:rFonts w:ascii="Times New Roman" w:cs="Times New Roman" w:eastAsia="Times New Roman" w:hAnsi="Times New Roman"/>
          <w:sz w:val="17"/>
          <w:szCs w:val="17"/>
          <w:color w:val="auto"/>
        </w:rPr>
        <w:t>. The execution and delivery of this Agreement and the other Transaction Documents by the SBG Shareholder, the performance by the SBG Shareholder of its obligations hereunder and thereunder and the consummation of the transactions contemplated hereby and thereby in accordance with the terms hereof and thereof have been or shall be duly authorized by all requisite action on the part of the SBG Shareholder. This Agreement and the other Transaction Documents have been or shall be duly executed and delivered by the SBG Shareholder, and, assuming due execution and delivery by the Tempus Shareholder and other parties thereto, constitute or shall constitute legal, valid and binding obligations of the SBG Shareholder, enforceable against the SBG Shareholder in accordance with their respective terms, except as such enforceability may be limited by bankruptcy, insolvency, reorganization, moratorium or similar Laws affecting creditors’ rights generally and by general equitable principles.</w:t>
      </w:r>
    </w:p>
    <w:p>
      <w:pPr>
        <w:spacing w:after="0" w:line="388" w:lineRule="exact"/>
        <w:rPr>
          <w:sz w:val="20"/>
          <w:szCs w:val="20"/>
          <w:color w:val="auto"/>
        </w:rPr>
      </w:pPr>
    </w:p>
    <w:p>
      <w:pPr>
        <w:ind w:left="8" w:right="40" w:firstLine="426"/>
        <w:spacing w:after="0" w:line="259"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 xml:space="preserve">. The execution and delivery by the SBG Shareholder of this Agreement and the other Transaction Documents to which it is a party, and the consummation by the SBG Shareholder of the transactions contemplated hereby and thereby in accordance with the terms hereof and thereof, does not and will not (a) violate, conflict with or result in a breach of, cause acceleration to, or constitute a default (or an event which, with notice or lapse of time or both, would constitute a default) under (i) any provision of the organizational documents of the SBG Shareholder; (ii) any of the terms, conditions or provisions of any material Contract to which the SBG Shareholder is a party, or by which the SBG Shareholder or any of its properties is bound or (iii) assuming the accuracy of the representations and warranties of the Tempus Shareholder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any term or provision of any Law or Order applicable to the SBG Shareholder, (b) result in the creation or imposition of any Lien on the properties of the SBG Shareholder, or</w:t>
      </w:r>
    </w:p>
    <w:p>
      <w:pPr>
        <w:spacing w:after="0" w:line="5" w:lineRule="exact"/>
        <w:rPr>
          <w:sz w:val="20"/>
          <w:szCs w:val="20"/>
          <w:color w:val="auto"/>
        </w:rPr>
      </w:pPr>
    </w:p>
    <w:p>
      <w:pPr>
        <w:ind w:left="8" w:right="100" w:hanging="8"/>
        <w:spacing w:after="0" w:line="265" w:lineRule="auto"/>
        <w:tabs>
          <w:tab w:leader="none" w:pos="245"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consent or approval under any of the terms, conditions or provisions of any material Contract to which the SBG Shareholder is a party, or by which the SBG Shareholder or any of its properties is bound, except, in the case of clauses (a)(ii), (a)(iii), (b) and (c) as would not reasonably be expected to have, individually or in the aggregate, an SBG Material Adverse Effect.</w:t>
      </w:r>
    </w:p>
    <w:p>
      <w:pPr>
        <w:spacing w:after="0" w:line="171" w:lineRule="exact"/>
        <w:rPr>
          <w:sz w:val="20"/>
          <w:szCs w:val="20"/>
          <w:color w:val="auto"/>
        </w:rPr>
      </w:pPr>
    </w:p>
    <w:p>
      <w:pPr>
        <w:ind w:left="8" w:right="20" w:firstLine="426"/>
        <w:spacing w:after="0" w:line="267"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Consents and Approvals</w:t>
      </w:r>
      <w:r>
        <w:rPr>
          <w:rFonts w:ascii="Times New Roman" w:cs="Times New Roman" w:eastAsia="Times New Roman" w:hAnsi="Times New Roman"/>
          <w:sz w:val="17"/>
          <w:szCs w:val="17"/>
          <w:color w:val="auto"/>
        </w:rPr>
        <w:t>. The execution, delivery and performance by the SBG Shareholder of this Agreement and the other Transaction Documents does not require any consent, approval, authorization or other action by, or filing with or notification to, any Governmental Authority, except</w:t>
      </w:r>
    </w:p>
    <w:p>
      <w:pPr>
        <w:spacing w:after="0" w:line="1" w:lineRule="exact"/>
        <w:rPr>
          <w:sz w:val="20"/>
          <w:szCs w:val="20"/>
          <w:color w:val="auto"/>
        </w:rPr>
      </w:pPr>
    </w:p>
    <w:p>
      <w:pPr>
        <w:ind w:left="8" w:right="120" w:hanging="8"/>
        <w:spacing w:after="0" w:line="265" w:lineRule="auto"/>
        <w:tabs>
          <w:tab w:leader="none" w:pos="245"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filings necessary for incorporation of the Company (b) Closing Regulatory Approvals, (c) the absence of which are not reasonably likely to prevent, materially delay or materially impair the ability of the SBG Shareholder and its Subsidiaries to consummate the transactions contemplated hereby or thereby and (c) as would not reasonably be expected to have, individually or in the aggregate, an SBG Material Adverse Effect.</w:t>
      </w:r>
    </w:p>
    <w:p>
      <w:pPr>
        <w:spacing w:after="0" w:line="171" w:lineRule="exact"/>
        <w:rPr>
          <w:sz w:val="20"/>
          <w:szCs w:val="20"/>
          <w:color w:val="auto"/>
        </w:rPr>
      </w:pPr>
    </w:p>
    <w:p>
      <w:pPr>
        <w:ind w:left="8" w:right="460" w:firstLine="426"/>
        <w:spacing w:after="0" w:line="295"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Brokers and Finders</w:t>
      </w:r>
      <w:r>
        <w:rPr>
          <w:rFonts w:ascii="Times New Roman" w:cs="Times New Roman" w:eastAsia="Times New Roman" w:hAnsi="Times New Roman"/>
          <w:sz w:val="17"/>
          <w:szCs w:val="17"/>
          <w:color w:val="auto"/>
        </w:rPr>
        <w:t>. No Person acting on behalf or under the authority of the SBG Shareholder is or shall be entitled to any broker’s, finder’s or similar fee or commission in connection with the transactions contemplated hereby.</w:t>
      </w:r>
    </w:p>
    <w:p>
      <w:pPr>
        <w:spacing w:after="0" w:line="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668"/>
          </w:cols>
          <w:pgMar w:left="612" w:top="264" w:right="619" w:bottom="1440" w:gutter="0" w:footer="0" w:header="0"/>
        </w:sectPr>
      </w:pPr>
    </w:p>
    <w:bookmarkStart w:id="489" w:name="page490"/>
    <w:bookmarkEnd w:id="489"/>
    <w:p>
      <w:pPr>
        <w:ind w:left="8" w:right="8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10.7  </w:t>
      </w:r>
      <w:r>
        <w:rPr>
          <w:rFonts w:ascii="Times New Roman" w:cs="Times New Roman" w:eastAsia="Times New Roman" w:hAnsi="Times New Roman"/>
          <w:sz w:val="17"/>
          <w:szCs w:val="17"/>
          <w:u w:val="single" w:color="auto"/>
          <w:color w:val="auto"/>
        </w:rPr>
        <w:t>No Insolvency Event</w:t>
      </w:r>
      <w:r>
        <w:rPr>
          <w:rFonts w:ascii="Times New Roman" w:cs="Times New Roman" w:eastAsia="Times New Roman" w:hAnsi="Times New Roman"/>
          <w:sz w:val="17"/>
          <w:szCs w:val="17"/>
          <w:color w:val="auto"/>
        </w:rPr>
        <w:t>. No Insolvency Event, which may reasonably affect its execution or performance of this Agreement, is pending, or to the best of its knowledge, threatened against it.</w:t>
      </w:r>
    </w:p>
    <w:p>
      <w:pPr>
        <w:spacing w:after="0" w:line="147" w:lineRule="exact"/>
        <w:rPr>
          <w:sz w:val="20"/>
          <w:szCs w:val="20"/>
          <w:color w:val="auto"/>
        </w:rPr>
      </w:pPr>
    </w:p>
    <w:p>
      <w:pPr>
        <w:ind w:left="8" w:right="20" w:firstLine="426"/>
        <w:spacing w:after="0" w:line="295" w:lineRule="auto"/>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7"/>
          <w:szCs w:val="17"/>
          <w:u w:val="single" w:color="auto"/>
          <w:color w:val="auto"/>
        </w:rPr>
        <w:t>No Lawsuit</w:t>
      </w:r>
      <w:r>
        <w:rPr>
          <w:rFonts w:ascii="Times New Roman" w:cs="Times New Roman" w:eastAsia="Times New Roman" w:hAnsi="Times New Roman"/>
          <w:sz w:val="17"/>
          <w:szCs w:val="17"/>
          <w:color w:val="auto"/>
        </w:rPr>
        <w:t>. There is no lawsuit, action, claim, arbitration or legal, administrative or other proceeding or governmental investigation, which may reasonably affect its execution or performance of this Agreement, pending or, to the best of its knowledge, threatened against it in any jurisdiction.</w:t>
      </w:r>
    </w:p>
    <w:p>
      <w:pPr>
        <w:spacing w:after="0" w:line="288" w:lineRule="exact"/>
        <w:rPr>
          <w:sz w:val="20"/>
          <w:szCs w:val="20"/>
          <w:color w:val="auto"/>
        </w:rPr>
      </w:pPr>
    </w:p>
    <w:p>
      <w:pPr>
        <w:ind w:left="428" w:hanging="428"/>
        <w:spacing w:after="0"/>
        <w:tabs>
          <w:tab w:leader="none" w:pos="428"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Representations and Warranties of the Tempus Shareholder</w:t>
      </w:r>
    </w:p>
    <w:p>
      <w:pPr>
        <w:spacing w:after="0" w:line="120" w:lineRule="exact"/>
        <w:rPr>
          <w:sz w:val="20"/>
          <w:szCs w:val="20"/>
          <w:color w:val="auto"/>
        </w:rPr>
      </w:pPr>
    </w:p>
    <w:p>
      <w:pPr>
        <w:ind w:left="8" w:right="400" w:firstLine="426"/>
        <w:spacing w:after="0" w:line="295" w:lineRule="auto"/>
        <w:rPr>
          <w:sz w:val="20"/>
          <w:szCs w:val="20"/>
          <w:color w:val="auto"/>
        </w:rPr>
      </w:pPr>
      <w:r>
        <w:rPr>
          <w:rFonts w:ascii="Times New Roman" w:cs="Times New Roman" w:eastAsia="Times New Roman" w:hAnsi="Times New Roman"/>
          <w:sz w:val="17"/>
          <w:szCs w:val="17"/>
          <w:color w:val="auto"/>
        </w:rPr>
        <w:t>The Tempus Shareholder hereby represents and warrants to the SBG Shareholder as of the Effective Date and the Closing Date (or as of such other date and time as may be expressly provided herein) as follows:</w:t>
      </w:r>
    </w:p>
    <w:p>
      <w:pPr>
        <w:spacing w:after="0" w:line="147" w:lineRule="exact"/>
        <w:rPr>
          <w:sz w:val="20"/>
          <w:szCs w:val="20"/>
          <w:color w:val="auto"/>
        </w:rPr>
      </w:pPr>
    </w:p>
    <w:p>
      <w:pPr>
        <w:ind w:left="8" w:right="20" w:firstLine="426"/>
        <w:spacing w:after="0" w:line="261"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Organization and Power</w:t>
      </w:r>
      <w:r>
        <w:rPr>
          <w:rFonts w:ascii="Times New Roman" w:cs="Times New Roman" w:eastAsia="Times New Roman" w:hAnsi="Times New Roman"/>
          <w:sz w:val="17"/>
          <w:szCs w:val="17"/>
          <w:color w:val="auto"/>
        </w:rPr>
        <w:t>. The Tempus Shareholder is a corporation, duly incorporated and validly existing in good standing under the Laws of the State of Delaware. The Tempus Shareholder is duly qualified or licensed to do business and, to the extent such concept is applicable, in good standing in those jurisdictions where the conduct or nature of their business makes such qualification or license necessary, except for those jurisdictions in which the failure by the Tempus Shareholder to be so qualified or licensed would not reasonably be expected to have, individually or in the aggregate, a Tempus Material Adverse Effect. The Tempus Shareholder has all requisite corporate, limited liability company or similar power and authority to own, operate, lease or otherwise hold its properties and assets and to conduct its business as presently conducted, except as would not reasonably be expected to have, individually or in the aggregate, a Tempus Material Adverse Effect. The Tempus Shareholder has the corporate power and authority to execute and deliver this Agreement and the other Transaction Documents to which it is a party and to carry out the transactions contemplated hereby and thereby.</w:t>
      </w:r>
    </w:p>
    <w:p>
      <w:pPr>
        <w:spacing w:after="0" w:line="390" w:lineRule="exact"/>
        <w:rPr>
          <w:sz w:val="20"/>
          <w:szCs w:val="20"/>
          <w:color w:val="auto"/>
        </w:rPr>
      </w:pPr>
    </w:p>
    <w:p>
      <w:pPr>
        <w:ind w:left="8" w:firstLine="426"/>
        <w:spacing w:after="0" w:line="262"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Authorization and Binding Effect</w:t>
      </w:r>
      <w:r>
        <w:rPr>
          <w:rFonts w:ascii="Times New Roman" w:cs="Times New Roman" w:eastAsia="Times New Roman" w:hAnsi="Times New Roman"/>
          <w:sz w:val="17"/>
          <w:szCs w:val="17"/>
          <w:color w:val="auto"/>
        </w:rPr>
        <w:t>. The execution and delivery of this Agreement and the other Transaction Documents by the Tempus Shareholder, the performance by the Tempus Shareholder of its obligations hereunder and thereunder and the consummation of the transactions contemplated hereby and thereby in accordance with the terms hereof and thereof have been or shall be duly authorized by all requisite action on the part of the Tempus Shareholder. This Agreement and the other Transaction Documents have been or shall be duly executed and delivered by the Tempus Shareholder, and, assuming due execution and delivery by the SBG Shareholder and other parties thereto, constitute or shall constitute legal, valid and binding obligations of the Tempus Shareholder, as applicable, enforceable against the Tempus Shareholder in accordance with their respective terms, except as such enforceability may be limited by bankruptcy, insolvency, reorganization, moratorium or similar Laws affecting creditors’ rights generally and by general equitable principles.</w:t>
      </w:r>
    </w:p>
    <w:p>
      <w:pPr>
        <w:spacing w:after="0" w:line="175" w:lineRule="exact"/>
        <w:rPr>
          <w:sz w:val="20"/>
          <w:szCs w:val="20"/>
          <w:color w:val="auto"/>
        </w:rPr>
      </w:pPr>
    </w:p>
    <w:p>
      <w:pPr>
        <w:jc w:val="both"/>
        <w:ind w:left="8" w:right="80" w:firstLine="426"/>
        <w:spacing w:after="0" w:line="269" w:lineRule="auto"/>
        <w:rPr>
          <w:sz w:val="20"/>
          <w:szCs w:val="20"/>
          <w:color w:val="auto"/>
        </w:rPr>
      </w:pPr>
      <w:r>
        <w:rPr>
          <w:rFonts w:ascii="Times New Roman" w:cs="Times New Roman" w:eastAsia="Times New Roman" w:hAnsi="Times New Roman"/>
          <w:sz w:val="17"/>
          <w:szCs w:val="17"/>
          <w:color w:val="auto"/>
        </w:rPr>
        <w:t xml:space="preserve">11.3  </w:t>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 The execution and delivery by the Tempus Shareholder of this Agreement and the other Transaction Documents to which it is a party, and the consummation by the Tempus Shareholder of the transactions contemplated hereby and thereby in accordance with the terms hereof and thereof, do not and will not (a) violate, conflict with or result in a breach of, cause acceleration to, or constitute a default (or an event which, with notice or lapse of time or</w:t>
      </w:r>
    </w:p>
    <w:p>
      <w:pPr>
        <w:spacing w:after="0" w:line="1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668"/>
          </w:cols>
          <w:pgMar w:left="612" w:top="264" w:right="619" w:bottom="1440" w:gutter="0" w:footer="0" w:header="0"/>
        </w:sectPr>
      </w:pPr>
    </w:p>
    <w:bookmarkStart w:id="490" w:name="page491"/>
    <w:bookmarkEnd w:id="490"/>
    <w:p>
      <w:pPr>
        <w:ind w:left="8"/>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both, would constitute a default) under (i) any provision of the certificate of incorporation or other organizational documents of the Tempus Shareholder,</w:t>
      </w:r>
    </w:p>
    <w:p>
      <w:pPr>
        <w:spacing w:after="0" w:line="32" w:lineRule="exact"/>
        <w:rPr>
          <w:sz w:val="20"/>
          <w:szCs w:val="20"/>
          <w:color w:val="auto"/>
        </w:rPr>
      </w:pPr>
    </w:p>
    <w:p>
      <w:pPr>
        <w:ind w:left="8" w:right="20" w:hanging="8"/>
        <w:spacing w:after="0" w:line="260" w:lineRule="auto"/>
        <w:tabs>
          <w:tab w:leader="none" w:pos="264"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of the terms, conditions or provisions of any material Contract to which the Tempus Shareholder is a party, or by which the Tempus Shareholder or any of its properties is bound or (iii) assuming the accuracy of the representations and warranties of the SBG Shareholder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any term or provision of any Law or Order applicable to the Tempus Shareholder, (b) result in the creation or imposition of any Lien on the properties of the Tempus Shareholder or (c) require consent or approval under any of the terms, conditions or provisions of any material Contract to which the Tempus Shareholder is a party, or by which the Tempus Shareholder or any of its properties is bound, except, in the case of clauses (a)(ii), (a)(iii), (b) and (c) as would not reasonably be expected to have, individually or in the aggregate, a Tempus Material Adverse Effect.</w:t>
      </w:r>
    </w:p>
    <w:p>
      <w:pPr>
        <w:spacing w:after="0" w:line="175" w:lineRule="exact"/>
        <w:rPr>
          <w:sz w:val="20"/>
          <w:szCs w:val="20"/>
          <w:color w:val="auto"/>
        </w:rPr>
      </w:pPr>
    </w:p>
    <w:p>
      <w:pPr>
        <w:ind w:left="8" w:firstLine="426"/>
        <w:spacing w:after="0" w:line="267" w:lineRule="auto"/>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17"/>
          <w:szCs w:val="17"/>
          <w:u w:val="single" w:color="auto"/>
          <w:color w:val="auto"/>
        </w:rPr>
        <w:t>Consents and Approvals</w:t>
      </w:r>
      <w:r>
        <w:rPr>
          <w:rFonts w:ascii="Times New Roman" w:cs="Times New Roman" w:eastAsia="Times New Roman" w:hAnsi="Times New Roman"/>
          <w:sz w:val="17"/>
          <w:szCs w:val="17"/>
          <w:color w:val="auto"/>
        </w:rPr>
        <w:t>. The execution, delivery and performance by the Tempus Shareholder of this Agreement and the other Transaction Documents does not require any consent, approval, authorization or other action by, or filing with or notification to, any Governmental Authority, except</w:t>
      </w:r>
    </w:p>
    <w:p>
      <w:pPr>
        <w:spacing w:after="0" w:line="1" w:lineRule="exact"/>
        <w:rPr>
          <w:sz w:val="20"/>
          <w:szCs w:val="20"/>
          <w:color w:val="auto"/>
        </w:rPr>
      </w:pPr>
    </w:p>
    <w:p>
      <w:pPr>
        <w:ind w:left="8" w:right="140" w:hanging="8"/>
        <w:spacing w:after="0" w:line="265" w:lineRule="auto"/>
        <w:tabs>
          <w:tab w:leader="none" w:pos="245"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Regulatory Approvals, (b) the absence of which are not reasonably likely to prevent, materially delay or materially impair the ability of the Tempus Shareholder to consummate the transactions contemplated hereby or thereby and (c) as would not reasonably be expected to have, individually or in the aggregate, a Tempus Material Adverse Effect.</w:t>
      </w:r>
    </w:p>
    <w:p>
      <w:pPr>
        <w:spacing w:after="0" w:line="171" w:lineRule="exact"/>
        <w:rPr>
          <w:sz w:val="20"/>
          <w:szCs w:val="20"/>
          <w:color w:val="auto"/>
        </w:rPr>
      </w:pPr>
    </w:p>
    <w:p>
      <w:pPr>
        <w:ind w:left="8" w:right="160" w:firstLine="426"/>
        <w:spacing w:after="0" w:line="276" w:lineRule="auto"/>
        <w:rPr>
          <w:sz w:val="20"/>
          <w:szCs w:val="20"/>
          <w:color w:val="auto"/>
        </w:rPr>
      </w:pPr>
      <w:r>
        <w:rPr>
          <w:rFonts w:ascii="Times New Roman" w:cs="Times New Roman" w:eastAsia="Times New Roman" w:hAnsi="Times New Roman"/>
          <w:sz w:val="17"/>
          <w:szCs w:val="17"/>
          <w:color w:val="auto"/>
        </w:rPr>
        <w:t xml:space="preserve">11.5  </w:t>
      </w:r>
      <w:r>
        <w:rPr>
          <w:rFonts w:ascii="Times New Roman" w:cs="Times New Roman" w:eastAsia="Times New Roman" w:hAnsi="Times New Roman"/>
          <w:sz w:val="17"/>
          <w:szCs w:val="17"/>
          <w:u w:val="single" w:color="auto"/>
          <w:color w:val="auto"/>
        </w:rPr>
        <w:t>CFIUS</w:t>
      </w:r>
      <w:r>
        <w:rPr>
          <w:rFonts w:ascii="Times New Roman" w:cs="Times New Roman" w:eastAsia="Times New Roman" w:hAnsi="Times New Roman"/>
          <w:sz w:val="17"/>
          <w:szCs w:val="17"/>
          <w:color w:val="auto"/>
        </w:rPr>
        <w:t>. Neither the Tempus Shareholder nor its Affiliates are, own or control, a U.S. business that produces, designs, tests, manufactures, fabricates or develops one or more critical technologies as defined under 31 C.F.R. 800.215. The Tempus Shareholder has no current intention of engaging in such activities in the future.</w:t>
      </w:r>
    </w:p>
    <w:p>
      <w:pPr>
        <w:spacing w:after="0" w:line="162" w:lineRule="exact"/>
        <w:rPr>
          <w:sz w:val="20"/>
          <w:szCs w:val="20"/>
          <w:color w:val="auto"/>
        </w:rPr>
      </w:pPr>
    </w:p>
    <w:p>
      <w:pPr>
        <w:ind w:left="8" w:right="160" w:firstLine="426"/>
        <w:spacing w:after="0" w:line="264" w:lineRule="auto"/>
        <w:rPr>
          <w:sz w:val="20"/>
          <w:szCs w:val="20"/>
          <w:color w:val="auto"/>
        </w:rPr>
      </w:pPr>
      <w:r>
        <w:rPr>
          <w:rFonts w:ascii="Times New Roman" w:cs="Times New Roman" w:eastAsia="Times New Roman" w:hAnsi="Times New Roman"/>
          <w:sz w:val="17"/>
          <w:szCs w:val="17"/>
          <w:color w:val="auto"/>
        </w:rPr>
        <w:t xml:space="preserve">11.6  </w:t>
      </w:r>
      <w:r>
        <w:rPr>
          <w:rFonts w:ascii="Times New Roman" w:cs="Times New Roman" w:eastAsia="Times New Roman" w:hAnsi="Times New Roman"/>
          <w:sz w:val="17"/>
          <w:szCs w:val="17"/>
          <w:u w:val="single" w:color="auto"/>
          <w:color w:val="auto"/>
        </w:rPr>
        <w:t>Compliance with Data Laws</w:t>
      </w:r>
      <w:r>
        <w:rPr>
          <w:rFonts w:ascii="Times New Roman" w:cs="Times New Roman" w:eastAsia="Times New Roman" w:hAnsi="Times New Roman"/>
          <w:sz w:val="17"/>
          <w:szCs w:val="17"/>
          <w:color w:val="auto"/>
        </w:rPr>
        <w:t>. The Tempus Shareholder is, and at all times since inception has been, in material compliance with all Laws relating to the access, collection, storage, transmission, transfer (including cross-border transfer), disclosure, use, security, disposal or other processing of personal data (the “</w:t>
      </w:r>
      <w:r>
        <w:rPr>
          <w:rFonts w:ascii="Times New Roman" w:cs="Times New Roman" w:eastAsia="Times New Roman" w:hAnsi="Times New Roman"/>
          <w:sz w:val="17"/>
          <w:szCs w:val="17"/>
          <w:u w:val="single" w:color="auto"/>
          <w:color w:val="auto"/>
        </w:rPr>
        <w:t>Data Protection Laws</w:t>
      </w:r>
      <w:r>
        <w:rPr>
          <w:rFonts w:ascii="Times New Roman" w:cs="Times New Roman" w:eastAsia="Times New Roman" w:hAnsi="Times New Roman"/>
          <w:sz w:val="17"/>
          <w:szCs w:val="17"/>
          <w:color w:val="auto"/>
        </w:rPr>
        <w:t>”), including Health Insurance Portability and Accountability Act of 1996, as amended by the Health Information Technology for Economic and Clinical Health Act, including all binding rules and regulations promulgated thereunder (“</w:t>
      </w:r>
      <w:r>
        <w:rPr>
          <w:rFonts w:ascii="Times New Roman" w:cs="Times New Roman" w:eastAsia="Times New Roman" w:hAnsi="Times New Roman"/>
          <w:sz w:val="17"/>
          <w:szCs w:val="17"/>
          <w:u w:val="single" w:color="auto"/>
          <w:color w:val="auto"/>
        </w:rPr>
        <w:t>HIPAA</w:t>
      </w:r>
      <w:r>
        <w:rPr>
          <w:rFonts w:ascii="Times New Roman" w:cs="Times New Roman" w:eastAsia="Times New Roman" w:hAnsi="Times New Roman"/>
          <w:sz w:val="17"/>
          <w:szCs w:val="17"/>
          <w:color w:val="auto"/>
        </w:rPr>
        <w:t>”) with regard to protected health information (as such term is defined under HIPAA). The data licensed by the Tempus Shareholder has been collected and licensed in compliance with the Data Protection Laws and de-identified in compliance with 45 C.F.R. § 164.514.</w:t>
      </w:r>
    </w:p>
    <w:p>
      <w:pPr>
        <w:spacing w:after="0" w:line="173" w:lineRule="exact"/>
        <w:rPr>
          <w:sz w:val="20"/>
          <w:szCs w:val="20"/>
          <w:color w:val="auto"/>
        </w:rPr>
      </w:pPr>
    </w:p>
    <w:p>
      <w:pPr>
        <w:ind w:left="8" w:right="240" w:firstLine="426"/>
        <w:spacing w:after="0" w:line="295" w:lineRule="auto"/>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17"/>
          <w:szCs w:val="17"/>
          <w:u w:val="single" w:color="auto"/>
          <w:color w:val="auto"/>
        </w:rPr>
        <w:t>Brokers and Finders</w:t>
      </w:r>
      <w:r>
        <w:rPr>
          <w:rFonts w:ascii="Times New Roman" w:cs="Times New Roman" w:eastAsia="Times New Roman" w:hAnsi="Times New Roman"/>
          <w:sz w:val="17"/>
          <w:szCs w:val="17"/>
          <w:color w:val="auto"/>
        </w:rPr>
        <w:t>. No Person acting on behalf or under the authority of the Tempus Shareholder is or shall be entitled to any broker’s, finder’s or similar fee or commission in connection with the transactions contemplated hereby.</w:t>
      </w:r>
    </w:p>
    <w:p>
      <w:pPr>
        <w:spacing w:after="0" w:line="147" w:lineRule="exact"/>
        <w:rPr>
          <w:sz w:val="20"/>
          <w:szCs w:val="20"/>
          <w:color w:val="auto"/>
        </w:rPr>
      </w:pPr>
    </w:p>
    <w:p>
      <w:pPr>
        <w:ind w:left="8" w:right="60" w:firstLine="426"/>
        <w:spacing w:after="0" w:line="295" w:lineRule="auto"/>
        <w:rPr>
          <w:sz w:val="20"/>
          <w:szCs w:val="20"/>
          <w:color w:val="auto"/>
        </w:rPr>
      </w:pPr>
      <w:r>
        <w:rPr>
          <w:rFonts w:ascii="Times New Roman" w:cs="Times New Roman" w:eastAsia="Times New Roman" w:hAnsi="Times New Roman"/>
          <w:sz w:val="17"/>
          <w:szCs w:val="17"/>
          <w:color w:val="auto"/>
        </w:rPr>
        <w:t xml:space="preserve">11.8  </w:t>
      </w:r>
      <w:r>
        <w:rPr>
          <w:rFonts w:ascii="Times New Roman" w:cs="Times New Roman" w:eastAsia="Times New Roman" w:hAnsi="Times New Roman"/>
          <w:sz w:val="17"/>
          <w:szCs w:val="17"/>
          <w:u w:val="single" w:color="auto"/>
          <w:color w:val="auto"/>
        </w:rPr>
        <w:t>No Insolvency Event</w:t>
      </w:r>
      <w:r>
        <w:rPr>
          <w:rFonts w:ascii="Times New Roman" w:cs="Times New Roman" w:eastAsia="Times New Roman" w:hAnsi="Times New Roman"/>
          <w:sz w:val="17"/>
          <w:szCs w:val="17"/>
          <w:color w:val="auto"/>
        </w:rPr>
        <w:t>. No Insolvency Event, which may reasonably affect its execution or performance of this Agreement, is pending, or to the best of its knowledge, threatened against it.</w:t>
      </w:r>
    </w:p>
    <w:p>
      <w:pPr>
        <w:spacing w:after="0" w:line="147" w:lineRule="exact"/>
        <w:rPr>
          <w:sz w:val="20"/>
          <w:szCs w:val="20"/>
          <w:color w:val="auto"/>
        </w:rPr>
      </w:pPr>
    </w:p>
    <w:p>
      <w:pPr>
        <w:ind w:left="8" w:firstLine="426"/>
        <w:spacing w:after="0" w:line="295" w:lineRule="auto"/>
        <w:rPr>
          <w:sz w:val="20"/>
          <w:szCs w:val="20"/>
          <w:color w:val="auto"/>
        </w:rPr>
      </w:pPr>
      <w:r>
        <w:rPr>
          <w:rFonts w:ascii="Times New Roman" w:cs="Times New Roman" w:eastAsia="Times New Roman" w:hAnsi="Times New Roman"/>
          <w:sz w:val="17"/>
          <w:szCs w:val="17"/>
          <w:color w:val="auto"/>
        </w:rPr>
        <w:t xml:space="preserve">11.9  </w:t>
      </w:r>
      <w:r>
        <w:rPr>
          <w:rFonts w:ascii="Times New Roman" w:cs="Times New Roman" w:eastAsia="Times New Roman" w:hAnsi="Times New Roman"/>
          <w:sz w:val="17"/>
          <w:szCs w:val="17"/>
          <w:u w:val="single" w:color="auto"/>
          <w:color w:val="auto"/>
        </w:rPr>
        <w:t>No Lawsuit</w:t>
      </w:r>
      <w:r>
        <w:rPr>
          <w:rFonts w:ascii="Times New Roman" w:cs="Times New Roman" w:eastAsia="Times New Roman" w:hAnsi="Times New Roman"/>
          <w:sz w:val="17"/>
          <w:szCs w:val="17"/>
          <w:color w:val="auto"/>
        </w:rPr>
        <w:t>. There is no lawsuit, action, claim, arbitration or legal, administrative or other proceeding or governmental investigation, which may reasonably affect its execution or performance of this Agreement, pending or, to the best of its knowledge, threatened against it in any jurisdiction.</w:t>
      </w:r>
    </w:p>
    <w:p>
      <w:pPr>
        <w:spacing w:after="0" w:line="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648"/>
          </w:cols>
          <w:pgMar w:left="612" w:top="264" w:right="639" w:bottom="1440" w:gutter="0" w:footer="0" w:header="0"/>
        </w:sectPr>
      </w:pPr>
    </w:p>
    <w:bookmarkStart w:id="491" w:name="page492"/>
    <w:bookmarkEnd w:id="491"/>
    <w:p>
      <w:pPr>
        <w:ind w:left="428" w:hanging="428"/>
        <w:spacing w:after="0"/>
        <w:tabs>
          <w:tab w:leader="none" w:pos="428" w:val="left"/>
        </w:tabs>
        <w:numPr>
          <w:ilvl w:val="0"/>
          <w:numId w:val="2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Fair Market Value</w:t>
      </w:r>
    </w:p>
    <w:p>
      <w:pPr>
        <w:spacing w:after="0" w:line="120" w:lineRule="exact"/>
        <w:rPr>
          <w:sz w:val="20"/>
          <w:szCs w:val="20"/>
          <w:color w:val="auto"/>
        </w:rPr>
      </w:pPr>
    </w:p>
    <w:p>
      <w:pPr>
        <w:ind w:left="8" w:firstLine="426"/>
        <w:spacing w:after="0" w:line="258" w:lineRule="auto"/>
        <w:rPr>
          <w:sz w:val="20"/>
          <w:szCs w:val="20"/>
          <w:color w:val="auto"/>
        </w:rPr>
      </w:pPr>
      <w:r>
        <w:rPr>
          <w:rFonts w:ascii="Times New Roman" w:cs="Times New Roman" w:eastAsia="Times New Roman" w:hAnsi="Times New Roman"/>
          <w:sz w:val="17"/>
          <w:szCs w:val="17"/>
          <w:color w:val="auto"/>
        </w:rPr>
        <w:t>12.1  The “</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of assets as of the Fair Market Value Determination Date will be the fair value for such assets, as determined by an independent Big 4 Accounting Firm, or, if no such accounting firm is independent, such other independent third-party, internationally recognized, independent valuation agent (the “</w:t>
      </w:r>
      <w:r>
        <w:rPr>
          <w:rFonts w:ascii="Times New Roman" w:cs="Times New Roman" w:eastAsia="Times New Roman" w:hAnsi="Times New Roman"/>
          <w:sz w:val="17"/>
          <w:szCs w:val="17"/>
          <w:u w:val="single" w:color="auto"/>
          <w:color w:val="auto"/>
        </w:rPr>
        <w:t>Independent Appraiser</w:t>
      </w:r>
      <w:r>
        <w:rPr>
          <w:rFonts w:ascii="Times New Roman" w:cs="Times New Roman" w:eastAsia="Times New Roman" w:hAnsi="Times New Roman"/>
          <w:sz w:val="17"/>
          <w:szCs w:val="17"/>
          <w:color w:val="auto"/>
        </w:rPr>
        <w:t xml:space="preserve">”) selected by the Board and mutually consented to by the Initial Shareholders, such consent not to be unreasonably withheld, conditioned or delayed, to deliver a written determination of the Fair Market Value of such assets (such determination to include a report setting forth all material analyses used in arriving at such determination, which, for the avoidance of doubt, such analyses shall assume a sale on arm’s-length terms, that such assets are transferred free of Liens, and taking into account any other factors that the Independent Appraiser reasonably believes should be taken into account) within [***] days of being engaged or such shorter time as the Independent Appraiser and the Board may reasonably determine. Each of the Initial Shareholders is entitled to make submissions to the Independent Appraiser, including oral submissions, and will provide (or ensure that the Company provides) the Independent Appraiser with such assistance and documents as the Independent Appraiser reasonably requests for the purpose of reaching a determination of the Fair Market Value, subject to the Independent Appraiser agreeing to provide such confidentiality undertakings as the Initial Shareholders or the Company, as applicable, may reasonably require. To the extent not provided for by this </w:t>
      </w:r>
      <w:r>
        <w:rPr>
          <w:rFonts w:ascii="Times New Roman" w:cs="Times New Roman" w:eastAsia="Times New Roman" w:hAnsi="Times New Roman"/>
          <w:sz w:val="17"/>
          <w:szCs w:val="17"/>
          <w:u w:val="single" w:color="auto"/>
          <w:color w:val="auto"/>
        </w:rPr>
        <w:t>Section 12.1</w:t>
      </w:r>
      <w:r>
        <w:rPr>
          <w:rFonts w:ascii="Times New Roman" w:cs="Times New Roman" w:eastAsia="Times New Roman" w:hAnsi="Times New Roman"/>
          <w:sz w:val="17"/>
          <w:szCs w:val="17"/>
          <w:color w:val="auto"/>
        </w:rPr>
        <w:t xml:space="preserve">, the Independent Appraiser may, in its reasonable discretion, determine such other procedures to assist with the valuation as it considers appropriate, including (to the extent it considers necessary) retaining professional advisors to assist it in reaching its determination of the Fair Market Value. The determination of the Independent Appraiser of the Fair Market Value shall be final and binding on the Initial Shareholders (absent manifest error or fraud);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determination shall not change the other requirements of determining the Fair Market Value. For the avoidance of doubt, as used in this </w:t>
      </w:r>
      <w:r>
        <w:rPr>
          <w:rFonts w:ascii="Times New Roman" w:cs="Times New Roman" w:eastAsia="Times New Roman" w:hAnsi="Times New Roman"/>
          <w:sz w:val="17"/>
          <w:szCs w:val="17"/>
          <w:u w:val="single" w:color="auto"/>
          <w:color w:val="auto"/>
        </w:rPr>
        <w:t>Section 12.1</w:t>
      </w:r>
      <w:r>
        <w:rPr>
          <w:rFonts w:ascii="Times New Roman" w:cs="Times New Roman" w:eastAsia="Times New Roman" w:hAnsi="Times New Roman"/>
          <w:sz w:val="17"/>
          <w:szCs w:val="17"/>
          <w:color w:val="auto"/>
        </w:rPr>
        <w:t>, for purposes of any (a) Additional Funding, the “assets” shall mean the enterprise value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any Additional In-Kind Contribution that is approved in accordance with </w:t>
      </w:r>
      <w:r>
        <w:rPr>
          <w:rFonts w:ascii="Times New Roman" w:cs="Times New Roman" w:eastAsia="Times New Roman" w:hAnsi="Times New Roman"/>
          <w:sz w:val="17"/>
          <w:szCs w:val="17"/>
          <w:u w:val="single" w:color="auto"/>
          <w:color w:val="auto"/>
        </w:rPr>
        <w:t>Section 6.2(j)</w:t>
      </w:r>
      <w:r>
        <w:rPr>
          <w:rFonts w:ascii="Times New Roman" w:cs="Times New Roman" w:eastAsia="Times New Roman" w:hAnsi="Times New Roman"/>
          <w:sz w:val="17"/>
          <w:szCs w:val="17"/>
          <w:color w:val="auto"/>
        </w:rPr>
        <w:t>, “assets” shall mean the applicable Additional In-Kind Contribution so approved) and (b) exercise by the Tempus Shareholder of the Consolidation Option, the “assets” shall mean the Controlling Interest.</w:t>
      </w:r>
    </w:p>
    <w:p>
      <w:pPr>
        <w:spacing w:after="0" w:line="200" w:lineRule="exact"/>
        <w:rPr>
          <w:sz w:val="20"/>
          <w:szCs w:val="20"/>
          <w:color w:val="auto"/>
        </w:rPr>
      </w:pPr>
    </w:p>
    <w:p>
      <w:pPr>
        <w:spacing w:after="0" w:line="341" w:lineRule="exact"/>
        <w:rPr>
          <w:sz w:val="20"/>
          <w:szCs w:val="20"/>
          <w:color w:val="auto"/>
        </w:rPr>
      </w:pPr>
    </w:p>
    <w:p>
      <w:pPr>
        <w:ind w:left="428" w:hanging="428"/>
        <w:spacing w:after="0"/>
        <w:tabs>
          <w:tab w:leader="none" w:pos="428" w:val="left"/>
        </w:tabs>
        <w:numPr>
          <w:ilvl w:val="0"/>
          <w:numId w:val="2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 Withdrawal of Shareholders</w:t>
      </w:r>
    </w:p>
    <w:p>
      <w:pPr>
        <w:spacing w:after="0" w:line="120" w:lineRule="exact"/>
        <w:rPr>
          <w:sz w:val="20"/>
          <w:szCs w:val="20"/>
          <w:color w:val="auto"/>
        </w:rPr>
      </w:pPr>
    </w:p>
    <w:p>
      <w:pPr>
        <w:ind w:left="8" w:right="320" w:firstLine="426"/>
        <w:spacing w:after="0" w:line="295"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This Agreement shall be effective as of the Effective Date and shall continue in full force and effect until terminated pursuant to </w:t>
      </w:r>
      <w:r>
        <w:rPr>
          <w:rFonts w:ascii="Times New Roman" w:cs="Times New Roman" w:eastAsia="Times New Roman" w:hAnsi="Times New Roman"/>
          <w:sz w:val="17"/>
          <w:szCs w:val="17"/>
          <w:u w:val="single" w:color="auto"/>
          <w:color w:val="auto"/>
        </w:rPr>
        <w:t>Section 13.2</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as follows:</w:t>
      </w:r>
    </w:p>
    <w:p>
      <w:pPr>
        <w:spacing w:after="0" w:line="2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(a)   by mutual written agreement of the SBG Shareholder and the Tempus Shareholder;</w:t>
      </w:r>
    </w:p>
    <w:p>
      <w:pPr>
        <w:spacing w:after="0" w:line="223" w:lineRule="exact"/>
        <w:rPr>
          <w:sz w:val="20"/>
          <w:szCs w:val="20"/>
          <w:color w:val="auto"/>
        </w:rPr>
      </w:pPr>
    </w:p>
    <w:p>
      <w:pPr>
        <w:ind w:left="8" w:right="20" w:firstLine="426"/>
        <w:spacing w:after="0" w:line="266" w:lineRule="auto"/>
        <w:rPr>
          <w:sz w:val="20"/>
          <w:szCs w:val="20"/>
          <w:color w:val="auto"/>
        </w:rPr>
      </w:pPr>
      <w:r>
        <w:rPr>
          <w:rFonts w:ascii="Times New Roman" w:cs="Times New Roman" w:eastAsia="Times New Roman" w:hAnsi="Times New Roman"/>
          <w:sz w:val="17"/>
          <w:szCs w:val="17"/>
          <w:color w:val="auto"/>
        </w:rPr>
        <w:t>(b)  by either the SBG Shareholder or the Tempus Shareholder, effective immediately upon written notice to the other Initial Shareholder and the Company, at any time after the date that is 180 days after the Effective Date (the “</w:t>
      </w:r>
      <w:r>
        <w:rPr>
          <w:rFonts w:ascii="Times New Roman" w:cs="Times New Roman" w:eastAsia="Times New Roman" w:hAnsi="Times New Roman"/>
          <w:sz w:val="17"/>
          <w:szCs w:val="17"/>
          <w:u w:val="single" w:color="auto"/>
          <w:color w:val="auto"/>
        </w:rPr>
        <w:t>Long Stop Date</w:t>
      </w:r>
      <w:r>
        <w:rPr>
          <w:rFonts w:ascii="Times New Roman" w:cs="Times New Roman" w:eastAsia="Times New Roman" w:hAnsi="Times New Roman"/>
          <w:sz w:val="17"/>
          <w:szCs w:val="17"/>
          <w:color w:val="auto"/>
        </w:rPr>
        <w:t xml:space="preserve">”) if Closing has not occurred by the Long Stop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13.2(b)</w:t>
      </w:r>
      <w:r>
        <w:rPr>
          <w:rFonts w:ascii="Times New Roman" w:cs="Times New Roman" w:eastAsia="Times New Roman" w:hAnsi="Times New Roman"/>
          <w:sz w:val="17"/>
          <w:szCs w:val="17"/>
          <w:color w:val="auto"/>
        </w:rPr>
        <w:t xml:space="preserve"> shall not be available to any Initial Shareholder whose action or failure to act has been a principal cause of or resulted in the failure of the Closing to occur on or before the Long Stop Date and such action or failure to act constitutes a breach of this Agreement;</w:t>
      </w:r>
    </w:p>
    <w:p>
      <w:pPr>
        <w:spacing w:after="0" w:line="106"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608"/>
          </w:cols>
          <w:pgMar w:left="612" w:top="262" w:right="679" w:bottom="1440" w:gutter="0" w:footer="0" w:header="0"/>
        </w:sectPr>
      </w:pPr>
    </w:p>
    <w:bookmarkStart w:id="492" w:name="page493"/>
    <w:bookmarkEnd w:id="492"/>
    <w:p>
      <w:pPr>
        <w:ind w:right="10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(c)  Subject to </w:t>
      </w:r>
      <w:r>
        <w:rPr>
          <w:rFonts w:ascii="Times New Roman" w:cs="Times New Roman" w:eastAsia="Times New Roman" w:hAnsi="Times New Roman"/>
          <w:sz w:val="17"/>
          <w:szCs w:val="17"/>
          <w:u w:val="single" w:color="auto"/>
          <w:color w:val="auto"/>
        </w:rPr>
        <w:t>Section 13.5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13.6</w:t>
      </w:r>
      <w:r>
        <w:rPr>
          <w:rFonts w:ascii="Times New Roman" w:cs="Times New Roman" w:eastAsia="Times New Roman" w:hAnsi="Times New Roman"/>
          <w:sz w:val="17"/>
          <w:szCs w:val="17"/>
          <w:color w:val="auto"/>
        </w:rPr>
        <w:t>, automatically (in its entirety) without notice on the date upon which all Company Securities (other than any Company Securities to be issued to employees of the Company pursuant to an Employee Incentive Plan) are owned by one Shareholder; or</w:t>
      </w:r>
    </w:p>
    <w:p>
      <w:pPr>
        <w:spacing w:after="0" w:line="147" w:lineRule="exact"/>
        <w:rPr>
          <w:sz w:val="20"/>
          <w:szCs w:val="20"/>
          <w:color w:val="auto"/>
        </w:rPr>
      </w:pPr>
    </w:p>
    <w:p>
      <w:pPr>
        <w:ind w:right="80" w:firstLine="426"/>
        <w:spacing w:after="0" w:line="269" w:lineRule="auto"/>
        <w:rPr>
          <w:sz w:val="20"/>
          <w:szCs w:val="20"/>
          <w:color w:val="auto"/>
        </w:rPr>
      </w:pPr>
      <w:r>
        <w:rPr>
          <w:rFonts w:ascii="Times New Roman" w:cs="Times New Roman" w:eastAsia="Times New Roman" w:hAnsi="Times New Roman"/>
          <w:sz w:val="17"/>
          <w:szCs w:val="17"/>
          <w:color w:val="auto"/>
        </w:rPr>
        <w:t xml:space="preserve">(d)  by the commencement of any proceedings for the (voluntary or involuntary) liquidation of the Company in each case subject to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and in accordance with (i) applicable Law, (ii) the passing of an order of any court appointing a provisional liquidator in any other proceeding seeking the liquidation of the Company, (iii) the occurrence of any dissolution event provided in the Companies Act or the Articles or (iv) the Shareholders’ resolution to approve dissolution the Company.</w:t>
      </w:r>
    </w:p>
    <w:p>
      <w:pPr>
        <w:spacing w:after="0" w:line="169" w:lineRule="exact"/>
        <w:rPr>
          <w:sz w:val="20"/>
          <w:szCs w:val="20"/>
          <w:color w:val="auto"/>
        </w:rPr>
      </w:pPr>
    </w:p>
    <w:p>
      <w:pPr>
        <w:ind w:right="40" w:firstLine="426"/>
        <w:spacing w:after="0" w:line="264"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No Withdrawal</w:t>
      </w:r>
      <w:r>
        <w:rPr>
          <w:rFonts w:ascii="Times New Roman" w:cs="Times New Roman" w:eastAsia="Times New Roman" w:hAnsi="Times New Roman"/>
          <w:sz w:val="17"/>
          <w:szCs w:val="17"/>
          <w:color w:val="auto"/>
        </w:rPr>
        <w:t xml:space="preserve">. Except as expressly provided in this Agreement, no Shareholder will have the power or right to withdraw from the Company prior to the dissolution and winding up of the Company pursuant this Agreement, the Articles and applicable Law except with the prior written approval of all the Initial Shareholders. Upon a Transfer of all of a Shareholder’s Company Securities in a Transfer permitted by this Agreement, subject to </w:t>
      </w:r>
      <w:r>
        <w:rPr>
          <w:rFonts w:ascii="Times New Roman" w:cs="Times New Roman" w:eastAsia="Times New Roman" w:hAnsi="Times New Roman"/>
          <w:sz w:val="17"/>
          <w:szCs w:val="17"/>
          <w:u w:val="single" w:color="auto"/>
          <w:color w:val="auto"/>
        </w:rPr>
        <w:t>Section 13.5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13.6</w:t>
      </w:r>
      <w:r>
        <w:rPr>
          <w:rFonts w:ascii="Times New Roman" w:cs="Times New Roman" w:eastAsia="Times New Roman" w:hAnsi="Times New Roman"/>
          <w:sz w:val="17"/>
          <w:szCs w:val="17"/>
          <w:color w:val="auto"/>
        </w:rPr>
        <w:t>, such Shareholder will cease to be a Shareholder. In the case of a Transfer by a Shareholder of less than all such Shareholder’s Company Securities, such Shareholder’s voting and other rights will be reduced proportionately for all other purposes upon the effective time of such Transfer.</w:t>
      </w:r>
    </w:p>
    <w:p>
      <w:pPr>
        <w:spacing w:after="0" w:line="173" w:lineRule="exact"/>
        <w:rPr>
          <w:sz w:val="20"/>
          <w:szCs w:val="20"/>
          <w:color w:val="auto"/>
        </w:rPr>
      </w:pPr>
    </w:p>
    <w:p>
      <w:pPr>
        <w:ind w:firstLine="426"/>
        <w:spacing w:after="0" w:line="276"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xml:space="preserve">. Except as otherwise expressly provided in this Agreement, the withdrawal of any Shareholder as a shareholder of the Company shall not have any effect on this Agreement or any of the other Transaction Documents for the remaining Shareholders or the remaining contract parties, subject to </w:t>
      </w:r>
      <w:r>
        <w:rPr>
          <w:rFonts w:ascii="Times New Roman" w:cs="Times New Roman" w:eastAsia="Times New Roman" w:hAnsi="Times New Roman"/>
          <w:sz w:val="17"/>
          <w:szCs w:val="17"/>
          <w:u w:val="single" w:color="auto"/>
          <w:color w:val="auto"/>
        </w:rPr>
        <w:t>Section 13.2(c)</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right="280" w:firstLine="426"/>
        <w:spacing w:after="0" w:line="269"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u w:val="single" w:color="auto"/>
          <w:color w:val="auto"/>
        </w:rPr>
        <w:t>Continuing Liability</w:t>
      </w:r>
      <w:r>
        <w:rPr>
          <w:rFonts w:ascii="Times New Roman" w:cs="Times New Roman" w:eastAsia="Times New Roman" w:hAnsi="Times New Roman"/>
          <w:sz w:val="17"/>
          <w:szCs w:val="17"/>
          <w:color w:val="auto"/>
        </w:rPr>
        <w:t>. Withdrawal from this Agreement for any reason shall not release any Shareholder from any liability or obligation which has already accrued as of the effective date of such withdrawal under this Agreement or any of the other Transaction Documents, and shall not constitute a waiver or release of, or otherwise be deemed to prejudice or adversely affect, any rights, remedies or claims, whether for damages or otherwise, which a Shareholder may have hereunder, at law, in equity or otherwise or which may arise out of or in connection with such withdrawal.</w:t>
      </w:r>
    </w:p>
    <w:p>
      <w:pPr>
        <w:spacing w:after="0" w:line="169" w:lineRule="exact"/>
        <w:rPr>
          <w:sz w:val="20"/>
          <w:szCs w:val="20"/>
          <w:color w:val="auto"/>
        </w:rPr>
      </w:pPr>
    </w:p>
    <w:p>
      <w:pPr>
        <w:ind w:right="260" w:firstLine="426"/>
        <w:spacing w:after="0" w:line="276"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13.5</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13.6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13.7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shall survive the termination of this Agreement. For the avoidance of doubt, termination of this Agreement shall not have any effect on the rights and obligations of the parties under any of the other Transaction Documents.</w:t>
      </w:r>
    </w:p>
    <w:p>
      <w:pPr>
        <w:spacing w:after="0" w:line="162" w:lineRule="exact"/>
        <w:rPr>
          <w:sz w:val="20"/>
          <w:szCs w:val="20"/>
          <w:color w:val="auto"/>
        </w:rPr>
      </w:pPr>
    </w:p>
    <w:p>
      <w:pPr>
        <w:jc w:val="both"/>
        <w:ind w:right="160" w:firstLine="426"/>
        <w:spacing w:after="0" w:line="269"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u w:val="single" w:color="auto"/>
          <w:color w:val="auto"/>
        </w:rPr>
        <w:t>Termination Fee</w:t>
      </w:r>
      <w:r>
        <w:rPr>
          <w:rFonts w:ascii="Times New Roman" w:cs="Times New Roman" w:eastAsia="Times New Roman" w:hAnsi="Times New Roman"/>
          <w:sz w:val="17"/>
          <w:szCs w:val="17"/>
          <w:color w:val="auto"/>
        </w:rPr>
        <w:t xml:space="preserve">. In the event either the SBG Shareholder or the Tempus Shareholder terminates this Agreement prior to the Closing Date pursuant to </w:t>
      </w:r>
      <w:r>
        <w:rPr>
          <w:rFonts w:ascii="Times New Roman" w:cs="Times New Roman" w:eastAsia="Times New Roman" w:hAnsi="Times New Roman"/>
          <w:sz w:val="17"/>
          <w:szCs w:val="17"/>
          <w:u w:val="single" w:color="auto"/>
          <w:color w:val="auto"/>
        </w:rPr>
        <w:t>Section 13.2(b)</w:t>
      </w:r>
      <w:r>
        <w:rPr>
          <w:rFonts w:ascii="Times New Roman" w:cs="Times New Roman" w:eastAsia="Times New Roman" w:hAnsi="Times New Roman"/>
          <w:sz w:val="17"/>
          <w:szCs w:val="17"/>
          <w:color w:val="auto"/>
        </w:rPr>
        <w:t xml:space="preserve"> (the effective date of such termination, the “</w:t>
      </w:r>
      <w:r>
        <w:rPr>
          <w:rFonts w:ascii="Times New Roman" w:cs="Times New Roman" w:eastAsia="Times New Roman" w:hAnsi="Times New Roman"/>
          <w:sz w:val="17"/>
          <w:szCs w:val="17"/>
          <w:u w:val="single" w:color="auto"/>
          <w:color w:val="auto"/>
        </w:rPr>
        <w:t>Long Stop Termination Effective Date</w:t>
      </w:r>
      <w:r>
        <w:rPr>
          <w:rFonts w:ascii="Times New Roman" w:cs="Times New Roman" w:eastAsia="Times New Roman" w:hAnsi="Times New Roman"/>
          <w:sz w:val="17"/>
          <w:szCs w:val="17"/>
          <w:color w:val="auto"/>
        </w:rPr>
        <w:t>”), (a) each of the SBG Shareholder and the Tempus Shareholder shall deliver to the Company, by wire transfer of immediately available funds within [***] days of the Long Stop Termination Effective Date, an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660"/>
          </w:cols>
          <w:pgMar w:left="620" w:top="264" w:right="619" w:bottom="1440" w:gutter="0" w:footer="0" w:header="0"/>
        </w:sectPr>
      </w:pPr>
    </w:p>
    <w:bookmarkStart w:id="493" w:name="page494"/>
    <w:bookmarkEnd w:id="493"/>
    <w:p>
      <w:pPr>
        <w:ind w:left="8"/>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amount equal to [***] of any authorized pre-closing expenses incurred by the Company (the “</w:t>
      </w:r>
      <w:r>
        <w:rPr>
          <w:rFonts w:ascii="Times New Roman" w:cs="Times New Roman" w:eastAsia="Times New Roman" w:hAnsi="Times New Roman"/>
          <w:sz w:val="17"/>
          <w:szCs w:val="17"/>
          <w:u w:val="single" w:color="auto"/>
          <w:color w:val="auto"/>
        </w:rPr>
        <w:t>Pre-closing Fees</w:t>
      </w:r>
      <w:r>
        <w:rPr>
          <w:rFonts w:ascii="Times New Roman" w:cs="Times New Roman" w:eastAsia="Times New Roman" w:hAnsi="Times New Roman"/>
          <w:sz w:val="17"/>
          <w:szCs w:val="17"/>
          <w:color w:val="auto"/>
        </w:rPr>
        <w:t>”) as of the Long Stop Termination Effective Date (which, for clarity, shall not exceed [***] U.S. Dollars (US$ [***]) for each party or [***] U.S. Dollars (US$ [***]) in the aggregate) and</w:t>
      </w:r>
    </w:p>
    <w:p>
      <w:pPr>
        <w:spacing w:after="0" w:line="1" w:lineRule="exact"/>
        <w:rPr>
          <w:sz w:val="20"/>
          <w:szCs w:val="20"/>
          <w:color w:val="auto"/>
        </w:rPr>
      </w:pPr>
    </w:p>
    <w:p>
      <w:pPr>
        <w:jc w:val="both"/>
        <w:ind w:left="8" w:right="20" w:hanging="8"/>
        <w:spacing w:after="0" w:line="262" w:lineRule="auto"/>
        <w:tabs>
          <w:tab w:leader="none" w:pos="25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SBG Shareholder shall cause the Company to pay such Pre-closing Fees by wire transfer of immediately available funds. For clarity, upon the Closing, any Pre-closing Fees incurred pursuant to the Data Access and Preparation Services set forth in the Data License Agreement will be credited against and deemed to be included within the [***] Japanese Yen (¥[***]) amount payable by the Company pursuant to Section 6(b) of the Data License Agreement.</w:t>
      </w:r>
    </w:p>
    <w:p>
      <w:pPr>
        <w:spacing w:after="0" w:line="316" w:lineRule="exact"/>
        <w:rPr>
          <w:sz w:val="20"/>
          <w:szCs w:val="20"/>
          <w:color w:val="auto"/>
        </w:rPr>
      </w:pPr>
    </w:p>
    <w:p>
      <w:pPr>
        <w:ind w:left="428" w:hanging="428"/>
        <w:spacing w:after="0"/>
        <w:tabs>
          <w:tab w:leader="none" w:pos="428" w:val="left"/>
        </w:tabs>
        <w:numPr>
          <w:ilvl w:val="0"/>
          <w:numId w:val="2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Provisions</w:t>
      </w:r>
    </w:p>
    <w:p>
      <w:pPr>
        <w:spacing w:after="0" w:line="120" w:lineRule="exact"/>
        <w:rPr>
          <w:sz w:val="20"/>
          <w:szCs w:val="20"/>
          <w:color w:val="auto"/>
        </w:rPr>
      </w:pPr>
    </w:p>
    <w:p>
      <w:pPr>
        <w:ind w:left="8" w:right="60" w:firstLine="426"/>
        <w:spacing w:after="0" w:line="263" w:lineRule="auto"/>
        <w:rPr>
          <w:sz w:val="20"/>
          <w:szCs w:val="20"/>
          <w:color w:val="auto"/>
        </w:rPr>
      </w:pPr>
      <w:r>
        <w:rPr>
          <w:rFonts w:ascii="Times New Roman" w:cs="Times New Roman" w:eastAsia="Times New Roman" w:hAnsi="Times New Roman"/>
          <w:sz w:val="17"/>
          <w:szCs w:val="17"/>
          <w:color w:val="auto"/>
        </w:rPr>
        <w:t xml:space="preserve">14.1  </w:t>
      </w:r>
      <w:r>
        <w:rPr>
          <w:rFonts w:ascii="Times New Roman" w:cs="Times New Roman" w:eastAsia="Times New Roman" w:hAnsi="Times New Roman"/>
          <w:sz w:val="17"/>
          <w:szCs w:val="17"/>
          <w:u w:val="single" w:color="auto"/>
          <w:color w:val="auto"/>
        </w:rPr>
        <w:t>Limitation of Liabilities</w:t>
      </w:r>
      <w:r>
        <w:rPr>
          <w:rFonts w:ascii="Times New Roman" w:cs="Times New Roman" w:eastAsia="Times New Roman" w:hAnsi="Times New Roman"/>
          <w:sz w:val="17"/>
          <w:szCs w:val="17"/>
          <w:color w:val="auto"/>
        </w:rPr>
        <w:t>. EXCEPT IN RESPECT OF ANY DAMAGES (AS DEFINED IN THIS AGREEMENT) IN CONNECTION WITH ANY THIRD-PARTY CLAIM, IN NO EVENT WILL EITHER INITIAL SHAREHOLDER BE RESPONSIBLE FOR LOST PROFITS OR ANY INDIRECT, SPECIAL OR CONSEQUENTIAL LOSS OR DAMAGE, REGARDLESS OF WHETHER EITHER SHAREHOLDER SHOULD HAVE FORESEEN ANY SPECIAL CIRCUMSTANCES THAT CAUSED SUCH LOSS OR DAMAGE. NOTWITHSTANDING THE FOREGOING, IN NO EVENT SHALL EITHER INITIAL SHAREHOLDER’S AGGREGATE LIABILITY FOR CLAIMS ARISING FROM UNDER THIS AGREEMENT EXCEED AN AMOUNT EQUAL TO ¥[***], EXCEPT IN THE EVENT OF FRAUD, GROSS NEGLIGENCE OR WILLFUL MISCONDUCT.</w:t>
      </w:r>
    </w:p>
    <w:p>
      <w:pPr>
        <w:spacing w:after="0" w:line="387" w:lineRule="exact"/>
        <w:rPr>
          <w:sz w:val="20"/>
          <w:szCs w:val="20"/>
          <w:color w:val="auto"/>
        </w:rPr>
      </w:pPr>
    </w:p>
    <w:p>
      <w:pPr>
        <w:ind w:left="8" w:right="80" w:firstLine="426"/>
        <w:spacing w:after="0" w:line="260" w:lineRule="auto"/>
        <w:rPr>
          <w:sz w:val="20"/>
          <w:szCs w:val="20"/>
          <w:color w:val="auto"/>
        </w:rPr>
      </w:pPr>
      <w:r>
        <w:rPr>
          <w:rFonts w:ascii="Times New Roman" w:cs="Times New Roman" w:eastAsia="Times New Roman" w:hAnsi="Times New Roman"/>
          <w:sz w:val="17"/>
          <w:szCs w:val="17"/>
          <w:color w:val="auto"/>
        </w:rPr>
        <w:t xml:space="preserve">14.2 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Each of the Shareholders (each, an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shall indemnify, defend and hold harmless each of the other Shareholders, the Company and each of their respective Affiliates, officers, directors, employees, shareholders, advisors, consultants, agents and other Representatives (each, an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from and against any loss, liability, claim, damage or expenses (including reasonable legal fees and expenses) (collectively, “</w:t>
      </w:r>
      <w:r>
        <w:rPr>
          <w:rFonts w:ascii="Times New Roman" w:cs="Times New Roman" w:eastAsia="Times New Roman" w:hAnsi="Times New Roman"/>
          <w:sz w:val="17"/>
          <w:szCs w:val="17"/>
          <w:u w:val="single" w:color="auto"/>
          <w:color w:val="auto"/>
        </w:rPr>
        <w:t>Damages</w:t>
      </w:r>
      <w:r>
        <w:rPr>
          <w:rFonts w:ascii="Times New Roman" w:cs="Times New Roman" w:eastAsia="Times New Roman" w:hAnsi="Times New Roman"/>
          <w:sz w:val="17"/>
          <w:szCs w:val="17"/>
          <w:color w:val="auto"/>
        </w:rPr>
        <w:t xml:space="preserve">”) suffered or incurred by any such Indemnified Party in connection with a suit or action instituted by a third party, as a result of or arising out of any breach of any representation, warranty or covenant of the Indemnifying Party contained in or made pursuant to this Agreement. Notwithstanding the foregoing, each Shareholder acknowledges and agrees that any breach of any representation, warranty or covenant of the Indemnifying Party contained in or made pursuant to this Agreement shall permit the Indemnified Party to bring a claim for breach of contract or claims based on other principles in accordance with applicable Law. The remedies set forth in this </w:t>
      </w:r>
      <w:r>
        <w:rPr>
          <w:rFonts w:ascii="Times New Roman" w:cs="Times New Roman" w:eastAsia="Times New Roman" w:hAnsi="Times New Roman"/>
          <w:sz w:val="17"/>
          <w:szCs w:val="17"/>
          <w:u w:val="single" w:color="auto"/>
          <w:color w:val="auto"/>
        </w:rPr>
        <w:t>Section 14.2</w:t>
      </w:r>
      <w:r>
        <w:rPr>
          <w:rFonts w:ascii="Times New Roman" w:cs="Times New Roman" w:eastAsia="Times New Roman" w:hAnsi="Times New Roman"/>
          <w:sz w:val="17"/>
          <w:szCs w:val="17"/>
          <w:color w:val="auto"/>
        </w:rPr>
        <w:t xml:space="preserve"> shall be in addition to any other rights provided by this Agreement, the other Transaction Documents or under applicable Law. The representations and warranties and covenants of the SBG Shareholder and the Tempus Shareholder contained in or made pursuant to this Agreement shall survive the execution and delivery of this Agreement and the Closing and shall in no way be affected by any investigation or knowledge of the subject matter thereof made by or on behalf of the Tempus Shareholder or the SBG Shareholder.</w:t>
      </w:r>
    </w:p>
    <w:p>
      <w:pPr>
        <w:spacing w:after="0" w:line="177" w:lineRule="exact"/>
        <w:rPr>
          <w:sz w:val="20"/>
          <w:szCs w:val="20"/>
          <w:color w:val="auto"/>
        </w:rPr>
      </w:pPr>
    </w:p>
    <w:p>
      <w:pPr>
        <w:jc w:val="both"/>
        <w:ind w:left="8" w:right="180" w:firstLine="426"/>
        <w:spacing w:after="0" w:line="276" w:lineRule="auto"/>
        <w:rPr>
          <w:sz w:val="20"/>
          <w:szCs w:val="20"/>
          <w:color w:val="auto"/>
        </w:rPr>
      </w:pPr>
      <w:r>
        <w:rPr>
          <w:rFonts w:ascii="Times New Roman" w:cs="Times New Roman" w:eastAsia="Times New Roman" w:hAnsi="Times New Roman"/>
          <w:sz w:val="17"/>
          <w:szCs w:val="17"/>
          <w:color w:val="auto"/>
        </w:rPr>
        <w:t xml:space="preserve">14.3 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deemed to be made in and in all respects shall be interpreted, construed and governed by and in accordance with the Laws of Japan without regard to the conflict of laws provisions, rules or principles thereof (or any other jurisdiction) to the extent that such provisions, rules or principles would direct a matter to another jurisdiction.</w:t>
      </w:r>
    </w:p>
    <w:p>
      <w:pPr>
        <w:spacing w:after="0" w:line="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668"/>
          </w:cols>
          <w:pgMar w:left="612" w:top="265" w:right="619" w:bottom="1440" w:gutter="0" w:footer="0" w:header="0"/>
        </w:sectPr>
      </w:pPr>
    </w:p>
    <w:bookmarkStart w:id="494" w:name="page495"/>
    <w:bookmarkEnd w:id="494"/>
    <w:p>
      <w:pPr>
        <w:ind w:left="428"/>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14.4   </w:t>
      </w: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8" w:right="240" w:firstLine="426"/>
        <w:spacing w:after="0" w:line="269" w:lineRule="auto"/>
        <w:rPr>
          <w:sz w:val="20"/>
          <w:szCs w:val="20"/>
          <w:color w:val="auto"/>
        </w:rPr>
      </w:pPr>
      <w:r>
        <w:rPr>
          <w:rFonts w:ascii="Times New Roman" w:cs="Times New Roman" w:eastAsia="Times New Roman" w:hAnsi="Times New Roman"/>
          <w:sz w:val="17"/>
          <w:szCs w:val="17"/>
          <w:color w:val="auto"/>
        </w:rPr>
        <w:t xml:space="preserve">(a)  Subject to </w:t>
      </w:r>
      <w:r>
        <w:rPr>
          <w:rFonts w:ascii="Times New Roman" w:cs="Times New Roman" w:eastAsia="Times New Roman" w:hAnsi="Times New Roman"/>
          <w:sz w:val="17"/>
          <w:szCs w:val="17"/>
          <w:u w:val="single" w:color="auto"/>
          <w:color w:val="auto"/>
        </w:rPr>
        <w:t>Section 7.12</w:t>
      </w:r>
      <w:r>
        <w:rPr>
          <w:rFonts w:ascii="Times New Roman" w:cs="Times New Roman" w:eastAsia="Times New Roman" w:hAnsi="Times New Roman"/>
          <w:sz w:val="17"/>
          <w:szCs w:val="17"/>
          <w:color w:val="auto"/>
        </w:rPr>
        <w:t>, any dispute or claim arising out of or in connection with this Agreement, including any question regarding its existence, validity or termination, shall be referred to and finally resolved by arbitration in Singapore in accordance with the Arbitration Rules of the Singapore International Arbitration Centre (the “</w:t>
      </w:r>
      <w:r>
        <w:rPr>
          <w:rFonts w:ascii="Times New Roman" w:cs="Times New Roman" w:eastAsia="Times New Roman" w:hAnsi="Times New Roman"/>
          <w:sz w:val="17"/>
          <w:szCs w:val="17"/>
          <w:u w:val="single" w:color="auto"/>
          <w:color w:val="auto"/>
        </w:rPr>
        <w:t>SIAC</w:t>
      </w:r>
      <w:r>
        <w:rPr>
          <w:rFonts w:ascii="Times New Roman" w:cs="Times New Roman" w:eastAsia="Times New Roman" w:hAnsi="Times New Roman"/>
          <w:sz w:val="17"/>
          <w:szCs w:val="17"/>
          <w:color w:val="auto"/>
        </w:rPr>
        <w:t>”) for the time being in force, which rules are deemed to be incorporated by reference in this clause.</w:t>
      </w:r>
    </w:p>
    <w:p>
      <w:pPr>
        <w:spacing w:after="0" w:line="169" w:lineRule="exact"/>
        <w:rPr>
          <w:sz w:val="20"/>
          <w:szCs w:val="20"/>
          <w:color w:val="auto"/>
        </w:rPr>
      </w:pPr>
    </w:p>
    <w:p>
      <w:pPr>
        <w:ind w:left="8" w:right="100" w:firstLine="426"/>
        <w:spacing w:after="0" w:line="264" w:lineRule="auto"/>
        <w:rPr>
          <w:sz w:val="20"/>
          <w:szCs w:val="20"/>
          <w:color w:val="auto"/>
        </w:rPr>
      </w:pPr>
      <w:r>
        <w:rPr>
          <w:rFonts w:ascii="Times New Roman" w:cs="Times New Roman" w:eastAsia="Times New Roman" w:hAnsi="Times New Roman"/>
          <w:sz w:val="17"/>
          <w:szCs w:val="17"/>
          <w:color w:val="auto"/>
        </w:rPr>
        <w:t>(b)  The tribunal shall consist of three (3) arbitrators (each, an “</w:t>
      </w:r>
      <w:r>
        <w:rPr>
          <w:rFonts w:ascii="Times New Roman" w:cs="Times New Roman" w:eastAsia="Times New Roman" w:hAnsi="Times New Roman"/>
          <w:sz w:val="17"/>
          <w:szCs w:val="17"/>
          <w:u w:val="single" w:color="auto"/>
          <w:color w:val="auto"/>
        </w:rPr>
        <w:t>Arbitrator</w:t>
      </w:r>
      <w:r>
        <w:rPr>
          <w:rFonts w:ascii="Times New Roman" w:cs="Times New Roman" w:eastAsia="Times New Roman" w:hAnsi="Times New Roman"/>
          <w:sz w:val="17"/>
          <w:szCs w:val="17"/>
          <w:color w:val="auto"/>
        </w:rPr>
        <w:t>”) who shall be appointed as follows: (i) each disputing party shall nominate one Arbitrator, and the two (2) Arbitrators so appointed shall appoint a third (3rd) Arbitrator who shall act as chairman of the tribunal; (ii) if either party fails to nominate an Arbitrator within [***] days of receiving a request for arbitration, such Arbitrator shall be appointed by the SIAC; and</w:t>
      </w:r>
    </w:p>
    <w:p>
      <w:pPr>
        <w:ind w:left="8" w:right="40" w:hanging="8"/>
        <w:spacing w:after="0" w:line="273" w:lineRule="auto"/>
        <w:tabs>
          <w:tab w:leader="none" w:pos="313"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two (2) Arbitrators to be nominated by the disputing parties fail to agree upon a third (3rd) Arbitrator within [***] days following the appointment of the second (2nd) Arbitrator, the third (3rd) Arbitrator shall be appointed by the SIAC in accordance with the Arbitration Rules of SIAC.</w:t>
      </w:r>
    </w:p>
    <w:p>
      <w:pPr>
        <w:spacing w:after="0" w:line="16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(c)   The language of the arbitration shall be in English.</w:t>
      </w:r>
    </w:p>
    <w:p>
      <w:pPr>
        <w:spacing w:after="0" w:line="223" w:lineRule="exact"/>
        <w:rPr>
          <w:sz w:val="20"/>
          <w:szCs w:val="20"/>
          <w:color w:val="auto"/>
        </w:rPr>
      </w:pPr>
    </w:p>
    <w:p>
      <w:pPr>
        <w:ind w:left="8" w:right="120" w:firstLine="426"/>
        <w:spacing w:after="0" w:line="276" w:lineRule="auto"/>
        <w:rPr>
          <w:sz w:val="20"/>
          <w:szCs w:val="20"/>
          <w:color w:val="auto"/>
        </w:rPr>
      </w:pPr>
      <w:r>
        <w:rPr>
          <w:rFonts w:ascii="Times New Roman" w:cs="Times New Roman" w:eastAsia="Times New Roman" w:hAnsi="Times New Roman"/>
          <w:sz w:val="17"/>
          <w:szCs w:val="17"/>
          <w:color w:val="auto"/>
        </w:rPr>
        <w:t>(d)  The Arbitrators shall decide any such dispute or claim strictly in accordance with the governing law specified in the applicable Transaction Document giving rise to the dispute. Judgment upon any arbitral award rendered hereunder may be entered in any court having jurisdiction, or application may be made to such court for a judicial acceptance of the award and an order of enforcement, as the case may be.</w:t>
      </w:r>
    </w:p>
    <w:p>
      <w:pPr>
        <w:spacing w:after="0" w:line="162" w:lineRule="exact"/>
        <w:rPr>
          <w:sz w:val="20"/>
          <w:szCs w:val="20"/>
          <w:color w:val="auto"/>
        </w:rPr>
      </w:pPr>
    </w:p>
    <w:p>
      <w:pPr>
        <w:ind w:left="8" w:firstLine="426"/>
        <w:spacing w:after="0" w:line="295" w:lineRule="auto"/>
        <w:rPr>
          <w:sz w:val="20"/>
          <w:szCs w:val="20"/>
          <w:color w:val="auto"/>
        </w:rPr>
      </w:pPr>
      <w:r>
        <w:rPr>
          <w:rFonts w:ascii="Times New Roman" w:cs="Times New Roman" w:eastAsia="Times New Roman" w:hAnsi="Times New Roman"/>
          <w:sz w:val="17"/>
          <w:szCs w:val="17"/>
          <w:color w:val="auto"/>
        </w:rPr>
        <w:t>(e)  Each party shall cooperate in good faith to expedite (to the maximum extent practicable) the conduct of any arbitral proceedings commenced under this Agreement.</w:t>
      </w:r>
    </w:p>
    <w:p>
      <w:pPr>
        <w:spacing w:after="0" w:line="147" w:lineRule="exact"/>
        <w:rPr>
          <w:sz w:val="20"/>
          <w:szCs w:val="20"/>
          <w:color w:val="auto"/>
        </w:rPr>
      </w:pPr>
    </w:p>
    <w:p>
      <w:pPr>
        <w:ind w:left="8" w:right="300" w:firstLine="426"/>
        <w:spacing w:after="0" w:line="295" w:lineRule="auto"/>
        <w:rPr>
          <w:sz w:val="20"/>
          <w:szCs w:val="20"/>
          <w:color w:val="auto"/>
        </w:rPr>
      </w:pPr>
      <w:r>
        <w:rPr>
          <w:rFonts w:ascii="Times New Roman" w:cs="Times New Roman" w:eastAsia="Times New Roman" w:hAnsi="Times New Roman"/>
          <w:sz w:val="17"/>
          <w:szCs w:val="17"/>
          <w:color w:val="auto"/>
        </w:rPr>
        <w:t>(f)  The costs and expenses of the arbitration, including the fees of the Arbitrators, reasonable costs and expenses (including attorneys’ fees), shall be borne by the party against whom the arbitral award is made.</w:t>
      </w:r>
    </w:p>
    <w:p>
      <w:pPr>
        <w:spacing w:after="0" w:line="147" w:lineRule="exact"/>
        <w:rPr>
          <w:sz w:val="20"/>
          <w:szCs w:val="20"/>
          <w:color w:val="auto"/>
        </w:rPr>
      </w:pPr>
    </w:p>
    <w:p>
      <w:pPr>
        <w:ind w:left="8" w:firstLine="426"/>
        <w:spacing w:after="0" w:line="269" w:lineRule="auto"/>
        <w:rPr>
          <w:sz w:val="20"/>
          <w:szCs w:val="20"/>
          <w:color w:val="auto"/>
        </w:rPr>
      </w:pPr>
      <w:r>
        <w:rPr>
          <w:rFonts w:ascii="Times New Roman" w:cs="Times New Roman" w:eastAsia="Times New Roman" w:hAnsi="Times New Roman"/>
          <w:sz w:val="17"/>
          <w:szCs w:val="17"/>
          <w:color w:val="auto"/>
        </w:rPr>
        <w:t>(g)  Any award made by the Arbitrators shall be final and binding on each of the parties that were parties to the dispute and the parties agree to cooperate in the satisfaction and enforcement of any such award made by the Arbitrators. If the Arbitrators determine a party to be the prevailing party under circumstances where the prevailing party won on some but not all of the claims and counterclaims, the Arbitrators may award the prevailing party a corresponding percentage of the costs and attorneys’ fees reasonably incurred by the prevailing party in connection with the arbitration.</w:t>
      </w:r>
    </w:p>
    <w:p>
      <w:pPr>
        <w:spacing w:after="0" w:line="169" w:lineRule="exact"/>
        <w:rPr>
          <w:sz w:val="20"/>
          <w:szCs w:val="20"/>
          <w:color w:val="auto"/>
        </w:rPr>
      </w:pPr>
    </w:p>
    <w:p>
      <w:pPr>
        <w:ind w:left="8" w:right="40" w:firstLine="426"/>
        <w:spacing w:after="0" w:line="269" w:lineRule="auto"/>
        <w:rPr>
          <w:sz w:val="20"/>
          <w:szCs w:val="20"/>
          <w:color w:val="auto"/>
        </w:rPr>
      </w:pPr>
      <w:r>
        <w:rPr>
          <w:rFonts w:ascii="Times New Roman" w:cs="Times New Roman" w:eastAsia="Times New Roman" w:hAnsi="Times New Roman"/>
          <w:sz w:val="17"/>
          <w:szCs w:val="17"/>
          <w:color w:val="auto"/>
        </w:rPr>
        <w:t>(h)  The parties to such arbitration shall keep any such arbitration confidential and shall not disclose to any Person, other than those necessary to the proceedings, the existence of the arbitration, any information, testimony or documents submitted during the arbitration or received from any other party, a witness or the Arbitrators in connection with the arbitration, and any award, unless and to the extent that disclosure is required by Law or is necessary for permitted court proceedings, such as proceedings to recognize or enforce an award.</w:t>
      </w:r>
    </w:p>
    <w:p>
      <w:pPr>
        <w:spacing w:after="0" w:line="104"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608"/>
          </w:cols>
          <w:pgMar w:left="612" w:top="264" w:right="679" w:bottom="1440" w:gutter="0" w:footer="0" w:header="0"/>
        </w:sectPr>
      </w:pPr>
    </w:p>
    <w:bookmarkStart w:id="495" w:name="page496"/>
    <w:bookmarkEnd w:id="495"/>
    <w:p>
      <w:pPr>
        <w:ind w:right="20" w:firstLine="426"/>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  An arbitral tribunal constituted under this Agreement, or at any time prior to the arbitral tribunal being constituted, may, at the request of a party to the arbitration, consolidate the arbitration proceeding with any other arbitration arising under this Agreement or any other Transaction Documents, if the arbitration proceedings raise common questions of law or fact, and consolidation would not prejudice the rights of any party to the dispute. If two or more arbitral tribunals under such agreements issue consolidation orders, the order issued by the arbitral tribunal first constituted shall prevail.</w:t>
      </w:r>
    </w:p>
    <w:p>
      <w:pPr>
        <w:spacing w:after="0" w:line="381" w:lineRule="exact"/>
        <w:rPr>
          <w:sz w:val="20"/>
          <w:szCs w:val="20"/>
          <w:color w:val="auto"/>
        </w:rPr>
      </w:pPr>
    </w:p>
    <w:p>
      <w:pPr>
        <w:ind w:right="400" w:firstLine="426"/>
        <w:spacing w:after="0" w:line="295" w:lineRule="auto"/>
        <w:rPr>
          <w:sz w:val="20"/>
          <w:szCs w:val="20"/>
          <w:color w:val="auto"/>
        </w:rPr>
      </w:pPr>
      <w:r>
        <w:rPr>
          <w:rFonts w:ascii="Times New Roman" w:cs="Times New Roman" w:eastAsia="Times New Roman" w:hAnsi="Times New Roman"/>
          <w:sz w:val="17"/>
          <w:szCs w:val="17"/>
          <w:color w:val="auto"/>
        </w:rPr>
        <w:t>(j)  Any party may make an application to the Arbitrators or to any court of competent jurisdiction seeking any interim measures, including injunctive relief to maintain the status quo until such time as the arbitration award is rendered or the controversy is otherwise resolved.</w:t>
      </w:r>
    </w:p>
    <w:p>
      <w:pPr>
        <w:spacing w:after="0" w:line="147"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color w:val="auto"/>
        </w:rPr>
        <w:t xml:space="preserve">14.5  </w:t>
      </w:r>
      <w:r>
        <w:rPr>
          <w:rFonts w:ascii="Times New Roman" w:cs="Times New Roman" w:eastAsia="Times New Roman" w:hAnsi="Times New Roman"/>
          <w:sz w:val="17"/>
          <w:szCs w:val="17"/>
          <w:u w:val="single" w:color="auto"/>
          <w:color w:val="auto"/>
        </w:rPr>
        <w:t>Notices and Other Communications</w:t>
      </w:r>
      <w:r>
        <w:rPr>
          <w:rFonts w:ascii="Times New Roman" w:cs="Times New Roman" w:eastAsia="Times New Roman" w:hAnsi="Times New Roman"/>
          <w:sz w:val="17"/>
          <w:szCs w:val="17"/>
          <w:color w:val="auto"/>
        </w:rPr>
        <w:t>. Any notice, consent, demand or communication required or permitted to be given by any provision of this Agreement shall be in writing and in English and shall be (a) delivered personally to the Person or to an officer of the Person (as designated by such Person to receive any such notice or, in the absence of such designation, any officer of such Person) to whom the same is directed, (b) sent by internationally recognized express delivery service (with tracking capability, which tracking information shall be delivered via e-mail copy, receipt of which need not be acknowledged) or (c) via e-mail at the following addresses:</w:t>
      </w:r>
    </w:p>
    <w:p>
      <w:pPr>
        <w:spacing w:after="0" w:line="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If to the SBG Shareholder, the SBG Class A Shareholder or the Company (before the Closing):</w:t>
      </w:r>
    </w:p>
    <w:p>
      <w:pPr>
        <w:spacing w:after="0" w:line="11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SoftBank Group Corp.</w:t>
      </w:r>
    </w:p>
    <w:p>
      <w:pPr>
        <w:spacing w:after="0" w:line="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Tokyo Port City Takeshiba Office Tower</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1-7-1 Kaigan, Minato-ku</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Tokyo, Japan 105-7537</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Attention:      Kotaro Ueno</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E-mail:          [***]</w:t>
      </w:r>
    </w:p>
    <w:p>
      <w:pPr>
        <w:spacing w:after="0" w:line="10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with a copy (which copy shall not constitute notice) to:</w:t>
      </w:r>
    </w:p>
    <w:p>
      <w:pPr>
        <w:spacing w:after="0" w:line="11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Morrison &amp; Foerster LLP</w:t>
      </w:r>
    </w:p>
    <w:p>
      <w:pPr>
        <w:spacing w:after="0" w:line="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Shin-Marunouchi Building, 29th Floor</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5-1, Marunouchi 1-Chome, Chiyoda-ku</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Tokyo, Japan 100-6529</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Attn:            Kenneth A. Siegel</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E-mail:          ksiegel@mofo.com</w:t>
      </w:r>
    </w:p>
    <w:p>
      <w:pPr>
        <w:spacing w:after="0" w:line="10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and</w:t>
      </w:r>
    </w:p>
    <w:p>
      <w:pPr>
        <w:spacing w:after="0" w:line="11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Morrison &amp; Foerster LLP</w:t>
      </w:r>
    </w:p>
    <w:p>
      <w:pPr>
        <w:spacing w:after="0" w:line="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425 Market Street</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San Francisco, CA 94105-2482</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Attention:      Erik G. Knudsen</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E-mail:           eknudsen@mofo.com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600"/>
          </w:cols>
          <w:pgMar w:left="620" w:top="265" w:right="679" w:bottom="1440" w:gutter="0" w:footer="0" w:header="0"/>
        </w:sectPr>
      </w:pPr>
    </w:p>
    <w:bookmarkStart w:id="496" w:name="page497"/>
    <w:bookmarkEnd w:id="496"/>
    <w:p>
      <w:pPr>
        <w:ind w:left="13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If to the Tempus Shareholder:</w:t>
      </w:r>
    </w:p>
    <w:p>
      <w:pPr>
        <w:spacing w:after="0" w:line="11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Tempus AI, Inc.</w:t>
      </w:r>
    </w:p>
    <w:p>
      <w:pPr>
        <w:spacing w:after="0" w:line="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600 West Chicago Avenue, Suite 510</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Chicago, IL 60654</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Attention:      Legal Department</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E-mail:          [***]</w:t>
      </w:r>
    </w:p>
    <w:p>
      <w:pPr>
        <w:spacing w:after="0" w:line="10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with a copy (which copy shall not constitute notice) to:</w:t>
      </w:r>
    </w:p>
    <w:p>
      <w:pPr>
        <w:spacing w:after="0" w:line="11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K&amp;L Gates</w:t>
      </w:r>
    </w:p>
    <w:p>
      <w:pPr>
        <w:spacing w:after="0" w:line="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Toranomon Hills Mori Tower 28F</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1-23-1 Toranomon, Minato-ku</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Tokyo, 105-6328</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Attention:      Ryan Dwyer; Aiko Yamada</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E-mail:          ryan.dwyer@klgates.com; aiko.yamada@klgates.com</w:t>
      </w:r>
    </w:p>
    <w:p>
      <w:pPr>
        <w:spacing w:after="0" w:line="10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and</w:t>
      </w:r>
    </w:p>
    <w:p>
      <w:pPr>
        <w:spacing w:after="0" w:line="11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Cooley LLP</w:t>
      </w:r>
    </w:p>
    <w:p>
      <w:pPr>
        <w:spacing w:after="0" w:line="3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110 N Wacker Dr Suite 4200</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Chicago, IL 60606</w:t>
      </w:r>
    </w:p>
    <w:p>
      <w:pPr>
        <w:spacing w:after="0" w:line="1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17"/>
          <w:szCs w:val="17"/>
          <w:color w:val="auto"/>
        </w:rPr>
        <w:t xml:space="preserve">Attention:    </w:t>
        <w:tab/>
        <w:t>Rick Ginsberg</w:t>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Email:            rginsberg@cooley.com</w:t>
      </w:r>
    </w:p>
    <w:p>
      <w:pPr>
        <w:spacing w:after="0" w:line="20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 xml:space="preserve">or to such other address or to the attention of any other Person as the recipient party has specified to the other Shareholders in writing delivered in accordance with this </w:t>
      </w:r>
      <w:r>
        <w:rPr>
          <w:rFonts w:ascii="Times New Roman" w:cs="Times New Roman" w:eastAsia="Times New Roman" w:hAnsi="Times New Roman"/>
          <w:sz w:val="17"/>
          <w:szCs w:val="17"/>
          <w:u w:val="single" w:color="auto"/>
          <w:color w:val="auto"/>
        </w:rPr>
        <w:t>Section 14.5</w:t>
      </w:r>
      <w:r>
        <w:rPr>
          <w:rFonts w:ascii="Times New Roman" w:cs="Times New Roman" w:eastAsia="Times New Roman" w:hAnsi="Times New Roman"/>
          <w:sz w:val="17"/>
          <w:szCs w:val="17"/>
          <w:color w:val="auto"/>
        </w:rPr>
        <w:t>. Any such notice, consent, demand or communication will be deemed to have been delivered and received (x) in the case of a globally recognized express delivery service, on the Business Day that receipt by the addressee is confirmed pursuant to the service’s systems and (y) in the case of e-mail, on the date sent by e-mail (if no automated notice of delivery failure is received by the sender).</w:t>
      </w:r>
    </w:p>
    <w:p>
      <w:pPr>
        <w:spacing w:after="0" w:line="169" w:lineRule="exact"/>
        <w:rPr>
          <w:sz w:val="20"/>
          <w:szCs w:val="20"/>
          <w:color w:val="auto"/>
        </w:rPr>
      </w:pPr>
    </w:p>
    <w:p>
      <w:pPr>
        <w:ind w:right="240" w:firstLine="426"/>
        <w:spacing w:after="0" w:line="276" w:lineRule="auto"/>
        <w:rPr>
          <w:sz w:val="20"/>
          <w:szCs w:val="20"/>
          <w:color w:val="auto"/>
        </w:rPr>
      </w:pPr>
      <w:r>
        <w:rPr>
          <w:rFonts w:ascii="Times New Roman" w:cs="Times New Roman" w:eastAsia="Times New Roman" w:hAnsi="Times New Roman"/>
          <w:sz w:val="17"/>
          <w:szCs w:val="17"/>
          <w:color w:val="auto"/>
        </w:rPr>
        <w:t xml:space="preserve">14.6  </w:t>
      </w: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This Agreement is in the English language only, which language shall be controlling in all respects, and all versions hereof in any other language (including Japanese) shall be for accommodation only and shall not be binding upon the Shareholders. All communications and notices to be made or given pursuant to this Agreement shall be in the English language.</w:t>
      </w:r>
    </w:p>
    <w:p>
      <w:pPr>
        <w:spacing w:after="0" w:line="162" w:lineRule="exact"/>
        <w:rPr>
          <w:sz w:val="20"/>
          <w:szCs w:val="20"/>
          <w:color w:val="auto"/>
        </w:rPr>
      </w:pPr>
    </w:p>
    <w:p>
      <w:pPr>
        <w:ind w:firstLine="426"/>
        <w:spacing w:after="0" w:line="276" w:lineRule="auto"/>
        <w:rPr>
          <w:sz w:val="20"/>
          <w:szCs w:val="20"/>
          <w:color w:val="auto"/>
        </w:rPr>
      </w:pPr>
      <w:r>
        <w:rPr>
          <w:rFonts w:ascii="Times New Roman" w:cs="Times New Roman" w:eastAsia="Times New Roman" w:hAnsi="Times New Roman"/>
          <w:sz w:val="17"/>
          <w:szCs w:val="17"/>
          <w:color w:val="auto"/>
        </w:rPr>
        <w:t xml:space="preserve">14.7 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Unless otherwise expressly provided herein, each Shareholder’s rights hereunder are several rights, not rights jointly held with any of the other Shareholders. In case any provision of the Agreement shall be invalid, illegal or unenforceable, the validity, legality and enforceability of the remaining provisions shall not in any way be affected or impaired thereby.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640"/>
          </w:cols>
          <w:pgMar w:left="620" w:top="264" w:right="639" w:bottom="1440" w:gutter="0" w:footer="0" w:header="0"/>
        </w:sectPr>
      </w:pPr>
    </w:p>
    <w:bookmarkStart w:id="497" w:name="page498"/>
    <w:bookmarkEnd w:id="497"/>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14.8   </w:t>
      </w:r>
      <w:r>
        <w:rPr>
          <w:rFonts w:ascii="Times New Roman" w:cs="Times New Roman" w:eastAsia="Times New Roman" w:hAnsi="Times New Roman"/>
          <w:sz w:val="17"/>
          <w:szCs w:val="17"/>
          <w:u w:val="single" w:color="auto"/>
          <w:color w:val="auto"/>
        </w:rPr>
        <w:t>Confidential Information; Announcements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shall mean:</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   this Agreement, each other Transaction Document and the provisions of each of the foregoing; and</w:t>
      </w:r>
    </w:p>
    <w:p>
      <w:pPr>
        <w:spacing w:after="0" w:line="223" w:lineRule="exact"/>
        <w:rPr>
          <w:sz w:val="20"/>
          <w:szCs w:val="20"/>
          <w:color w:val="auto"/>
        </w:rPr>
      </w:pPr>
    </w:p>
    <w:p>
      <w:pPr>
        <w:ind w:right="120" w:firstLine="960"/>
        <w:spacing w:after="0" w:line="295" w:lineRule="auto"/>
        <w:rPr>
          <w:sz w:val="20"/>
          <w:szCs w:val="20"/>
          <w:color w:val="auto"/>
        </w:rPr>
      </w:pPr>
      <w:r>
        <w:rPr>
          <w:rFonts w:ascii="Times New Roman" w:cs="Times New Roman" w:eastAsia="Times New Roman" w:hAnsi="Times New Roman"/>
          <w:sz w:val="17"/>
          <w:szCs w:val="17"/>
          <w:color w:val="auto"/>
        </w:rPr>
        <w:t>(ii)  any non-public business, financial, technical or marketing information or other confidential or proprietary information, in each case of any Shareholder, the Company or their respective Affiliates that is received by a Shareholder under or in connection with this Agreement.</w:t>
      </w:r>
    </w:p>
    <w:p>
      <w:pPr>
        <w:spacing w:after="0" w:line="147" w:lineRule="exact"/>
        <w:rPr>
          <w:sz w:val="20"/>
          <w:szCs w:val="20"/>
          <w:color w:val="auto"/>
        </w:rPr>
      </w:pPr>
    </w:p>
    <w:p>
      <w:pPr>
        <w:ind w:right="340" w:firstLine="426"/>
        <w:spacing w:after="0" w:line="295" w:lineRule="auto"/>
        <w:rPr>
          <w:sz w:val="20"/>
          <w:szCs w:val="20"/>
          <w:color w:val="auto"/>
        </w:rPr>
      </w:pPr>
      <w:r>
        <w:rPr>
          <w:rFonts w:ascii="Times New Roman" w:cs="Times New Roman" w:eastAsia="Times New Roman" w:hAnsi="Times New Roman"/>
          <w:sz w:val="17"/>
          <w:szCs w:val="17"/>
          <w:color w:val="auto"/>
        </w:rPr>
        <w:t>(b)  Each Shareholder shall, and shall cause its Representatives to, keep confidential, and not use or disclose to any Person, any Confidential Information of any other Shareholder or the Company unless:</w:t>
      </w:r>
    </w:p>
    <w:p>
      <w:pPr>
        <w:spacing w:after="0" w:line="1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   with the prior written consent of the Person to which such Confidential Information relates;</w:t>
      </w:r>
    </w:p>
    <w:p>
      <w:pPr>
        <w:spacing w:after="0" w:line="223" w:lineRule="exact"/>
        <w:rPr>
          <w:sz w:val="20"/>
          <w:szCs w:val="20"/>
          <w:color w:val="auto"/>
        </w:rPr>
      </w:pPr>
    </w:p>
    <w:p>
      <w:pPr>
        <w:ind w:right="40" w:firstLine="960"/>
        <w:spacing w:after="0" w:line="269" w:lineRule="auto"/>
        <w:rPr>
          <w:sz w:val="20"/>
          <w:szCs w:val="20"/>
          <w:color w:val="auto"/>
        </w:rPr>
      </w:pPr>
      <w:r>
        <w:rPr>
          <w:rFonts w:ascii="Times New Roman" w:cs="Times New Roman" w:eastAsia="Times New Roman" w:hAnsi="Times New Roman"/>
          <w:sz w:val="17"/>
          <w:szCs w:val="17"/>
          <w:color w:val="auto"/>
        </w:rPr>
        <w:t xml:space="preserve">(ii)  such disclosure is to such Shareholder’s Representatives or legal, tax or financial advisors to the extent reasonably necessary in connection with the performance of the Transaction Documents or compliance with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Representatives are informed of the confidential nature of such information and are directed to comply with the terms of this </w:t>
      </w:r>
      <w:r>
        <w:rPr>
          <w:rFonts w:ascii="Times New Roman" w:cs="Times New Roman" w:eastAsia="Times New Roman" w:hAnsi="Times New Roman"/>
          <w:sz w:val="17"/>
          <w:szCs w:val="17"/>
          <w:u w:val="single" w:color="auto"/>
          <w:color w:val="auto"/>
        </w:rPr>
        <w:t>Section 14.8</w:t>
      </w:r>
      <w:r>
        <w:rPr>
          <w:rFonts w:ascii="Times New Roman" w:cs="Times New Roman" w:eastAsia="Times New Roman" w:hAnsi="Times New Roman"/>
          <w:sz w:val="17"/>
          <w:szCs w:val="17"/>
          <w:color w:val="auto"/>
        </w:rPr>
        <w:t xml:space="preserve"> and that the disclosing Shareholder shall remain responsible for any breach of confidentiality by such Representatives;</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(iii)   the use or disclosure of such Confidential Information is authorized under the terms of any Transaction Document;</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(iv)   such Confidential Information is publicly known other than through disclosure by such Shareholder or its Representatives;</w:t>
      </w:r>
    </w:p>
    <w:p>
      <w:pPr>
        <w:spacing w:after="0" w:line="223" w:lineRule="exact"/>
        <w:rPr>
          <w:sz w:val="20"/>
          <w:szCs w:val="20"/>
          <w:color w:val="auto"/>
        </w:rPr>
      </w:pPr>
    </w:p>
    <w:p>
      <w:pPr>
        <w:ind w:right="80" w:firstLine="960"/>
        <w:spacing w:after="0" w:line="276" w:lineRule="auto"/>
        <w:rPr>
          <w:sz w:val="20"/>
          <w:szCs w:val="20"/>
          <w:color w:val="auto"/>
        </w:rPr>
      </w:pPr>
      <w:r>
        <w:rPr>
          <w:rFonts w:ascii="Times New Roman" w:cs="Times New Roman" w:eastAsia="Times New Roman" w:hAnsi="Times New Roman"/>
          <w:sz w:val="17"/>
          <w:szCs w:val="17"/>
          <w:color w:val="auto"/>
        </w:rPr>
        <w:t xml:space="preserve">(v)  such Confidential Information is otherwise known to such Shareholder prior to disclosure by the other Shareholder or the Company, as applicable, other than through disclosure by a third party in breach of a duty of confidentiality or by reason of the prior disclosure of Confidential Information pursuant to a binding non-disclosure agreement (or the terms of this </w:t>
      </w:r>
      <w:r>
        <w:rPr>
          <w:rFonts w:ascii="Times New Roman" w:cs="Times New Roman" w:eastAsia="Times New Roman" w:hAnsi="Times New Roman"/>
          <w:sz w:val="17"/>
          <w:szCs w:val="17"/>
          <w:u w:val="single" w:color="auto"/>
          <w:color w:val="auto"/>
        </w:rPr>
        <w:t>Section 14.8</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 xml:space="preserve">(vi)   such Confidential Information is being disclosed in an announcement made in accordance with </w:t>
      </w:r>
      <w:r>
        <w:rPr>
          <w:rFonts w:ascii="Times New Roman" w:cs="Times New Roman" w:eastAsia="Times New Roman" w:hAnsi="Times New Roman"/>
          <w:sz w:val="17"/>
          <w:szCs w:val="17"/>
          <w:u w:val="single" w:color="auto"/>
          <w:color w:val="auto"/>
        </w:rPr>
        <w:t>Section 14.9</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firstLine="960"/>
        <w:spacing w:after="0" w:line="276" w:lineRule="auto"/>
        <w:rPr>
          <w:sz w:val="20"/>
          <w:szCs w:val="20"/>
          <w:color w:val="auto"/>
        </w:rPr>
      </w:pPr>
      <w:r>
        <w:rPr>
          <w:rFonts w:ascii="Times New Roman" w:cs="Times New Roman" w:eastAsia="Times New Roman" w:hAnsi="Times New Roman"/>
          <w:sz w:val="17"/>
          <w:szCs w:val="17"/>
          <w:color w:val="auto"/>
        </w:rPr>
        <w:t>(vii)  such disclosure is required by (i) applicable Law, (ii) any Governmental Authority, irrespective of whether the requirement has the force of Law or (iii) the rules of any securities exchange on which such Shareholder’s or Representative’s securities are listed, provided in each case that such disclosure is limited to such information as may be reasonably necessary to comply with any such requirement;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620"/>
          </w:cols>
          <w:pgMar w:left="620" w:top="265" w:right="659" w:bottom="1440" w:gutter="0" w:footer="0" w:header="0"/>
        </w:sectPr>
      </w:pPr>
    </w:p>
    <w:bookmarkStart w:id="498" w:name="page499"/>
    <w:bookmarkEnd w:id="498"/>
    <w:p>
      <w:pPr>
        <w:ind w:right="20" w:firstLine="96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(viii)  such Confidential Information was developed by such Shareholder or Representative independent of any Confidential Information of any other Shareholder and there is written evidence to that effect; or</w:t>
      </w:r>
    </w:p>
    <w:p>
      <w:pPr>
        <w:spacing w:after="0" w:line="147" w:lineRule="exact"/>
        <w:rPr>
          <w:sz w:val="20"/>
          <w:szCs w:val="20"/>
          <w:color w:val="auto"/>
        </w:rPr>
      </w:pPr>
    </w:p>
    <w:p>
      <w:pPr>
        <w:jc w:val="both"/>
        <w:ind w:firstLine="960"/>
        <w:spacing w:after="0" w:line="269" w:lineRule="auto"/>
        <w:rPr>
          <w:sz w:val="20"/>
          <w:szCs w:val="20"/>
          <w:color w:val="auto"/>
        </w:rPr>
      </w:pPr>
      <w:r>
        <w:rPr>
          <w:rFonts w:ascii="Times New Roman" w:cs="Times New Roman" w:eastAsia="Times New Roman" w:hAnsi="Times New Roman"/>
          <w:sz w:val="17"/>
          <w:szCs w:val="17"/>
          <w:color w:val="auto"/>
        </w:rPr>
        <w:t xml:space="preserve">(ix)  such disclosure is to any Person proposing to acquire the Shares held by such Shareholder in a manner permitted by this Agreement and the Representatives of such proposed acquirer, where (i) such Confidential Information is disclosed to facilitate such acquisition and is legitimately required for such purpose and (ii) such Shareholder has entered into a written agreement with the proposed acquirer requiring the proposed acquirer and its Representatives to maintain the confidentiality of the Confidential Information on terms that are no less restrictive than this </w:t>
      </w:r>
      <w:r>
        <w:rPr>
          <w:rFonts w:ascii="Times New Roman" w:cs="Times New Roman" w:eastAsia="Times New Roman" w:hAnsi="Times New Roman"/>
          <w:sz w:val="17"/>
          <w:szCs w:val="17"/>
          <w:u w:val="single" w:color="auto"/>
          <w:color w:val="auto"/>
        </w:rPr>
        <w:t>Section 14.8</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right="40" w:firstLine="426"/>
        <w:spacing w:after="0" w:line="262" w:lineRule="auto"/>
        <w:rPr>
          <w:sz w:val="20"/>
          <w:szCs w:val="20"/>
          <w:color w:val="auto"/>
        </w:rPr>
      </w:pPr>
      <w:r>
        <w:rPr>
          <w:rFonts w:ascii="Times New Roman" w:cs="Times New Roman" w:eastAsia="Times New Roman" w:hAnsi="Times New Roman"/>
          <w:sz w:val="17"/>
          <w:szCs w:val="17"/>
          <w:color w:val="auto"/>
        </w:rPr>
        <w:t xml:space="preserve">(c)  If any Shareholder is no longer an actual Shareholder (for the purposes of this </w:t>
      </w:r>
      <w:r>
        <w:rPr>
          <w:rFonts w:ascii="Times New Roman" w:cs="Times New Roman" w:eastAsia="Times New Roman" w:hAnsi="Times New Roman"/>
          <w:sz w:val="17"/>
          <w:szCs w:val="17"/>
          <w:u w:val="single" w:color="auto"/>
          <w:color w:val="auto"/>
        </w:rPr>
        <w:t>Section 14.8</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Former Shareholder</w:t>
      </w:r>
      <w:r>
        <w:rPr>
          <w:rFonts w:ascii="Times New Roman" w:cs="Times New Roman" w:eastAsia="Times New Roman" w:hAnsi="Times New Roman"/>
          <w:sz w:val="17"/>
          <w:szCs w:val="17"/>
          <w:color w:val="auto"/>
        </w:rPr>
        <w:t xml:space="preserve">”), each other Shareholder or the Company, as applicable, may by written notice require the Former Shareholder to return or destroy Confidential Information of such notifying Shareholder or the Company, as applicable. If so required, the Former Shareholder shall, and shall cause its Representatives to, return or destroy all documents to the extent reasonably technically feasible and containing the Confidential Information of such notifying Shareholder or the Company, as applicable, as soon as reasonably practicable after receiving the relevant notice. Notwithstanding the foregoing, each Shareholder and its Representatives may retain copies of such Confidential Information as is required by applicable Law or the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document retention policy, compliance policy or back-up policies or procedures of such Shareholder or Representative (as the case may be). This </w:t>
      </w:r>
      <w:r>
        <w:rPr>
          <w:rFonts w:ascii="Times New Roman" w:cs="Times New Roman" w:eastAsia="Times New Roman" w:hAnsi="Times New Roman"/>
          <w:sz w:val="17"/>
          <w:szCs w:val="17"/>
          <w:u w:val="single" w:color="auto"/>
          <w:color w:val="auto"/>
        </w:rPr>
        <w:t>Section 14.8</w:t>
      </w:r>
      <w:r>
        <w:rPr>
          <w:rFonts w:ascii="Times New Roman" w:cs="Times New Roman" w:eastAsia="Times New Roman" w:hAnsi="Times New Roman"/>
          <w:sz w:val="17"/>
          <w:szCs w:val="17"/>
          <w:color w:val="auto"/>
        </w:rPr>
        <w:t xml:space="preserve"> shall continue to apply to any Confidential Information so retained.</w:t>
      </w:r>
    </w:p>
    <w:p>
      <w:pPr>
        <w:spacing w:after="0" w:line="175" w:lineRule="exact"/>
        <w:rPr>
          <w:sz w:val="20"/>
          <w:szCs w:val="20"/>
          <w:color w:val="auto"/>
        </w:rPr>
      </w:pPr>
    </w:p>
    <w:p>
      <w:pPr>
        <w:ind w:right="240" w:firstLine="426"/>
        <w:spacing w:after="0" w:line="264" w:lineRule="auto"/>
        <w:rPr>
          <w:sz w:val="20"/>
          <w:szCs w:val="20"/>
          <w:color w:val="auto"/>
        </w:rPr>
      </w:pPr>
      <w:r>
        <w:rPr>
          <w:rFonts w:ascii="Times New Roman" w:cs="Times New Roman" w:eastAsia="Times New Roman" w:hAnsi="Times New Roman"/>
          <w:sz w:val="17"/>
          <w:szCs w:val="17"/>
          <w:color w:val="auto"/>
        </w:rPr>
        <w:t xml:space="preserve">14.9  </w:t>
      </w:r>
      <w:r>
        <w:rPr>
          <w:rFonts w:ascii="Times New Roman" w:cs="Times New Roman" w:eastAsia="Times New Roman" w:hAnsi="Times New Roman"/>
          <w:sz w:val="17"/>
          <w:szCs w:val="17"/>
          <w:u w:val="single" w:color="auto"/>
          <w:color w:val="auto"/>
        </w:rPr>
        <w:t>Public Announcements</w:t>
      </w:r>
      <w:r>
        <w:rPr>
          <w:rFonts w:ascii="Times New Roman" w:cs="Times New Roman" w:eastAsia="Times New Roman" w:hAnsi="Times New Roman"/>
          <w:sz w:val="17"/>
          <w:szCs w:val="17"/>
          <w:color w:val="auto"/>
        </w:rPr>
        <w:t xml:space="preserve">. No Shareholder may issue any press release or make any public statement with respect to the Transaction Documents, the Company or the Business without the prior written consent of the Initial Shareholders and the Company (which consent shall not be unreasonably withheld, conditioned or delayed). The foregoing shall not prohibit any Shareholder from issuing or making any releases or statements required by (a) applicable Law, (b) any Governmental Authority, irrespective of whether the requirement has the force of Law or (c) the rules of any securities exchange on which such Shareholder’s or its Affiliate’s securities are listed;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Shareholder shall use its commercially reasonable efforts to consult with the other Shareholders before issuing or making any such release or statement as to its form, content and timing.</w:t>
      </w:r>
    </w:p>
    <w:p>
      <w:pPr>
        <w:spacing w:after="0" w:line="173" w:lineRule="exact"/>
        <w:rPr>
          <w:sz w:val="20"/>
          <w:szCs w:val="20"/>
          <w:color w:val="auto"/>
        </w:rPr>
      </w:pPr>
    </w:p>
    <w:p>
      <w:pPr>
        <w:ind w:right="40" w:firstLine="426"/>
        <w:spacing w:after="0" w:line="262" w:lineRule="auto"/>
        <w:rPr>
          <w:sz w:val="20"/>
          <w:szCs w:val="20"/>
          <w:color w:val="auto"/>
        </w:rPr>
      </w:pPr>
      <w:r>
        <w:rPr>
          <w:rFonts w:ascii="Times New Roman" w:cs="Times New Roman" w:eastAsia="Times New Roman" w:hAnsi="Times New Roman"/>
          <w:sz w:val="17"/>
          <w:szCs w:val="17"/>
          <w:color w:val="auto"/>
        </w:rPr>
        <w:t xml:space="preserve">14.10  </w:t>
      </w:r>
      <w:r>
        <w:rPr>
          <w:rFonts w:ascii="Times New Roman" w:cs="Times New Roman" w:eastAsia="Times New Roman" w:hAnsi="Times New Roman"/>
          <w:sz w:val="17"/>
          <w:szCs w:val="17"/>
          <w:u w:val="single" w:color="auto"/>
          <w:color w:val="auto"/>
        </w:rPr>
        <w:t>Use of Initial Shareholder Name or Logo</w:t>
      </w:r>
      <w:r>
        <w:rPr>
          <w:rFonts w:ascii="Times New Roman" w:cs="Times New Roman" w:eastAsia="Times New Roman" w:hAnsi="Times New Roman"/>
          <w:sz w:val="17"/>
          <w:szCs w:val="17"/>
          <w:color w:val="auto"/>
        </w:rPr>
        <w:t>. Without the prior written consent of the SBG Shareholder, and except as otherwise provided in the IP License Agreement and the SBG Brand License Agreement and only in accordance with their respective terms, none of the Shareholders (other than the SBG Shareholder), the Company and their respective Affiliates shall use, publish, reproduce or refer to the name, trademark, trade name, business names logo, trade dress, service mark, domain name or website of the SBG Shareholder or their respective Affiliates, including “SoftBank”, “SB” or any similar name, trademark, trade name, business names, logo, trade dress, service mark, domain name or website in any discussion, documents or materials or otherwise, including for marketing, advertising or promotional or other purposes. Without the prior written consent of the Tempus Shareholder, and except as otherwise provided in the IP License Agreement and only in accordance with its terms, none of the Shareholders (other than</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580"/>
          </w:cols>
          <w:pgMar w:left="620" w:top="264" w:right="699" w:bottom="1440" w:gutter="0" w:footer="0" w:header="0"/>
        </w:sectPr>
      </w:pPr>
    </w:p>
    <w:bookmarkStart w:id="499" w:name="page500"/>
    <w:bookmarkEnd w:id="499"/>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Tempus Shareholder), the Company and their respective Affiliates shall use, publish, reproduce or refer to the name, trademark, trade name, business names, logo, trade dress, service mark, domain name or website of the Tempus Shareholder or their respective Affiliates, including “Tempus” or any similar name, trademark, trade name, business names logo, trade dress, service mark, domain name or website in any discussion, documents or materials or otherwise, including for marketing, advertising or promotional or other purposes.</w:t>
      </w:r>
    </w:p>
    <w:p>
      <w:pPr>
        <w:spacing w:after="0" w:line="169" w:lineRule="exact"/>
        <w:rPr>
          <w:sz w:val="20"/>
          <w:szCs w:val="20"/>
          <w:color w:val="auto"/>
        </w:rPr>
      </w:pPr>
    </w:p>
    <w:p>
      <w:pPr>
        <w:ind w:right="20" w:firstLine="426"/>
        <w:spacing w:after="0" w:line="259" w:lineRule="auto"/>
        <w:rPr>
          <w:sz w:val="20"/>
          <w:szCs w:val="20"/>
          <w:color w:val="auto"/>
        </w:rPr>
      </w:pPr>
      <w:r>
        <w:rPr>
          <w:rFonts w:ascii="Times New Roman" w:cs="Times New Roman" w:eastAsia="Times New Roman" w:hAnsi="Times New Roman"/>
          <w:sz w:val="17"/>
          <w:szCs w:val="17"/>
          <w:color w:val="auto"/>
        </w:rPr>
        <w:t xml:space="preserve">14.11  </w:t>
      </w:r>
      <w:r>
        <w:rPr>
          <w:rFonts w:ascii="Times New Roman" w:cs="Times New Roman" w:eastAsia="Times New Roman" w:hAnsi="Times New Roman"/>
          <w:sz w:val="17"/>
          <w:szCs w:val="17"/>
          <w:u w:val="single" w:color="auto"/>
          <w:color w:val="auto"/>
        </w:rPr>
        <w:t>General Interpretative Principles</w:t>
      </w:r>
      <w:r>
        <w:rPr>
          <w:rFonts w:ascii="Times New Roman" w:cs="Times New Roman" w:eastAsia="Times New Roman" w:hAnsi="Times New Roman"/>
          <w:sz w:val="17"/>
          <w:szCs w:val="17"/>
          <w:color w:val="auto"/>
        </w:rPr>
        <w:t xml:space="preserve">. Whenever required by the context, any pronoun used in this Agreement will include the corresponding masculine, feminine or neuter forms, and the singular form of nouns, pronouns and verbs will include the plural and vice versa. The terms “hereof,” “herein,” “hereunder,” “hereto” and “herewith” and words of similar import will, unless otherwise stated, be construed to refer to this Agreement and not to any particular provision of this Agreement. The descriptive headings of this Agreement are inserted for convenience only and do not constitute a substantive part of this Agreement. All article, section, exhibit and schedule references are to the articles, sections, exhibits and schedules of this Agreement unless otherwise specified. The use of the word “including” in this Agreement will be by way of example rather than by limitation and will be deemed to mean “including, without limitation.” The use of the word “or” is inclusive and not exclusive (for example, the phrase “A or B” means “A or B or both,” not “either A or B but not both”), unless used in conjunction with “either” or the like. All references herein to “yen” or “¥” are to Japanese Yen and references to “dollars” or “$” are to U.S. dollars. Subject to the last sentence of </w:t>
      </w:r>
      <w:r>
        <w:rPr>
          <w:rFonts w:ascii="Times New Roman" w:cs="Times New Roman" w:eastAsia="Times New Roman" w:hAnsi="Times New Roman"/>
          <w:sz w:val="17"/>
          <w:szCs w:val="17"/>
          <w:u w:val="single" w:color="auto"/>
          <w:color w:val="auto"/>
        </w:rPr>
        <w:t>Section 7.14(b)</w:t>
      </w:r>
      <w:r>
        <w:rPr>
          <w:rFonts w:ascii="Times New Roman" w:cs="Times New Roman" w:eastAsia="Times New Roman" w:hAnsi="Times New Roman"/>
          <w:sz w:val="17"/>
          <w:szCs w:val="17"/>
          <w:color w:val="auto"/>
        </w:rPr>
        <w:t>, any accounting term used in this Agreement will have, unless otherwise specifically provided herein, the meaning customarily given such term in accordance with US GAAP. Any references herein to any period of days will mean the relevant number of calendar days unless otherwise specified, and any deadline or time period set forth in this Agreement that by its terms ends on a day that is not a Business Day will be automatically extended to the next succeeding Business Day. All references herein to a “party” or “parties” are to a party or parties to this Agreement unless otherwise specified. Whenever required by the context, references to a “Fiscal Year” will refer to a portion thereof.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79" w:lineRule="exact"/>
        <w:rPr>
          <w:sz w:val="20"/>
          <w:szCs w:val="20"/>
          <w:color w:val="auto"/>
        </w:rPr>
      </w:pPr>
    </w:p>
    <w:p>
      <w:pPr>
        <w:ind w:right="40" w:firstLine="426"/>
        <w:spacing w:after="0" w:line="276" w:lineRule="auto"/>
        <w:rPr>
          <w:sz w:val="20"/>
          <w:szCs w:val="20"/>
          <w:color w:val="auto"/>
        </w:rPr>
      </w:pPr>
      <w:r>
        <w:rPr>
          <w:rFonts w:ascii="Times New Roman" w:cs="Times New Roman" w:eastAsia="Times New Roman" w:hAnsi="Times New Roman"/>
          <w:sz w:val="17"/>
          <w:szCs w:val="17"/>
          <w:color w:val="auto"/>
        </w:rPr>
        <w:t xml:space="preserve">14.12 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The parties to this Agreement shall each perform such acts, execute and deliver such instruments and documents, and do all such other things as may be reasonably necessary to accomplish the transactions contemplated in this Agreement and the other Transaction Documents.</w:t>
      </w:r>
    </w:p>
    <w:p>
      <w:pPr>
        <w:spacing w:after="0" w:line="162" w:lineRule="exact"/>
        <w:rPr>
          <w:sz w:val="20"/>
          <w:szCs w:val="20"/>
          <w:color w:val="auto"/>
        </w:rPr>
      </w:pPr>
    </w:p>
    <w:p>
      <w:pPr>
        <w:ind w:right="460" w:firstLine="426"/>
        <w:spacing w:after="0" w:line="276" w:lineRule="auto"/>
        <w:rPr>
          <w:sz w:val="20"/>
          <w:szCs w:val="20"/>
          <w:color w:val="auto"/>
        </w:rPr>
      </w:pPr>
      <w:r>
        <w:rPr>
          <w:rFonts w:ascii="Times New Roman" w:cs="Times New Roman" w:eastAsia="Times New Roman" w:hAnsi="Times New Roman"/>
          <w:sz w:val="17"/>
          <w:szCs w:val="17"/>
          <w:color w:val="auto"/>
        </w:rPr>
        <w:t xml:space="preserve">14.13 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Each of the Shareholders will bear its own costs and expenses, including fees and expenses of legal counsel, accountants, brokers, consultants and other Representatives used or hired in connection with the negotiation and preparation of this Agreement and the other Transaction Documents, and consummation of the transactions contemplated hereby and thereby;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p>
    <w:p>
      <w:pPr>
        <w:spacing w:after="0" w:line="162" w:lineRule="exact"/>
        <w:rPr>
          <w:sz w:val="20"/>
          <w:szCs w:val="20"/>
          <w:color w:val="auto"/>
        </w:rPr>
      </w:pPr>
    </w:p>
    <w:p>
      <w:pPr>
        <w:ind w:right="140" w:firstLine="426"/>
        <w:spacing w:after="0" w:line="295" w:lineRule="auto"/>
        <w:rPr>
          <w:sz w:val="20"/>
          <w:szCs w:val="20"/>
          <w:color w:val="auto"/>
        </w:rPr>
      </w:pPr>
      <w:r>
        <w:rPr>
          <w:rFonts w:ascii="Times New Roman" w:cs="Times New Roman" w:eastAsia="Times New Roman" w:hAnsi="Times New Roman"/>
          <w:sz w:val="17"/>
          <w:szCs w:val="17"/>
          <w:color w:val="auto"/>
        </w:rPr>
        <w:t xml:space="preserve">14.14  </w:t>
      </w:r>
      <w:r>
        <w:rPr>
          <w:rFonts w:ascii="Times New Roman" w:cs="Times New Roman" w:eastAsia="Times New Roman" w:hAnsi="Times New Roman"/>
          <w:sz w:val="17"/>
          <w:szCs w:val="17"/>
          <w:u w:val="single" w:color="auto"/>
          <w:color w:val="auto"/>
        </w:rPr>
        <w:t>No Waiver</w:t>
      </w:r>
      <w:r>
        <w:rPr>
          <w:rFonts w:ascii="Times New Roman" w:cs="Times New Roman" w:eastAsia="Times New Roman" w:hAnsi="Times New Roman"/>
          <w:sz w:val="17"/>
          <w:szCs w:val="17"/>
          <w:color w:val="auto"/>
        </w:rPr>
        <w:t>. No waiver of any term or condition of this Agreement shall be valid or binding on a party to this Agreement unless the same shall have been set forth in a written document, specifically referring to this Agreement and duly signed by the waiving party. The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640"/>
          </w:cols>
          <w:pgMar w:left="620" w:top="264" w:right="639" w:bottom="1440" w:gutter="0" w:footer="0" w:header="0"/>
        </w:sectPr>
      </w:pPr>
    </w:p>
    <w:bookmarkStart w:id="500" w:name="page501"/>
    <w:bookmarkEnd w:id="500"/>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failure of a party to enforce at any time any of the provisions of this Agreement, or the failure to require at any time performance by another party of any of the provisions of this Agreement, shall in no way be construed to be a present or future waiver of such provisions, nor in any way affect the ability of such party to enforce each and every such provision thereafter.</w:t>
      </w:r>
    </w:p>
    <w:p>
      <w:pPr>
        <w:spacing w:after="0" w:line="162" w:lineRule="exact"/>
        <w:rPr>
          <w:sz w:val="20"/>
          <w:szCs w:val="20"/>
          <w:color w:val="auto"/>
        </w:rPr>
      </w:pPr>
    </w:p>
    <w:p>
      <w:pPr>
        <w:ind w:right="20" w:firstLine="426"/>
        <w:spacing w:after="0" w:line="266" w:lineRule="auto"/>
        <w:rPr>
          <w:sz w:val="20"/>
          <w:szCs w:val="20"/>
          <w:color w:val="auto"/>
        </w:rPr>
      </w:pPr>
      <w:r>
        <w:rPr>
          <w:rFonts w:ascii="Times New Roman" w:cs="Times New Roman" w:eastAsia="Times New Roman" w:hAnsi="Times New Roman"/>
          <w:sz w:val="17"/>
          <w:szCs w:val="17"/>
          <w:color w:val="auto"/>
        </w:rPr>
        <w:t xml:space="preserve">14.15  </w:t>
      </w:r>
      <w:r>
        <w:rPr>
          <w:rFonts w:ascii="Times New Roman" w:cs="Times New Roman" w:eastAsia="Times New Roman" w:hAnsi="Times New Roman"/>
          <w:sz w:val="17"/>
          <w:szCs w:val="17"/>
          <w:u w:val="single" w:color="auto"/>
          <w:color w:val="auto"/>
        </w:rPr>
        <w:t>Entire Agreement; Amendments</w:t>
      </w:r>
      <w:r>
        <w:rPr>
          <w:rFonts w:ascii="Times New Roman" w:cs="Times New Roman" w:eastAsia="Times New Roman" w:hAnsi="Times New Roman"/>
          <w:sz w:val="17"/>
          <w:szCs w:val="17"/>
          <w:color w:val="auto"/>
        </w:rPr>
        <w:t>. The terms and conditions contained in this Agreement (including the Exhibits and Schedules hereto) and the other Transaction Documents constitute the entire agreement between the parties hereto and supersede all previous agreements and understandings, whether oral or written, between the parties hereto with respect to the subject matter hereof and thereof. No agreement or understanding amending this Agreement shall be binding upon any party to this Agreement unless set forth in a written document which expressly refers to this Agreement and which is signed and delivered by duly authorized Representatives of each of the Initial Shareholders and the Company.</w:t>
      </w:r>
    </w:p>
    <w:p>
      <w:pPr>
        <w:spacing w:after="0" w:line="171" w:lineRule="exact"/>
        <w:rPr>
          <w:sz w:val="20"/>
          <w:szCs w:val="20"/>
          <w:color w:val="auto"/>
        </w:rPr>
      </w:pPr>
    </w:p>
    <w:p>
      <w:pPr>
        <w:ind w:firstLine="426"/>
        <w:spacing w:after="0" w:line="262" w:lineRule="auto"/>
        <w:rPr>
          <w:sz w:val="20"/>
          <w:szCs w:val="20"/>
          <w:color w:val="auto"/>
        </w:rPr>
      </w:pPr>
      <w:r>
        <w:rPr>
          <w:rFonts w:ascii="Times New Roman" w:cs="Times New Roman" w:eastAsia="Times New Roman" w:hAnsi="Times New Roman"/>
          <w:sz w:val="17"/>
          <w:szCs w:val="17"/>
          <w:color w:val="auto"/>
        </w:rPr>
        <w:t xml:space="preserve">14.16 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No Shareholder shall assign this Agreement without the prior written consent of the Initial Shareholders. Notwithstanding the foregoing, after the Closing, a Shareholder may assign this Agreement to one or more of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assignee assumes in writing the assigning Shareholder’s obligations under this Agreement, (b) the assigning Shareholder shall, concurrently with such assignment, provide written notice of such assignment to the Initial Shareholders and the Company, (c) no assignment shall release the assigning Shareholder from its obligations hereunder and (d) no assignment shall be permitted if such assignment would, or would reasonably be expected to, prevent or materially delay the assigning Shareholder from performing its obligations under this Agreement or the other Transaction Documents. Any attempted assignment in violation of this </w:t>
      </w:r>
      <w:r>
        <w:rPr>
          <w:rFonts w:ascii="Times New Roman" w:cs="Times New Roman" w:eastAsia="Times New Roman" w:hAnsi="Times New Roman"/>
          <w:sz w:val="17"/>
          <w:szCs w:val="17"/>
          <w:u w:val="single" w:color="auto"/>
          <w:color w:val="auto"/>
        </w:rPr>
        <w:t>Section 14.16</w:t>
      </w:r>
      <w:r>
        <w:rPr>
          <w:rFonts w:ascii="Times New Roman" w:cs="Times New Roman" w:eastAsia="Times New Roman" w:hAnsi="Times New Roman"/>
          <w:sz w:val="17"/>
          <w:szCs w:val="17"/>
          <w:color w:val="auto"/>
        </w:rPr>
        <w:t xml:space="preserve"> shall be void. Subject to the preceding sentences of this </w:t>
      </w:r>
      <w:r>
        <w:rPr>
          <w:rFonts w:ascii="Times New Roman" w:cs="Times New Roman" w:eastAsia="Times New Roman" w:hAnsi="Times New Roman"/>
          <w:sz w:val="17"/>
          <w:szCs w:val="17"/>
          <w:u w:val="single" w:color="auto"/>
          <w:color w:val="auto"/>
        </w:rPr>
        <w:t>Section 14.16</w:t>
      </w:r>
      <w:r>
        <w:rPr>
          <w:rFonts w:ascii="Times New Roman" w:cs="Times New Roman" w:eastAsia="Times New Roman" w:hAnsi="Times New Roman"/>
          <w:sz w:val="17"/>
          <w:szCs w:val="17"/>
          <w:color w:val="auto"/>
        </w:rPr>
        <w:t>, this Agreement shall be binding upon and shall inure to the benefit of the Parties and their respective successors and assigns.</w:t>
      </w:r>
    </w:p>
    <w:p>
      <w:pPr>
        <w:spacing w:after="0" w:line="175" w:lineRule="exact"/>
        <w:rPr>
          <w:sz w:val="20"/>
          <w:szCs w:val="20"/>
          <w:color w:val="auto"/>
        </w:rPr>
      </w:pPr>
    </w:p>
    <w:p>
      <w:pPr>
        <w:jc w:val="both"/>
        <w:ind w:right="180" w:firstLine="426"/>
        <w:spacing w:after="0" w:line="276" w:lineRule="auto"/>
        <w:rPr>
          <w:sz w:val="20"/>
          <w:szCs w:val="20"/>
          <w:color w:val="auto"/>
        </w:rPr>
      </w:pPr>
      <w:r>
        <w:rPr>
          <w:rFonts w:ascii="Times New Roman" w:cs="Times New Roman" w:eastAsia="Times New Roman" w:hAnsi="Times New Roman"/>
          <w:sz w:val="17"/>
          <w:szCs w:val="17"/>
          <w:color w:val="auto"/>
        </w:rPr>
        <w:t xml:space="preserve">14.17  </w:t>
      </w:r>
      <w:r>
        <w:rPr>
          <w:rFonts w:ascii="Times New Roman" w:cs="Times New Roman" w:eastAsia="Times New Roman" w:hAnsi="Times New Roman"/>
          <w:sz w:val="17"/>
          <w:szCs w:val="17"/>
          <w:u w:val="single" w:color="auto"/>
          <w:color w:val="auto"/>
        </w:rPr>
        <w:t>No Agency; No Partnership</w:t>
      </w:r>
      <w:r>
        <w:rPr>
          <w:rFonts w:ascii="Times New Roman" w:cs="Times New Roman" w:eastAsia="Times New Roman" w:hAnsi="Times New Roman"/>
          <w:sz w:val="17"/>
          <w:szCs w:val="17"/>
          <w:color w:val="auto"/>
        </w:rPr>
        <w:t>. Nothing in this Agreement or any of the Transaction Documents (or any of the arrangements contemplated by them) shall be deemed to constitute a partnership between the Shareholders nor, except as may be expressly set out in it, constitute any Shareholder the agent of any other Shareholder for any purpose.</w:t>
      </w:r>
    </w:p>
    <w:p>
      <w:pPr>
        <w:spacing w:after="0" w:line="162" w:lineRule="exact"/>
        <w:rPr>
          <w:sz w:val="20"/>
          <w:szCs w:val="20"/>
          <w:color w:val="auto"/>
        </w:rPr>
      </w:pPr>
    </w:p>
    <w:p>
      <w:pPr>
        <w:jc w:val="both"/>
        <w:ind w:right="80" w:firstLine="426"/>
        <w:spacing w:after="0" w:line="276" w:lineRule="auto"/>
        <w:rPr>
          <w:sz w:val="20"/>
          <w:szCs w:val="20"/>
          <w:color w:val="auto"/>
        </w:rPr>
      </w:pPr>
      <w:r>
        <w:rPr>
          <w:rFonts w:ascii="Times New Roman" w:cs="Times New Roman" w:eastAsia="Times New Roman" w:hAnsi="Times New Roman"/>
          <w:sz w:val="17"/>
          <w:szCs w:val="17"/>
          <w:color w:val="auto"/>
        </w:rPr>
        <w:t xml:space="preserve">14.18  </w:t>
      </w:r>
      <w:r>
        <w:rPr>
          <w:rFonts w:ascii="Times New Roman" w:cs="Times New Roman" w:eastAsia="Times New Roman" w:hAnsi="Times New Roman"/>
          <w:sz w:val="17"/>
          <w:szCs w:val="17"/>
          <w:u w:val="single" w:color="auto"/>
          <w:color w:val="auto"/>
        </w:rPr>
        <w:t>No Beneficiaries</w:t>
      </w:r>
      <w:r>
        <w:rPr>
          <w:rFonts w:ascii="Times New Roman" w:cs="Times New Roman" w:eastAsia="Times New Roman" w:hAnsi="Times New Roman"/>
          <w:sz w:val="17"/>
          <w:szCs w:val="17"/>
          <w:color w:val="auto"/>
        </w:rPr>
        <w:t>. Nothing herein, express or implied, is intended to or shall be construed to confer upon or give to any Person, other than the Shareholders and the Company, any interests, rights, remedies or other benefits, or obligations or liabilities with respect to or in connection with any agreement or provision contained herein or contemplated hereby.</w:t>
      </w:r>
    </w:p>
    <w:p>
      <w:pPr>
        <w:spacing w:after="0" w:line="162" w:lineRule="exact"/>
        <w:rPr>
          <w:sz w:val="20"/>
          <w:szCs w:val="20"/>
          <w:color w:val="auto"/>
        </w:rPr>
      </w:pPr>
    </w:p>
    <w:p>
      <w:pPr>
        <w:ind w:firstLine="426"/>
        <w:spacing w:after="0" w:line="266" w:lineRule="auto"/>
        <w:rPr>
          <w:sz w:val="20"/>
          <w:szCs w:val="20"/>
          <w:color w:val="auto"/>
        </w:rPr>
      </w:pPr>
      <w:r>
        <w:rPr>
          <w:rFonts w:ascii="Times New Roman" w:cs="Times New Roman" w:eastAsia="Times New Roman" w:hAnsi="Times New Roman"/>
          <w:sz w:val="17"/>
          <w:szCs w:val="17"/>
          <w:color w:val="auto"/>
        </w:rPr>
        <w:t xml:space="preserve">14.19  </w:t>
      </w:r>
      <w:r>
        <w:rPr>
          <w:rFonts w:ascii="Times New Roman" w:cs="Times New Roman" w:eastAsia="Times New Roman" w:hAnsi="Times New Roman"/>
          <w:sz w:val="17"/>
          <w:szCs w:val="17"/>
          <w:u w:val="single" w:color="auto"/>
          <w:color w:val="auto"/>
        </w:rPr>
        <w:t>Conflict</w:t>
      </w:r>
      <w:r>
        <w:rPr>
          <w:rFonts w:ascii="Times New Roman" w:cs="Times New Roman" w:eastAsia="Times New Roman" w:hAnsi="Times New Roman"/>
          <w:sz w:val="17"/>
          <w:szCs w:val="17"/>
          <w:color w:val="auto"/>
        </w:rPr>
        <w:t>. In the event that any provision of this Agreement conflicts with or is inconsistent with any provision of the Articles, to the extent permitted by applicable Law, the terms of this Agreement shall control and prevail in all respects over the Articles, and each Shareholder shall vote all of the Company Securities now or hereafter controlled, owned or held beneficially or of record thereby, at each annual or extraordinary general meeting of shareholders of the Company, in favor of, and take all actions by written resolution in lieu of any such meeting, and take all other reasonable actions, as are necessary to ensure that at all times the Articles do not impair, limit, restrict, prevent or otherwise adversely affect any provision of this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660"/>
          </w:cols>
          <w:pgMar w:left="620" w:top="265" w:right="619" w:bottom="1440" w:gutter="0" w:footer="0" w:header="0"/>
        </w:sectPr>
      </w:pPr>
    </w:p>
    <w:bookmarkStart w:id="501" w:name="page502"/>
    <w:bookmarkEnd w:id="501"/>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14.20   </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right="120" w:firstLine="426"/>
        <w:spacing w:after="0" w:line="269" w:lineRule="auto"/>
        <w:rPr>
          <w:sz w:val="20"/>
          <w:szCs w:val="20"/>
          <w:color w:val="auto"/>
        </w:rPr>
      </w:pPr>
      <w:r>
        <w:rPr>
          <w:rFonts w:ascii="Times New Roman" w:cs="Times New Roman" w:eastAsia="Times New Roman" w:hAnsi="Times New Roman"/>
          <w:sz w:val="17"/>
          <w:szCs w:val="17"/>
          <w:color w:val="auto"/>
        </w:rPr>
        <w:t>(a)  For the avoidance of doubt, other than as set forth elsewhere in this Agreement, no change of control of the Initial Shareholders, whether direct or indirect, shall have any effect on the terms of this Agreement, other Transaction Documents or any other Contract necessary for the operation of the Company, which shall remain in full force and effect and continue to bind the parties and their respective successors in such a change of control who shall be bound by the same terms and conditions set forth herein.</w:t>
      </w:r>
    </w:p>
    <w:p>
      <w:pPr>
        <w:spacing w:after="0" w:line="169" w:lineRule="exact"/>
        <w:rPr>
          <w:sz w:val="20"/>
          <w:szCs w:val="20"/>
          <w:color w:val="auto"/>
        </w:rPr>
      </w:pPr>
    </w:p>
    <w:p>
      <w:pPr>
        <w:jc w:val="both"/>
        <w:ind w:right="40" w:firstLine="426"/>
        <w:spacing w:after="0" w:line="276" w:lineRule="auto"/>
        <w:rPr>
          <w:sz w:val="20"/>
          <w:szCs w:val="20"/>
          <w:color w:val="auto"/>
        </w:rPr>
      </w:pPr>
      <w:r>
        <w:rPr>
          <w:rFonts w:ascii="Times New Roman" w:cs="Times New Roman" w:eastAsia="Times New Roman" w:hAnsi="Times New Roman"/>
          <w:sz w:val="17"/>
          <w:szCs w:val="17"/>
          <w:color w:val="auto"/>
        </w:rPr>
        <w:t>(b)  Notwithstanding the foregoing subsection (a) or anything else to the contrary in this Agreement, if one of the Initial Shareholders undergoes a change of control, then from and after such change of control event, the written consent of such Initial Shareholder will no longer be required for the approval of any Shareholder Reserved Matter and,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-307975</wp:posOffset>
            </wp:positionV>
            <wp:extent cx="15049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5">
                      <a:extLst>
                        <a:ext uri="{28A0092B-C50C-407E-A947-70E740481C1C}"/>
                      </a:extLst>
                    </a:blip>
                    <a:srcRect/>
                    <a:stretch>
                      <a:fillRect/>
                    </a:stretch>
                  </pic:blipFill>
                  <pic:spPr bwMode="auto">
                    <a:xfrm>
                      <a:off x="0" y="0"/>
                      <a:ext cx="150495" cy="8255"/>
                    </a:xfrm>
                    <a:prstGeom prst="rect">
                      <a:avLst/>
                    </a:prstGeom>
                    <a:noFill/>
                  </pic:spPr>
                </pic:pic>
              </a:graphicData>
            </a:graphic>
          </wp:anchor>
        </w:drawing>
      </w:r>
    </w:p>
    <w:p>
      <w:pPr>
        <w:spacing w:after="0" w:line="142" w:lineRule="exact"/>
        <w:rPr>
          <w:sz w:val="20"/>
          <w:szCs w:val="20"/>
          <w:color w:val="auto"/>
        </w:rPr>
      </w:pPr>
    </w:p>
    <w:p>
      <w:pPr>
        <w:ind w:right="20" w:firstLine="960"/>
        <w:spacing w:after="0" w:line="276" w:lineRule="auto"/>
        <w:rPr>
          <w:sz w:val="20"/>
          <w:szCs w:val="20"/>
          <w:color w:val="auto"/>
        </w:rPr>
      </w:pPr>
      <w:r>
        <w:rPr>
          <w:rFonts w:ascii="Times New Roman" w:cs="Times New Roman" w:eastAsia="Times New Roman" w:hAnsi="Times New Roman"/>
          <w:sz w:val="17"/>
          <w:szCs w:val="17"/>
          <w:color w:val="auto"/>
        </w:rPr>
        <w:t xml:space="preserve">(i)  if such Initial Shareholder owns at least [***] of Company Interest as of the effective date of such change of control, then such Initial Shareholder will thereafter be deemed to own less than [***] of Company Interest but at least [***] of Company Interest pursuant to </w:t>
      </w:r>
      <w:r>
        <w:rPr>
          <w:rFonts w:ascii="Times New Roman" w:cs="Times New Roman" w:eastAsia="Times New Roman" w:hAnsi="Times New Roman"/>
          <w:sz w:val="17"/>
          <w:szCs w:val="17"/>
          <w:u w:val="single" w:color="auto"/>
          <w:color w:val="auto"/>
        </w:rPr>
        <w:t>Section 7.2(c)(ii)</w:t>
      </w:r>
      <w:r>
        <w:rPr>
          <w:rFonts w:ascii="Times New Roman" w:cs="Times New Roman" w:eastAsia="Times New Roman" w:hAnsi="Times New Roman"/>
          <w:sz w:val="17"/>
          <w:szCs w:val="17"/>
          <w:color w:val="auto"/>
        </w:rPr>
        <w:t xml:space="preserve"> and such Initial Shareholder shall have the right to nominate [***] Directors; and</w:t>
      </w:r>
    </w:p>
    <w:p>
      <w:pPr>
        <w:spacing w:after="0" w:line="162" w:lineRule="exact"/>
        <w:rPr>
          <w:sz w:val="20"/>
          <w:szCs w:val="20"/>
          <w:color w:val="auto"/>
        </w:rPr>
      </w:pPr>
    </w:p>
    <w:p>
      <w:pPr>
        <w:ind w:right="320" w:firstLine="960"/>
        <w:spacing w:after="0" w:line="295" w:lineRule="auto"/>
        <w:rPr>
          <w:sz w:val="20"/>
          <w:szCs w:val="20"/>
          <w:color w:val="auto"/>
        </w:rPr>
      </w:pPr>
      <w:r>
        <w:rPr>
          <w:rFonts w:ascii="Times New Roman" w:cs="Times New Roman" w:eastAsia="Times New Roman" w:hAnsi="Times New Roman"/>
          <w:sz w:val="17"/>
          <w:szCs w:val="17"/>
          <w:color w:val="auto"/>
        </w:rPr>
        <w:t>(ii)  if such Initial Shareholder owns less than [***] of Company Interest as of the effective date of such change of control, then such Initial Shareholder shall have the right to nominate [***].</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(c)   For purposes of this </w:t>
      </w:r>
      <w:r>
        <w:rPr>
          <w:rFonts w:ascii="Times New Roman" w:cs="Times New Roman" w:eastAsia="Times New Roman" w:hAnsi="Times New Roman"/>
          <w:sz w:val="17"/>
          <w:szCs w:val="17"/>
          <w:u w:val="single" w:color="auto"/>
          <w:color w:val="auto"/>
        </w:rPr>
        <w:t>Section 14.20</w:t>
      </w:r>
      <w:r>
        <w:rPr>
          <w:rFonts w:ascii="Times New Roman" w:cs="Times New Roman" w:eastAsia="Times New Roman" w:hAnsi="Times New Roman"/>
          <w:sz w:val="17"/>
          <w:szCs w:val="17"/>
          <w:color w:val="auto"/>
        </w:rPr>
        <w:t xml:space="preserve">, “control” shall have the meaning set forth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7"/>
          <w:szCs w:val="17"/>
          <w:color w:val="auto"/>
        </w:rPr>
        <w:t xml:space="preserve">14.21  </w:t>
      </w:r>
      <w:r>
        <w:rPr>
          <w:rFonts w:ascii="Times New Roman" w:cs="Times New Roman" w:eastAsia="Times New Roman" w:hAnsi="Times New Roman"/>
          <w:sz w:val="17"/>
          <w:szCs w:val="17"/>
          <w:u w:val="single" w:color="auto"/>
          <w:color w:val="auto"/>
        </w:rPr>
        <w:t>Aggregation of Company Securities</w:t>
      </w:r>
      <w:r>
        <w:rPr>
          <w:rFonts w:ascii="Times New Roman" w:cs="Times New Roman" w:eastAsia="Times New Roman" w:hAnsi="Times New Roman"/>
          <w:sz w:val="17"/>
          <w:szCs w:val="17"/>
          <w:color w:val="auto"/>
        </w:rPr>
        <w:t>. All Company Securities held or acquired by Affiliates of a Shareholder shall be aggregated among such Shareholder and its Affiliates for the purpose of determining the availability of any rights under this Agreement and such Affiliates may apportion such rights as among themselves in any manner they deem appropriate. Notwithstanding anything to the contrary contained in this Agreement, the Company Securities held or acquired by the SBG Class A Shareholder shall be aggregated with the Company Securities held or acquired by the SBG Shareholder for purposes of the preceding sentence.</w:t>
      </w:r>
    </w:p>
    <w:p>
      <w:pPr>
        <w:spacing w:after="0" w:line="171" w:lineRule="exact"/>
        <w:rPr>
          <w:sz w:val="20"/>
          <w:szCs w:val="20"/>
          <w:color w:val="auto"/>
        </w:rPr>
      </w:pPr>
    </w:p>
    <w:p>
      <w:pPr>
        <w:ind w:firstLine="426"/>
        <w:spacing w:after="0" w:line="261" w:lineRule="auto"/>
        <w:rPr>
          <w:sz w:val="20"/>
          <w:szCs w:val="20"/>
          <w:color w:val="auto"/>
        </w:rPr>
      </w:pPr>
      <w:r>
        <w:rPr>
          <w:rFonts w:ascii="Times New Roman" w:cs="Times New Roman" w:eastAsia="Times New Roman" w:hAnsi="Times New Roman"/>
          <w:sz w:val="17"/>
          <w:szCs w:val="17"/>
          <w:color w:val="auto"/>
        </w:rPr>
        <w:t xml:space="preserve">14.22  </w:t>
      </w:r>
      <w:r>
        <w:rPr>
          <w:rFonts w:ascii="Times New Roman" w:cs="Times New Roman" w:eastAsia="Times New Roman" w:hAnsi="Times New Roman"/>
          <w:sz w:val="17"/>
          <w:szCs w:val="17"/>
          <w:u w:val="single" w:color="auto"/>
          <w:color w:val="auto"/>
        </w:rPr>
        <w:t>Additional Shareholders</w:t>
      </w:r>
      <w:r>
        <w:rPr>
          <w:rFonts w:ascii="Times New Roman" w:cs="Times New Roman" w:eastAsia="Times New Roman" w:hAnsi="Times New Roman"/>
          <w:sz w:val="17"/>
          <w:szCs w:val="17"/>
          <w:color w:val="auto"/>
        </w:rPr>
        <w:t xml:space="preserve">. Notwithstanding anything to the contrary contained herein, if (i) the Company issues additional Company Securities after the Closing Date, (ii) there is any Transfer of Company Securities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or (iii) a Shareholder allocates any portion of preemptive rights to an Affiliate in accordance with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as a condition to such issuance or Transfer of Company Securities or allocation, the Company shall require that such purchaser, Transferee or Affiliate become a party to this Agreement by executing and delivering a joinder agreement to this Agreement, in form and substance reasonably acceptable to both Initial Shareholders and the Company (“</w:t>
      </w:r>
      <w:r>
        <w:rPr>
          <w:rFonts w:ascii="Times New Roman" w:cs="Times New Roman" w:eastAsia="Times New Roman" w:hAnsi="Times New Roman"/>
          <w:sz w:val="17"/>
          <w:szCs w:val="17"/>
          <w:u w:val="single" w:color="auto"/>
          <w:color w:val="auto"/>
        </w:rPr>
        <w:t>Joinder Agreement</w:t>
      </w:r>
      <w:r>
        <w:rPr>
          <w:rFonts w:ascii="Times New Roman" w:cs="Times New Roman" w:eastAsia="Times New Roman" w:hAnsi="Times New Roman"/>
          <w:sz w:val="17"/>
          <w:szCs w:val="17"/>
          <w:color w:val="auto"/>
        </w:rPr>
        <w:t>”), agreeing to be bound by and subject to the terms of this Agreement as Shareholder hereunder. Each Person that so executes and delivers a Joinder Agreement pursuant to the preceding sentence shall thereafter be deemed a Shareholder for all purposes under this Agreement. In addition, each Shareholder agrees to take all such actions as may be necessary to amend the Transaction Documents, the Articles, the Shareholder Register and the Commercial Register in connection with any issuance of additional Company Securities or Transfer of Company Securities to reflect such changes to such documents as may be mutually agreed by the Shareholders.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600"/>
          </w:cols>
          <w:pgMar w:left="620" w:top="264" w:right="679" w:bottom="1440" w:gutter="0" w:footer="0" w:header="0"/>
        </w:sectPr>
      </w:pPr>
    </w:p>
    <w:bookmarkStart w:id="502" w:name="page503"/>
    <w:bookmarkEnd w:id="502"/>
    <w:p>
      <w:pPr>
        <w:ind w:firstLine="426"/>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14.23  </w:t>
      </w:r>
      <w:r>
        <w:rPr>
          <w:rFonts w:ascii="Times New Roman" w:cs="Times New Roman" w:eastAsia="Times New Roman" w:hAnsi="Times New Roman"/>
          <w:sz w:val="17"/>
          <w:szCs w:val="17"/>
          <w:u w:val="single" w:color="auto"/>
          <w:color w:val="auto"/>
        </w:rPr>
        <w:t>Conversion of Class A Stock</w:t>
      </w:r>
      <w:r>
        <w:rPr>
          <w:rFonts w:ascii="Times New Roman" w:cs="Times New Roman" w:eastAsia="Times New Roman" w:hAnsi="Times New Roman"/>
          <w:sz w:val="17"/>
          <w:szCs w:val="17"/>
          <w:color w:val="auto"/>
        </w:rPr>
        <w:t>. Following the [***]-year anniversary of the issuance of shares of Class A Stock, in the event a Shareholder of shares of Class A Stock desires to exercise its right to convert such shares into shares of Common Stock as set forth in the Articles, then, in addition to complying with any requirements under the Articles, such Shareholder shall deliver a written notice to each of the Initial Shareholders of its intent to so convert by no later than the time such notice is delivered to the Company. Upon delivery of such notice, each of the Initial Shareholders and the Company shall take such actions as may be necessary to give effect to such conversion as promptly as practicable. In addition, the Initial Shareholder receiving such notice shall have the right to convert its shares of Class A Stock into shares of Common Stock upon the same terms and conditions set forth in the notice by issuing a cross-notice to such other Shareholder and the Company.</w:t>
      </w:r>
    </w:p>
    <w:p>
      <w:pPr>
        <w:spacing w:after="0" w:line="173" w:lineRule="exact"/>
        <w:rPr>
          <w:sz w:val="20"/>
          <w:szCs w:val="20"/>
          <w:color w:val="auto"/>
        </w:rPr>
      </w:pPr>
    </w:p>
    <w:p>
      <w:pPr>
        <w:ind w:right="480" w:firstLine="426"/>
        <w:spacing w:after="0" w:line="295" w:lineRule="auto"/>
        <w:rPr>
          <w:sz w:val="20"/>
          <w:szCs w:val="20"/>
          <w:color w:val="auto"/>
        </w:rPr>
      </w:pPr>
      <w:r>
        <w:rPr>
          <w:rFonts w:ascii="Times New Roman" w:cs="Times New Roman" w:eastAsia="Times New Roman" w:hAnsi="Times New Roman"/>
          <w:sz w:val="17"/>
          <w:szCs w:val="17"/>
          <w:color w:val="auto"/>
        </w:rPr>
        <w:t xml:space="preserve">14.24 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shall be an original, but all of which together shall constitute one instrument.</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560"/>
          </w:cols>
          <w:pgMar w:left="620" w:top="264" w:right="719" w:bottom="1440" w:gutter="0" w:footer="0" w:header="0"/>
        </w:sectPr>
      </w:pPr>
    </w:p>
    <w:bookmarkStart w:id="503" w:name="page504"/>
    <w:bookmarkEnd w:id="503"/>
    <w:p>
      <w:pPr>
        <w:ind w:right="820" w:firstLine="426"/>
        <w:spacing w:after="0" w:line="29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their respective duly authorized Representatives to execute and deliver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of the Effective Date.</w:t>
      </w:r>
    </w:p>
    <w:p>
      <w:pPr>
        <w:spacing w:after="0" w:line="17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SOFTBANK GROUP CORP.</w:t>
      </w:r>
    </w:p>
    <w:p>
      <w:pPr>
        <w:spacing w:after="0" w:line="223" w:lineRule="exact"/>
        <w:rPr>
          <w:sz w:val="20"/>
          <w:szCs w:val="20"/>
          <w:color w:val="auto"/>
        </w:rPr>
      </w:pPr>
    </w:p>
    <w:tbl>
      <w:tblPr>
        <w:tblLayout w:type="fixed"/>
        <w:tblInd w:w="640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Masayoshi Son</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Masayoshi Son</w:t>
            </w: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Representative Director, Corporate Officer,</w:t>
            </w:r>
          </w:p>
        </w:tc>
      </w:tr>
      <w:tr>
        <w:trPr>
          <w:trHeight w:val="227"/>
        </w:trPr>
        <w:tc>
          <w:tcPr>
            <w:tcW w:w="5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Chairman &amp; CEO</w:t>
            </w:r>
          </w:p>
        </w:tc>
      </w:tr>
      <w:tr>
        <w:trPr>
          <w:trHeight w:val="444"/>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SOFTBANK GROUP JAPAN CORPORATION</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Masayoshi Son</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Masayoshi Son</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Representative Director</w:t>
            </w:r>
          </w:p>
        </w:tc>
      </w:tr>
      <w:tr>
        <w:trPr>
          <w:trHeight w:val="444"/>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TEMPUS AI, INC.</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Jim Rogers</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Jim Rogers</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Treasurer and Chief Financial Officer</w:t>
            </w:r>
          </w:p>
        </w:tc>
      </w:tr>
      <w:tr>
        <w:trPr>
          <w:trHeight w:val="444"/>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PEGASOS CORP.</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Ippei Mimura</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Ippei Mimura</w:t>
            </w:r>
          </w:p>
        </w:tc>
      </w:t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Representative Director</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Joint Venture Agreement</w:t>
      </w:r>
    </w:p>
    <w:p>
      <w:pPr>
        <w:sectPr>
          <w:pgSz w:w="11900" w:h="16838" w:orient="portrait"/>
          <w:cols w:equalWidth="0" w:num="1">
            <w:col w:w="10660"/>
          </w:cols>
          <w:pgMar w:left="620" w:top="263" w:right="619" w:bottom="1440" w:gutter="0" w:footer="0" w:header="0"/>
        </w:sectPr>
      </w:pPr>
    </w:p>
    <w:bookmarkStart w:id="504" w:name="page505"/>
    <w:bookmarkEnd w:id="504"/>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7.11</w:t>
      </w:r>
    </w:p>
    <w:p>
      <w:pPr>
        <w:spacing w:after="0" w:line="223"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7"/>
          <w:szCs w:val="17"/>
          <w:b w:val="1"/>
          <w:bCs w:val="1"/>
          <w:color w:val="auto"/>
        </w:rPr>
        <w:t>Shareholder Reserved Matters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9839"/>
          </w:cols>
          <w:pgMar w:left="620" w:top="262" w:right="1440" w:bottom="1440" w:gutter="0" w:footer="0" w:header="0"/>
        </w:sectPr>
      </w:pPr>
    </w:p>
    <w:bookmarkStart w:id="505" w:name="page506"/>
    <w:bookmarkEnd w:id="505"/>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7.13(a)</w:t>
      </w:r>
    </w:p>
    <w:p>
      <w:pPr>
        <w:spacing w:after="0" w:line="223"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7"/>
          <w:szCs w:val="17"/>
          <w:b w:val="1"/>
          <w:bCs w:val="1"/>
          <w:color w:val="auto"/>
        </w:rPr>
        <w:t>Initial Business Plan Principles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9839"/>
          </w:cols>
          <w:pgMar w:left="620" w:top="263" w:right="1440" w:bottom="1440" w:gutter="0" w:footer="0" w:header="0"/>
        </w:sectPr>
      </w:pPr>
    </w:p>
    <w:bookmarkStart w:id="506" w:name="page507"/>
    <w:bookmarkEnd w:id="50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Articles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attached.)</w:t>
      </w:r>
    </w:p>
    <w:p>
      <w:pPr>
        <w:sectPr>
          <w:pgSz w:w="11900" w:h="16838" w:orient="portrait"/>
          <w:cols w:equalWidth="0" w:num="1">
            <w:col w:w="9019"/>
          </w:cols>
          <w:pgMar w:left="1440" w:top="262" w:right="1440" w:bottom="1440" w:gutter="0" w:footer="0" w:header="0"/>
        </w:sectPr>
      </w:pPr>
    </w:p>
    <w:bookmarkStart w:id="507" w:name="page508"/>
    <w:bookmarkEnd w:id="50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B</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License Fees Payment Timing Confirmation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attached.)</w:t>
      </w:r>
    </w:p>
    <w:p>
      <w:pPr>
        <w:sectPr>
          <w:pgSz w:w="11900" w:h="16838" w:orient="portrait"/>
          <w:cols w:equalWidth="0" w:num="1">
            <w:col w:w="9019"/>
          </w:cols>
          <w:pgMar w:left="1440" w:top="263" w:right="1440" w:bottom="1440" w:gutter="0" w:footer="0" w:header="0"/>
        </w:sectPr>
      </w:pPr>
    </w:p>
    <w:bookmarkStart w:id="508" w:name="page509"/>
    <w:bookmarkEnd w:id="50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2">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Exhibit C</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SBG Subscription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attached.)</w:t>
      </w:r>
    </w:p>
    <w:p>
      <w:pPr>
        <w:sectPr>
          <w:pgSz w:w="11900" w:h="16838" w:orient="portrait"/>
          <w:cols w:equalWidth="0" w:num="1">
            <w:col w:w="9019"/>
          </w:cols>
          <w:pgMar w:left="1440" w:top="262" w:right="1440" w:bottom="1440" w:gutter="0" w:footer="0" w:header="0"/>
        </w:sectPr>
      </w:pPr>
    </w:p>
    <w:bookmarkStart w:id="509" w:name="page510"/>
    <w:bookmarkEnd w:id="50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3">
                      <a:extLst>
                        <a:ext uri="{28A0092B-C50C-407E-A947-70E740481C1C}"/>
                      </a:extLst>
                    </a:blip>
                    <a:srcRect/>
                    <a:stretch>
                      <a:fillRect/>
                    </a:stretch>
                  </pic:blipFill>
                  <pic:spPr bwMode="auto">
                    <a:xfrm>
                      <a:off x="0" y="0"/>
                      <a:ext cx="7178675" cy="36830"/>
                    </a:xfrm>
                    <a:prstGeom prst="rect">
                      <a:avLst/>
                    </a:prstGeom>
                    <a:noFill/>
                  </pic:spPr>
                </pic:pic>
              </a:graphicData>
            </a:graphic>
          </wp:anchor>
        </w:drawing>
        <w:t>Exhibit D-1</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Tempus Common Stock Subscription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attached.)</w:t>
      </w:r>
    </w:p>
    <w:p>
      <w:pPr>
        <w:sectPr>
          <w:pgSz w:w="11900" w:h="16838" w:orient="portrait"/>
          <w:cols w:equalWidth="0" w:num="1">
            <w:col w:w="9019"/>
          </w:cols>
          <w:pgMar w:left="1440" w:top="262" w:right="1440" w:bottom="1440" w:gutter="0" w:footer="0" w:header="0"/>
        </w:sectPr>
      </w:pPr>
    </w:p>
    <w:bookmarkStart w:id="510" w:name="page511"/>
    <w:bookmarkEnd w:id="51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D-2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Tempus Class A Stock Subscription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attached.)</w:t>
      </w:r>
    </w:p>
    <w:p>
      <w:pPr>
        <w:sectPr>
          <w:pgSz w:w="11900" w:h="16838" w:orient="portrait"/>
          <w:cols w:equalWidth="0" w:num="1">
            <w:col w:w="9019"/>
          </w:cols>
          <w:pgMar w:left="1440" w:top="263" w:right="1440" w:bottom="1440" w:gutter="0" w:footer="0" w:header="0"/>
        </w:sectPr>
      </w:pPr>
    </w:p>
    <w:bookmarkStart w:id="511" w:name="page512"/>
    <w:bookmarkEnd w:id="511"/>
    <w:p>
      <w:pPr>
        <w:ind w:left="9668"/>
        <w:spacing w:after="0"/>
        <w:rPr>
          <w:sz w:val="20"/>
          <w:szCs w:val="20"/>
          <w:color w:val="auto"/>
        </w:rPr>
      </w:pPr>
      <w:r>
        <w:rPr>
          <w:rFonts w:ascii="Times New Roman" w:cs="Times New Roman" w:eastAsia="Times New Roman" w:hAnsi="Times New Roman"/>
          <w:sz w:val="17"/>
          <w:szCs w:val="17"/>
          <w:b w:val="1"/>
          <w:bCs w:val="1"/>
          <w:color w:val="auto"/>
        </w:rPr>
        <w:t>Exhibit 10.28</w:t>
      </w:r>
    </w:p>
    <w:p>
      <w:pPr>
        <w:spacing w:after="0" w:line="223" w:lineRule="exact"/>
        <w:rPr>
          <w:sz w:val="20"/>
          <w:szCs w:val="20"/>
          <w:color w:val="auto"/>
        </w:rPr>
      </w:pPr>
    </w:p>
    <w:p>
      <w:pPr>
        <w:ind w:left="8" w:right="380"/>
        <w:spacing w:after="0" w:line="27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TEMPUS AI, INC. HAS DETERMINED THE INFORMATION (I) IS NOT MATERIAL AND (II) WOULD LIKELY CAUSE COMPETITIVE HARM TO TEMPUS AI, INC. IF PUBLICLY DISCLOSED.</w:t>
      </w:r>
    </w:p>
    <w:p>
      <w:pPr>
        <w:spacing w:after="0" w:line="3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Data License Agreement</w:t>
      </w:r>
    </w:p>
    <w:p>
      <w:pPr>
        <w:spacing w:after="0" w:line="225" w:lineRule="exact"/>
        <w:rPr>
          <w:sz w:val="20"/>
          <w:szCs w:val="20"/>
          <w:color w:val="auto"/>
        </w:rPr>
      </w:pPr>
    </w:p>
    <w:p>
      <w:pPr>
        <w:ind w:left="8" w:right="40"/>
        <w:spacing w:after="0" w:line="276" w:lineRule="auto"/>
        <w:rPr>
          <w:sz w:val="20"/>
          <w:szCs w:val="20"/>
          <w:color w:val="auto"/>
        </w:rPr>
      </w:pPr>
      <w:r>
        <w:rPr>
          <w:rFonts w:ascii="Times New Roman" w:cs="Times New Roman" w:eastAsia="Times New Roman" w:hAnsi="Times New Roman"/>
          <w:sz w:val="17"/>
          <w:szCs w:val="17"/>
          <w:color w:val="auto"/>
        </w:rPr>
        <w:t>This Data License Agreement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this 18th day of May, 2024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by and between Tempus AI, Inc., with its principal place of business at 600 West Chicago Ave., Suite 510, Chicago, IL 60654 (“</w:t>
      </w:r>
      <w:r>
        <w:rPr>
          <w:rFonts w:ascii="Times New Roman" w:cs="Times New Roman" w:eastAsia="Times New Roman" w:hAnsi="Times New Roman"/>
          <w:sz w:val="17"/>
          <w:szCs w:val="17"/>
          <w:u w:val="single" w:color="auto"/>
          <w:color w:val="auto"/>
        </w:rPr>
        <w:t>Tempus</w:t>
      </w:r>
      <w:r>
        <w:rPr>
          <w:rFonts w:ascii="Times New Roman" w:cs="Times New Roman" w:eastAsia="Times New Roman" w:hAnsi="Times New Roman"/>
          <w:sz w:val="17"/>
          <w:szCs w:val="17"/>
          <w:color w:val="auto"/>
        </w:rPr>
        <w:t>”) and Pegasos Corp., a Japanese corporation (“</w:t>
      </w:r>
      <w:r>
        <w:rPr>
          <w:rFonts w:ascii="Times New Roman" w:cs="Times New Roman" w:eastAsia="Times New Roman" w:hAnsi="Times New Roman"/>
          <w:sz w:val="17"/>
          <w:szCs w:val="17"/>
          <w:u w:val="single" w:color="auto"/>
          <w:color w:val="auto"/>
        </w:rPr>
        <w:t>Client</w:t>
      </w:r>
      <w:r>
        <w:rPr>
          <w:rFonts w:ascii="Times New Roman" w:cs="Times New Roman" w:eastAsia="Times New Roman" w:hAnsi="Times New Roman"/>
          <w:sz w:val="17"/>
          <w:szCs w:val="17"/>
          <w:color w:val="auto"/>
        </w:rPr>
        <w:t>”). Tempus and Client are sometimes referred to herein individually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3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25" w:lineRule="exact"/>
        <w:rPr>
          <w:sz w:val="20"/>
          <w:szCs w:val="20"/>
          <w:color w:val="auto"/>
        </w:rPr>
      </w:pPr>
    </w:p>
    <w:p>
      <w:pPr>
        <w:ind w:left="8" w:right="420"/>
        <w:spacing w:after="0" w:line="295" w:lineRule="auto"/>
        <w:rPr>
          <w:sz w:val="20"/>
          <w:szCs w:val="20"/>
          <w:color w:val="auto"/>
        </w:rPr>
      </w:pPr>
      <w:r>
        <w:rPr>
          <w:rFonts w:ascii="Times New Roman" w:cs="Times New Roman" w:eastAsia="Times New Roman" w:hAnsi="Times New Roman"/>
          <w:sz w:val="17"/>
          <w:szCs w:val="17"/>
          <w:color w:val="auto"/>
        </w:rPr>
        <w:t>Tempus is a precision medicine company dedicated to improving healthcare by using its technology to support research and discovery. Tempus has curated a proprietary database of de-identified data for use in research and development activities.</w:t>
      </w:r>
    </w:p>
    <w:p>
      <w:pPr>
        <w:spacing w:after="0" w:line="147" w:lineRule="exact"/>
        <w:rPr>
          <w:sz w:val="20"/>
          <w:szCs w:val="20"/>
          <w:color w:val="auto"/>
        </w:rPr>
      </w:pPr>
    </w:p>
    <w:p>
      <w:pPr>
        <w:ind w:left="8" w:right="340"/>
        <w:spacing w:after="0" w:line="269" w:lineRule="auto"/>
        <w:rPr>
          <w:sz w:val="20"/>
          <w:szCs w:val="20"/>
          <w:color w:val="auto"/>
        </w:rPr>
      </w:pPr>
      <w:r>
        <w:rPr>
          <w:rFonts w:ascii="Times New Roman" w:cs="Times New Roman" w:eastAsia="Times New Roman" w:hAnsi="Times New Roman"/>
          <w:sz w:val="17"/>
          <w:szCs w:val="17"/>
          <w:color w:val="auto"/>
        </w:rPr>
        <w:t>Client is a company that shares Tempus’ mission of advancing precision medicine, including through (a) the licensing of de-identified data to biopharmaceutical companies, life sciences companies, and other healthcare researchers; (b) building algorithmic products that produce insights and commercializing the insights; and (c) building foundation models and products or services that leverage the models, all of (a)-(c) in Japan (the “</w:t>
      </w:r>
      <w:r>
        <w:rPr>
          <w:rFonts w:ascii="Times New Roman" w:cs="Times New Roman" w:eastAsia="Times New Roman" w:hAnsi="Times New Roman"/>
          <w:sz w:val="17"/>
          <w:szCs w:val="17"/>
          <w:u w:val="single" w:color="auto"/>
          <w:color w:val="auto"/>
        </w:rPr>
        <w:t>AI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Initiative</w:t>
      </w:r>
      <w:r>
        <w:rPr>
          <w:rFonts w:ascii="Times New Roman" w:cs="Times New Roman" w:eastAsia="Times New Roman" w:hAnsi="Times New Roman"/>
          <w:sz w:val="17"/>
          <w:szCs w:val="17"/>
          <w:color w:val="auto"/>
        </w:rPr>
        <w:t>”), and in furtherance of that mission, Client would like to license data from Tempus.</w:t>
      </w:r>
    </w:p>
    <w:p>
      <w:pPr>
        <w:spacing w:after="0" w:line="169" w:lineRule="exact"/>
        <w:rPr>
          <w:sz w:val="20"/>
          <w:szCs w:val="20"/>
          <w:color w:val="auto"/>
        </w:rPr>
      </w:pPr>
    </w:p>
    <w:p>
      <w:pPr>
        <w:jc w:val="both"/>
        <w:ind w:left="8" w:right="160"/>
        <w:spacing w:after="0" w:line="276" w:lineRule="auto"/>
        <w:rPr>
          <w:sz w:val="20"/>
          <w:szCs w:val="20"/>
          <w:color w:val="auto"/>
        </w:rPr>
      </w:pPr>
      <w:r>
        <w:rPr>
          <w:rFonts w:ascii="Times New Roman" w:cs="Times New Roman" w:eastAsia="Times New Roman" w:hAnsi="Times New Roman"/>
          <w:sz w:val="17"/>
          <w:szCs w:val="17"/>
          <w:color w:val="auto"/>
        </w:rPr>
        <w:t>Tempus and Client are entering into this Agreement in connection with a certain Joint Venture Agreement dated as of the Effective Date by and among Tempus, Client and SoftBank Group Corp. (the “</w:t>
      </w:r>
      <w:r>
        <w:rPr>
          <w:rFonts w:ascii="Times New Roman" w:cs="Times New Roman" w:eastAsia="Times New Roman" w:hAnsi="Times New Roman"/>
          <w:sz w:val="17"/>
          <w:szCs w:val="17"/>
          <w:u w:val="single" w:color="auto"/>
          <w:color w:val="auto"/>
        </w:rPr>
        <w:t>JV Agreement</w:t>
      </w:r>
      <w:r>
        <w:rPr>
          <w:rFonts w:ascii="Times New Roman" w:cs="Times New Roman" w:eastAsia="Times New Roman" w:hAnsi="Times New Roman"/>
          <w:sz w:val="17"/>
          <w:szCs w:val="17"/>
          <w:color w:val="auto"/>
        </w:rPr>
        <w:t>”) and this Agreement is made pursuant to and is subject to the terms and conditions of the JV Agreement.</w:t>
      </w:r>
    </w:p>
    <w:p>
      <w:pPr>
        <w:spacing w:after="0" w:line="3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In consideration of the mutual promises described below, the Parties agree as follows:</w:t>
      </w:r>
    </w:p>
    <w:p>
      <w:pPr>
        <w:spacing w:after="0" w:line="129" w:lineRule="exact"/>
        <w:rPr>
          <w:sz w:val="20"/>
          <w:szCs w:val="20"/>
          <w:color w:val="auto"/>
        </w:rPr>
      </w:pPr>
    </w:p>
    <w:p>
      <w:pPr>
        <w:ind w:left="428" w:hanging="428"/>
        <w:spacing w:after="0"/>
        <w:tabs>
          <w:tab w:leader="none" w:pos="428" w:val="left"/>
        </w:tabs>
        <w:numPr>
          <w:ilvl w:val="0"/>
          <w:numId w:val="2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The following terms, whether used in the singular or plural, have the meanings set forth below:</w:t>
      </w:r>
    </w:p>
    <w:p>
      <w:pPr>
        <w:spacing w:after="0" w:line="133" w:lineRule="exact"/>
        <w:rPr>
          <w:rFonts w:ascii="Times New Roman" w:cs="Times New Roman" w:eastAsia="Times New Roman" w:hAnsi="Times New Roman"/>
          <w:sz w:val="17"/>
          <w:szCs w:val="17"/>
          <w:b w:val="1"/>
          <w:bCs w:val="1"/>
          <w:color w:val="auto"/>
        </w:rPr>
      </w:pPr>
    </w:p>
    <w:p>
      <w:pPr>
        <w:ind w:left="948" w:hanging="530"/>
        <w:spacing w:after="0"/>
        <w:tabs>
          <w:tab w:leader="none" w:pos="948"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Acceptance Period</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2.f.iii</w:t>
      </w:r>
      <w:r>
        <w:rPr>
          <w:rFonts w:ascii="Times New Roman" w:cs="Times New Roman" w:eastAsia="Times New Roman" w:hAnsi="Times New Roman"/>
          <w:sz w:val="17"/>
          <w:szCs w:val="17"/>
          <w:color w:val="auto"/>
        </w:rPr>
        <w:t xml:space="preserve"> (Acceptance of Licensed Data).</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Records Batch</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2.d</w:t>
      </w:r>
      <w:r>
        <w:rPr>
          <w:rFonts w:ascii="Times New Roman" w:cs="Times New Roman" w:eastAsia="Times New Roman" w:hAnsi="Times New Roman"/>
          <w:sz w:val="17"/>
          <w:szCs w:val="17"/>
          <w:color w:val="auto"/>
        </w:rPr>
        <w:t xml:space="preserve"> (Purchase of License to Additional Records Batch).</w:t>
      </w:r>
    </w:p>
    <w:p>
      <w:pPr>
        <w:spacing w:after="0" w:line="131" w:lineRule="exact"/>
        <w:rPr>
          <w:rFonts w:ascii="Times New Roman" w:cs="Times New Roman" w:eastAsia="Times New Roman" w:hAnsi="Times New Roman"/>
          <w:sz w:val="17"/>
          <w:szCs w:val="17"/>
          <w:color w:val="auto"/>
        </w:rPr>
      </w:pPr>
    </w:p>
    <w:p>
      <w:pPr>
        <w:ind w:left="948" w:hanging="530"/>
        <w:spacing w:after="0" w:line="269" w:lineRule="auto"/>
        <w:tabs>
          <w:tab w:leader="none" w:pos="948"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 legal entity that is controlled by or under common control with the Party, where “control” means possession, directly or indirectly, of the power to direct or cause the direction of the Party’s management or policies, whether through the ownership of securities or other ownership interests, by contract, or otherwise. For the avoidance of doubt, neither Tempus nor its subsidiaries nor SoftBank Group Corp. nor its subsidiaries will be considered an Affiliate of Client hereunder.</w:t>
      </w:r>
    </w:p>
    <w:p>
      <w:pPr>
        <w:spacing w:after="0" w:line="77"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has the meaning assigned to it in the caption above.</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AI Initiative</w:t>
      </w:r>
      <w:r>
        <w:rPr>
          <w:rFonts w:ascii="Times New Roman" w:cs="Times New Roman" w:eastAsia="Times New Roman" w:hAnsi="Times New Roman"/>
          <w:sz w:val="17"/>
          <w:szCs w:val="17"/>
          <w:color w:val="auto"/>
        </w:rPr>
        <w:t>” has the meaning assigned to it in the Background Section above.</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Analytical Services</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4.b</w:t>
      </w:r>
      <w:r>
        <w:rPr>
          <w:rFonts w:ascii="Times New Roman" w:cs="Times New Roman" w:eastAsia="Times New Roman" w:hAnsi="Times New Roman"/>
          <w:sz w:val="17"/>
          <w:szCs w:val="17"/>
          <w:color w:val="auto"/>
        </w:rPr>
        <w:t xml:space="preserve"> (Analytical Services).</w:t>
      </w:r>
    </w:p>
    <w:p>
      <w:pPr>
        <w:sectPr>
          <w:pgSz w:w="11900" w:h="16838" w:orient="portrait"/>
          <w:cols w:equalWidth="0" w:num="1">
            <w:col w:w="10668"/>
          </w:cols>
          <w:pgMar w:left="612" w:top="119" w:right="619" w:bottom="1440" w:gutter="0" w:footer="0" w:header="0"/>
        </w:sectPr>
      </w:pPr>
    </w:p>
    <w:bookmarkStart w:id="512" w:name="page513"/>
    <w:bookmarkEnd w:id="512"/>
    <w:p>
      <w:pPr>
        <w:ind w:left="530" w:hanging="530"/>
        <w:spacing w:after="0"/>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Analytical Services Results</w:t>
      </w:r>
      <w:r>
        <w:rPr>
          <w:rFonts w:ascii="Times New Roman" w:cs="Times New Roman" w:eastAsia="Times New Roman" w:hAnsi="Times New Roman"/>
          <w:sz w:val="17"/>
          <w:szCs w:val="17"/>
          <w:color w:val="auto"/>
        </w:rPr>
        <w:t>” means Results created by Tempus and delivered to Client pursuant to this Agreement.</w:t>
      </w:r>
    </w:p>
    <w:p>
      <w:pPr>
        <w:spacing w:after="0" w:line="131" w:lineRule="exact"/>
        <w:rPr>
          <w:rFonts w:ascii="Times New Roman" w:cs="Times New Roman" w:eastAsia="Times New Roman" w:hAnsi="Times New Roman"/>
          <w:sz w:val="17"/>
          <w:szCs w:val="17"/>
          <w:color w:val="auto"/>
        </w:rPr>
      </w:pPr>
    </w:p>
    <w:p>
      <w:pPr>
        <w:ind w:left="530" w:right="560" w:hanging="530"/>
        <w:spacing w:after="0" w:line="295" w:lineRule="auto"/>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means any and all laws, statutes, codes, ordinances, orders, rules, rulings, directives, and regulations of any kind whatsoever of any governmental authority within the relevant jurisdiction applicable to the activities under this Agreement.</w:t>
      </w:r>
    </w:p>
    <w:p>
      <w:pPr>
        <w:spacing w:after="0" w:line="55"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Approved Supplemental Work</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2.c.ii</w:t>
      </w:r>
      <w:r>
        <w:rPr>
          <w:rFonts w:ascii="Times New Roman" w:cs="Times New Roman" w:eastAsia="Times New Roman" w:hAnsi="Times New Roman"/>
          <w:sz w:val="17"/>
          <w:szCs w:val="17"/>
          <w:color w:val="auto"/>
        </w:rPr>
        <w:t xml:space="preserve"> (Enhancements to Substituted-In Records).</w:t>
      </w:r>
    </w:p>
    <w:p>
      <w:pPr>
        <w:spacing w:after="0" w:line="131" w:lineRule="exact"/>
        <w:rPr>
          <w:rFonts w:ascii="Times New Roman" w:cs="Times New Roman" w:eastAsia="Times New Roman" w:hAnsi="Times New Roman"/>
          <w:sz w:val="17"/>
          <w:szCs w:val="17"/>
          <w:color w:val="auto"/>
        </w:rPr>
      </w:pPr>
    </w:p>
    <w:p>
      <w:pPr>
        <w:ind w:left="530" w:right="300" w:hanging="530"/>
        <w:spacing w:after="0" w:line="295" w:lineRule="auto"/>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Authorized Users</w:t>
      </w:r>
      <w:r>
        <w:rPr>
          <w:rFonts w:ascii="Times New Roman" w:cs="Times New Roman" w:eastAsia="Times New Roman" w:hAnsi="Times New Roman"/>
          <w:sz w:val="17"/>
          <w:szCs w:val="17"/>
          <w:color w:val="auto"/>
        </w:rPr>
        <w:t>” means employees or contractors of Client or Client’s Affiliates, provided that each user will be a named individual who is subject to all applicable terms of this Agreement.</w:t>
      </w:r>
    </w:p>
    <w:p>
      <w:pPr>
        <w:spacing w:after="0" w:line="55" w:lineRule="exact"/>
        <w:rPr>
          <w:rFonts w:ascii="Times New Roman" w:cs="Times New Roman" w:eastAsia="Times New Roman" w:hAnsi="Times New Roman"/>
          <w:sz w:val="17"/>
          <w:szCs w:val="17"/>
          <w:color w:val="auto"/>
        </w:rPr>
      </w:pPr>
    </w:p>
    <w:p>
      <w:pPr>
        <w:ind w:left="530" w:right="400" w:hanging="530"/>
        <w:spacing w:after="0" w:line="295" w:lineRule="auto"/>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means the purposes of performing clinical sequencing for patients, organizing patient data and operating a real-world data business, in each case, solely for and within the Territory (as defined below) and within the Field (as defined below).</w:t>
      </w:r>
    </w:p>
    <w:p>
      <w:pPr>
        <w:spacing w:after="0" w:line="55" w:lineRule="exact"/>
        <w:rPr>
          <w:rFonts w:ascii="Times New Roman" w:cs="Times New Roman" w:eastAsia="Times New Roman" w:hAnsi="Times New Roman"/>
          <w:sz w:val="17"/>
          <w:szCs w:val="17"/>
          <w:color w:val="auto"/>
        </w:rPr>
      </w:pPr>
    </w:p>
    <w:p>
      <w:pPr>
        <w:ind w:left="530" w:right="80" w:hanging="530"/>
        <w:spacing w:after="0" w:line="276" w:lineRule="auto"/>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Saturday, Sunday, or any day that banks located in (a) Tokyo, Japan or (b) Chicago, U.S., are required to be closed. Whenever this Agreement refers to a number of days, such number will refer to calendar days unless Business Days are specified.</w:t>
      </w:r>
    </w:p>
    <w:p>
      <w:pPr>
        <w:spacing w:after="0" w:line="70" w:lineRule="exact"/>
        <w:rPr>
          <w:rFonts w:ascii="Times New Roman" w:cs="Times New Roman" w:eastAsia="Times New Roman" w:hAnsi="Times New Roman"/>
          <w:sz w:val="17"/>
          <w:szCs w:val="17"/>
          <w:color w:val="auto"/>
        </w:rPr>
      </w:pPr>
    </w:p>
    <w:p>
      <w:pPr>
        <w:ind w:left="530" w:hanging="530"/>
        <w:spacing w:after="0" w:line="269" w:lineRule="auto"/>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Calendar Quarter</w:t>
      </w:r>
      <w:r>
        <w:rPr>
          <w:rFonts w:ascii="Times New Roman" w:cs="Times New Roman" w:eastAsia="Times New Roman" w:hAnsi="Times New Roman"/>
          <w:sz w:val="17"/>
          <w:szCs w:val="17"/>
          <w:color w:val="auto"/>
        </w:rPr>
        <w:t>” means each successive period of three (3) consecutive calendar months ending on March 31, June 30, September 30, or December 31; provided, however that (a) the first Calendar Quarter of the Term will extend from the Effective Date to the first to occur of March 31, June 30, September 30, or December 31 of the calendar quarter in which the Effective Date falls; and (b) the last Calendar Quarter of the Term will end upon the expiration or termination of this Agreement.</w:t>
      </w:r>
    </w:p>
    <w:p>
      <w:pPr>
        <w:spacing w:after="0" w:line="77"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Client</w:t>
      </w:r>
      <w:r>
        <w:rPr>
          <w:rFonts w:ascii="Times New Roman" w:cs="Times New Roman" w:eastAsia="Times New Roman" w:hAnsi="Times New Roman"/>
          <w:sz w:val="17"/>
          <w:szCs w:val="17"/>
          <w:color w:val="auto"/>
        </w:rPr>
        <w:t>” has the meaning assigned to in the caption above.</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Client Indemnitee</w:t>
      </w:r>
      <w:r>
        <w:rPr>
          <w:rFonts w:ascii="Times New Roman" w:cs="Times New Roman" w:eastAsia="Times New Roman" w:hAnsi="Times New Roman"/>
          <w:sz w:val="17"/>
          <w:szCs w:val="17"/>
          <w:color w:val="auto"/>
        </w:rPr>
        <w:t xml:space="preserve">” has the meaning assigned to it in the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color w:val="auto"/>
        </w:rPr>
        <w:t xml:space="preserve"> (Tempus Indemnification Obligations).</w:t>
      </w:r>
    </w:p>
    <w:p>
      <w:pPr>
        <w:spacing w:after="0" w:line="131" w:lineRule="exact"/>
        <w:rPr>
          <w:rFonts w:ascii="Times New Roman" w:cs="Times New Roman" w:eastAsia="Times New Roman" w:hAnsi="Times New Roman"/>
          <w:sz w:val="17"/>
          <w:szCs w:val="17"/>
          <w:color w:val="auto"/>
        </w:rPr>
      </w:pPr>
    </w:p>
    <w:p>
      <w:pPr>
        <w:ind w:left="530" w:right="20" w:hanging="530"/>
        <w:spacing w:after="0" w:line="269" w:lineRule="auto"/>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Commercially Reasonable Efforts</w:t>
      </w:r>
      <w:r>
        <w:rPr>
          <w:rFonts w:ascii="Times New Roman" w:cs="Times New Roman" w:eastAsia="Times New Roman" w:hAnsi="Times New Roman"/>
          <w:sz w:val="17"/>
          <w:szCs w:val="17"/>
          <w:color w:val="auto"/>
        </w:rPr>
        <w:t>” means, with respect to a Party’s obligations under this Agreement, the carrying out of such obligations or tasks with a level of efforts and resources consistent with the efforts and resources that an entity similarly situated to such Party in the respective country or territory, including with similar size and resources, for a similar obligation or task in light of the relative value and importance associated with the performance of such obligations or tasks.</w:t>
      </w:r>
    </w:p>
    <w:p>
      <w:pPr>
        <w:spacing w:after="0" w:line="77"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(Non-disclosure).</w:t>
      </w:r>
    </w:p>
    <w:p>
      <w:pPr>
        <w:spacing w:after="0" w:line="131" w:lineRule="exact"/>
        <w:rPr>
          <w:rFonts w:ascii="Times New Roman" w:cs="Times New Roman" w:eastAsia="Times New Roman" w:hAnsi="Times New Roman"/>
          <w:sz w:val="17"/>
          <w:szCs w:val="17"/>
          <w:color w:val="auto"/>
        </w:rPr>
      </w:pPr>
    </w:p>
    <w:p>
      <w:pPr>
        <w:ind w:left="530" w:right="200" w:hanging="530"/>
        <w:spacing w:after="0" w:line="269" w:lineRule="auto"/>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with respect to any Licensed Data, possession of the ability (whether by sole or joint ownership, license or otherwise, other than pursuant to this Agreement) to grant a license, sublicense, access or other right in, to or under such Licensed Data, without violating the terms of any agreement with a third-party, violating any Applicable Law, or resulting in a payment obligation to such third-party.</w:t>
      </w:r>
    </w:p>
    <w:p>
      <w:pPr>
        <w:spacing w:after="0" w:line="77"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Recipient</w:t>
      </w:r>
      <w:r>
        <w:rPr>
          <w:rFonts w:ascii="Times New Roman" w:cs="Times New Roman" w:eastAsia="Times New Roman" w:hAnsi="Times New Roman"/>
          <w:sz w:val="17"/>
          <w:szCs w:val="17"/>
          <w:color w:val="auto"/>
        </w:rPr>
        <w:t>” means a physician licensed to practice in the U.S. or a U.S. teaching hospital.</w:t>
      </w:r>
    </w:p>
    <w:p>
      <w:pPr>
        <w:spacing w:after="0" w:line="157" w:lineRule="exact"/>
        <w:rPr>
          <w:sz w:val="20"/>
          <w:szCs w:val="20"/>
          <w:color w:val="auto"/>
        </w:rPr>
      </w:pPr>
    </w:p>
    <w:p>
      <w:pPr>
        <w:jc w:val="center"/>
        <w:ind w:right="39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230"/>
          </w:cols>
          <w:pgMar w:left="1030" w:top="264" w:right="639" w:bottom="1440" w:gutter="0" w:footer="0" w:header="0"/>
        </w:sectPr>
      </w:pPr>
    </w:p>
    <w:bookmarkStart w:id="513" w:name="page514"/>
    <w:bookmarkEnd w:id="513"/>
    <w:p>
      <w:pPr>
        <w:ind w:left="530" w:right="240" w:hanging="530"/>
        <w:spacing w:after="0" w:line="295" w:lineRule="auto"/>
        <w:tabs>
          <w:tab w:leader="none" w:pos="53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6">
                      <a:extLst>
                        <a:ext uri="{28A0092B-C50C-407E-A947-70E740481C1C}"/>
                      </a:extLst>
                    </a:blip>
                    <a:srcRect/>
                    <a:stretch>
                      <a:fillRect/>
                    </a:stretch>
                  </pic:blipFill>
                  <pic:spPr bwMode="auto">
                    <a:xfrm>
                      <a:off x="0" y="0"/>
                      <a:ext cx="7178675"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Customary De-Identified Record</w:t>
      </w:r>
      <w:r>
        <w:rPr>
          <w:rFonts w:ascii="Times New Roman" w:cs="Times New Roman" w:eastAsia="Times New Roman" w:hAnsi="Times New Roman"/>
          <w:sz w:val="17"/>
          <w:szCs w:val="17"/>
          <w:color w:val="auto"/>
        </w:rPr>
        <w:t>” means a De-Identified Record that Client may use solely for the Permitted Customary De-Identified Record Purpose.</w:t>
      </w:r>
    </w:p>
    <w:p>
      <w:pPr>
        <w:spacing w:after="0" w:line="55"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Access and Preparation Services</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2.b.ii</w:t>
      </w:r>
      <w:r>
        <w:rPr>
          <w:rFonts w:ascii="Times New Roman" w:cs="Times New Roman" w:eastAsia="Times New Roman" w:hAnsi="Times New Roman"/>
          <w:sz w:val="17"/>
          <w:szCs w:val="17"/>
          <w:color w:val="auto"/>
        </w:rPr>
        <w:t xml:space="preserve"> (Data Access and Preparation Services).</w:t>
      </w:r>
    </w:p>
    <w:p>
      <w:pPr>
        <w:spacing w:after="0" w:line="131" w:lineRule="exact"/>
        <w:rPr>
          <w:rFonts w:ascii="Times New Roman" w:cs="Times New Roman" w:eastAsia="Times New Roman" w:hAnsi="Times New Roman"/>
          <w:sz w:val="17"/>
          <w:szCs w:val="17"/>
          <w:color w:val="auto"/>
        </w:rPr>
      </w:pPr>
    </w:p>
    <w:p>
      <w:pPr>
        <w:ind w:left="530" w:right="660" w:hanging="530"/>
        <w:spacing w:after="0" w:line="295" w:lineRule="auto"/>
        <w:tabs>
          <w:tab w:leader="none" w:pos="53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Category</w:t>
      </w:r>
      <w:r>
        <w:rPr>
          <w:rFonts w:ascii="Times New Roman" w:cs="Times New Roman" w:eastAsia="Times New Roman" w:hAnsi="Times New Roman"/>
          <w:sz w:val="17"/>
          <w:szCs w:val="17"/>
          <w:color w:val="auto"/>
        </w:rPr>
        <w:t>” means a category of data included in a Record in accordance with Tempus’ then-current standard practices. Data Categories [***] may include [***].</w:t>
      </w:r>
    </w:p>
    <w:p>
      <w:pPr>
        <w:spacing w:after="0" w:line="55"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De-Identified Record</w:t>
      </w:r>
      <w:r>
        <w:rPr>
          <w:rFonts w:ascii="Times New Roman" w:cs="Times New Roman" w:eastAsia="Times New Roman" w:hAnsi="Times New Roman"/>
          <w:sz w:val="17"/>
          <w:szCs w:val="17"/>
          <w:color w:val="auto"/>
        </w:rPr>
        <w:t>” means a Record that has been de-identified according to the standard set forth in U.S. law under 45 CFR</w:t>
      </w:r>
    </w:p>
    <w:p>
      <w:pPr>
        <w:spacing w:after="0" w:line="31" w:lineRule="exact"/>
        <w:rPr>
          <w:rFonts w:ascii="Times New Roman" w:cs="Times New Roman" w:eastAsia="Times New Roman" w:hAnsi="Times New Roman"/>
          <w:sz w:val="17"/>
          <w:szCs w:val="17"/>
          <w:color w:val="auto"/>
        </w:rPr>
      </w:pPr>
    </w:p>
    <w:p>
      <w:pPr>
        <w:ind w:left="530" w:right="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164.514(a) and (b) of the implementing regulations of the U.S. Health Insurance Portability and Accountability Act (“</w:t>
      </w:r>
      <w:r>
        <w:rPr>
          <w:rFonts w:ascii="Times New Roman" w:cs="Times New Roman" w:eastAsia="Times New Roman" w:hAnsi="Times New Roman"/>
          <w:sz w:val="17"/>
          <w:szCs w:val="17"/>
          <w:u w:val="single" w:color="auto"/>
          <w:color w:val="auto"/>
        </w:rPr>
        <w:t>HIPAA</w:t>
      </w:r>
      <w:r>
        <w:rPr>
          <w:rFonts w:ascii="Times New Roman" w:cs="Times New Roman" w:eastAsia="Times New Roman" w:hAnsi="Times New Roman"/>
          <w:sz w:val="17"/>
          <w:szCs w:val="17"/>
          <w:color w:val="auto"/>
        </w:rPr>
        <w:t>”) of 1996. A De-Identified Record may be either an Unrestricted De-Identified Record or a Customary De-Identified Record.</w:t>
      </w:r>
    </w:p>
    <w:p>
      <w:pPr>
        <w:spacing w:after="0" w:line="72"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Disclosing Party</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(Non-disclosure).</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has the meaning assigned to it in the caption above.</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End User Generated Results</w:t>
      </w:r>
      <w:r>
        <w:rPr>
          <w:rFonts w:ascii="Times New Roman" w:cs="Times New Roman" w:eastAsia="Times New Roman" w:hAnsi="Times New Roman"/>
          <w:sz w:val="17"/>
          <w:szCs w:val="17"/>
          <w:color w:val="auto"/>
        </w:rPr>
        <w:t>” means Results created by Client based, in whole or in part, on Licensed Data.</w:t>
      </w:r>
    </w:p>
    <w:p>
      <w:pPr>
        <w:spacing w:after="0" w:line="131" w:lineRule="exact"/>
        <w:rPr>
          <w:sz w:val="20"/>
          <w:szCs w:val="20"/>
          <w:color w:val="auto"/>
        </w:rPr>
      </w:pPr>
    </w:p>
    <w:p>
      <w:pPr>
        <w:ind w:left="530" w:hanging="530"/>
        <w:spacing w:after="0"/>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Enhanced Substituted-In Record</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2.c.ii</w:t>
      </w:r>
      <w:r>
        <w:rPr>
          <w:rFonts w:ascii="Times New Roman" w:cs="Times New Roman" w:eastAsia="Times New Roman" w:hAnsi="Times New Roman"/>
          <w:sz w:val="17"/>
          <w:szCs w:val="17"/>
          <w:color w:val="auto"/>
        </w:rPr>
        <w:t xml:space="preserve"> (Enhancements to Substituted-In Records).</w:t>
      </w:r>
    </w:p>
    <w:p>
      <w:pPr>
        <w:spacing w:after="0" w:line="131" w:lineRule="exact"/>
        <w:rPr>
          <w:rFonts w:ascii="Times New Roman" w:cs="Times New Roman" w:eastAsia="Times New Roman" w:hAnsi="Times New Roman"/>
          <w:sz w:val="17"/>
          <w:szCs w:val="17"/>
          <w:color w:val="auto"/>
        </w:rPr>
      </w:pPr>
    </w:p>
    <w:p>
      <w:pPr>
        <w:ind w:left="530" w:right="360" w:hanging="530"/>
        <w:spacing w:after="0" w:line="295" w:lineRule="auto"/>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Rate</w:t>
      </w:r>
      <w:r>
        <w:rPr>
          <w:rFonts w:ascii="Times New Roman" w:cs="Times New Roman" w:eastAsia="Times New Roman" w:hAnsi="Times New Roman"/>
          <w:sz w:val="17"/>
          <w:szCs w:val="17"/>
          <w:color w:val="auto"/>
        </w:rPr>
        <w:t>” means, for any payment under this Agreement the exchange rate published by Mizuho Bank, Ltd. under the heading “TTS” at https://www.mizuhobank.co.jp/market/quote.html as of the applicable payment date.</w:t>
      </w:r>
    </w:p>
    <w:p>
      <w:pPr>
        <w:spacing w:after="0" w:line="55"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Extended Substitution Term</w:t>
      </w:r>
      <w:r>
        <w:rPr>
          <w:rFonts w:ascii="Times New Roman" w:cs="Times New Roman" w:eastAsia="Times New Roman" w:hAnsi="Times New Roman"/>
          <w:sz w:val="17"/>
          <w:szCs w:val="17"/>
          <w:color w:val="auto"/>
        </w:rPr>
        <w:t>” means the day commencing on 00:01 Central Time on [***] and ending at 00:00 Central Time on [***].</w:t>
      </w:r>
    </w:p>
    <w:p>
      <w:pPr>
        <w:spacing w:after="0" w:line="131" w:lineRule="exact"/>
        <w:rPr>
          <w:rFonts w:ascii="Times New Roman" w:cs="Times New Roman" w:eastAsia="Times New Roman" w:hAnsi="Times New Roman"/>
          <w:sz w:val="17"/>
          <w:szCs w:val="17"/>
          <w:color w:val="auto"/>
        </w:rPr>
      </w:pPr>
    </w:p>
    <w:p>
      <w:pPr>
        <w:ind w:left="530" w:right="320" w:hanging="530"/>
        <w:spacing w:after="0" w:line="276" w:lineRule="auto"/>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Field</w:t>
      </w:r>
      <w:r>
        <w:rPr>
          <w:rFonts w:ascii="Times New Roman" w:cs="Times New Roman" w:eastAsia="Times New Roman" w:hAnsi="Times New Roman"/>
          <w:sz w:val="17"/>
          <w:szCs w:val="17"/>
          <w:color w:val="auto"/>
        </w:rPr>
        <w:t>” means the diagnosis, prevention, treatment, prophylaxis, management or cure of disease and disability in humans or other healthcare-related initiatives, including the development, commercialization and sale of data and other AI-based products and services related to the foregoing.</w:t>
      </w:r>
    </w:p>
    <w:p>
      <w:pPr>
        <w:spacing w:after="0" w:line="70"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Foundational Data</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xml:space="preserve"> (Licensed Data Exclusion).</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xml:space="preserve">” has the meaning assigned to it in the </w:t>
      </w:r>
      <w:r>
        <w:rPr>
          <w:rFonts w:ascii="Times New Roman" w:cs="Times New Roman" w:eastAsia="Times New Roman" w:hAnsi="Times New Roman"/>
          <w:sz w:val="17"/>
          <w:szCs w:val="17"/>
          <w:u w:val="single" w:color="auto"/>
          <w:color w:val="auto"/>
        </w:rPr>
        <w:t>Section 8.c</w:t>
      </w:r>
      <w:r>
        <w:rPr>
          <w:rFonts w:ascii="Times New Roman" w:cs="Times New Roman" w:eastAsia="Times New Roman" w:hAnsi="Times New Roman"/>
          <w:sz w:val="17"/>
          <w:szCs w:val="17"/>
          <w:color w:val="auto"/>
        </w:rPr>
        <w:t xml:space="preserve"> (Indemnification Procedure).</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has the meaning assigned to it in the </w:t>
      </w:r>
      <w:r>
        <w:rPr>
          <w:rFonts w:ascii="Times New Roman" w:cs="Times New Roman" w:eastAsia="Times New Roman" w:hAnsi="Times New Roman"/>
          <w:sz w:val="17"/>
          <w:szCs w:val="17"/>
          <w:u w:val="single" w:color="auto"/>
          <w:color w:val="auto"/>
        </w:rPr>
        <w:t>Section 8.c</w:t>
      </w:r>
      <w:r>
        <w:rPr>
          <w:rFonts w:ascii="Times New Roman" w:cs="Times New Roman" w:eastAsia="Times New Roman" w:hAnsi="Times New Roman"/>
          <w:sz w:val="17"/>
          <w:szCs w:val="17"/>
          <w:color w:val="auto"/>
        </w:rPr>
        <w:t xml:space="preserve"> (Indemnification Procedure).</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Records Batch</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2.a</w:t>
      </w:r>
      <w:r>
        <w:rPr>
          <w:rFonts w:ascii="Times New Roman" w:cs="Times New Roman" w:eastAsia="Times New Roman" w:hAnsi="Times New Roman"/>
          <w:sz w:val="17"/>
          <w:szCs w:val="17"/>
          <w:color w:val="auto"/>
        </w:rPr>
        <w:t xml:space="preserve"> (Initial Records Batch).</w:t>
      </w:r>
    </w:p>
    <w:p>
      <w:pPr>
        <w:spacing w:after="0" w:line="131" w:lineRule="exact"/>
        <w:rPr>
          <w:rFonts w:ascii="Times New Roman" w:cs="Times New Roman" w:eastAsia="Times New Roman" w:hAnsi="Times New Roman"/>
          <w:sz w:val="17"/>
          <w:szCs w:val="17"/>
          <w:color w:val="auto"/>
        </w:rPr>
      </w:pPr>
    </w:p>
    <w:p>
      <w:pPr>
        <w:ind w:left="530" w:hanging="530"/>
        <w:spacing w:after="0" w:line="295" w:lineRule="auto"/>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IP License Agreement</w:t>
      </w:r>
      <w:r>
        <w:rPr>
          <w:rFonts w:ascii="Times New Roman" w:cs="Times New Roman" w:eastAsia="Times New Roman" w:hAnsi="Times New Roman"/>
          <w:sz w:val="17"/>
          <w:szCs w:val="17"/>
          <w:color w:val="auto"/>
        </w:rPr>
        <w:t>” means that certain Intellectual Property License Agreement made and entered into as of the Effective Date by and between Tempus and Client.</w:t>
      </w:r>
    </w:p>
    <w:p>
      <w:pPr>
        <w:spacing w:after="0" w:line="55"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JV Agreement</w:t>
      </w:r>
      <w:r>
        <w:rPr>
          <w:rFonts w:ascii="Times New Roman" w:cs="Times New Roman" w:eastAsia="Times New Roman" w:hAnsi="Times New Roman"/>
          <w:sz w:val="17"/>
          <w:szCs w:val="17"/>
          <w:color w:val="auto"/>
        </w:rPr>
        <w:t>” has the meaning assigned to it in the caption above.</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 Term</w:t>
      </w:r>
      <w:r>
        <w:rPr>
          <w:rFonts w:ascii="Times New Roman" w:cs="Times New Roman" w:eastAsia="Times New Roman" w:hAnsi="Times New Roman"/>
          <w:sz w:val="17"/>
          <w:szCs w:val="17"/>
          <w:color w:val="auto"/>
        </w:rPr>
        <w:t>” means [***].</w:t>
      </w:r>
    </w:p>
    <w:p>
      <w:pPr>
        <w:spacing w:after="0" w:line="157"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210"/>
          </w:cols>
          <w:pgMar w:left="1030" w:top="264" w:right="659" w:bottom="1440" w:gutter="0" w:footer="0" w:header="0"/>
        </w:sectPr>
      </w:pPr>
    </w:p>
    <w:bookmarkStart w:id="514" w:name="page515"/>
    <w:bookmarkEnd w:id="514"/>
    <w:p>
      <w:pPr>
        <w:ind w:left="530" w:hanging="530"/>
        <w:spacing w:after="0" w:line="276" w:lineRule="auto"/>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Licensed Data</w:t>
      </w:r>
      <w:r>
        <w:rPr>
          <w:rFonts w:ascii="Times New Roman" w:cs="Times New Roman" w:eastAsia="Times New Roman" w:hAnsi="Times New Roman"/>
          <w:sz w:val="17"/>
          <w:szCs w:val="17"/>
          <w:color w:val="auto"/>
        </w:rPr>
        <w:t>” means (a) the Initial Record Batch; (b) the Additional Record Batch; and (c) any De-Identified Records owned by Tempus other than those in (a) and (b) that is described and licensed to Client in an Order Form executed by both Parties, and including Licensed Data Updates to any of the foregoing. Licensed Data excludes Foundational Data (as defined below).</w:t>
      </w:r>
    </w:p>
    <w:p>
      <w:pPr>
        <w:spacing w:after="0" w:line="70"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Licensed Data Services</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(Licensed Data Services).</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xml:space="preserve"> (Client Indemnification Obligations).</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Modification Services</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4.c</w:t>
      </w:r>
      <w:r>
        <w:rPr>
          <w:rFonts w:ascii="Times New Roman" w:cs="Times New Roman" w:eastAsia="Times New Roman" w:hAnsi="Times New Roman"/>
          <w:sz w:val="17"/>
          <w:szCs w:val="17"/>
          <w:color w:val="auto"/>
        </w:rPr>
        <w:t xml:space="preserve"> (Modification Services and Services for Customers of Client).</w:t>
      </w:r>
    </w:p>
    <w:p>
      <w:pPr>
        <w:spacing w:after="0" w:line="131" w:lineRule="exact"/>
        <w:rPr>
          <w:rFonts w:ascii="Times New Roman" w:cs="Times New Roman" w:eastAsia="Times New Roman" w:hAnsi="Times New Roman"/>
          <w:sz w:val="17"/>
          <w:szCs w:val="17"/>
          <w:color w:val="auto"/>
        </w:rPr>
      </w:pPr>
    </w:p>
    <w:p>
      <w:pPr>
        <w:ind w:left="530" w:right="320" w:hanging="530"/>
        <w:spacing w:after="0" w:line="295" w:lineRule="auto"/>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Order Form</w:t>
      </w:r>
      <w:r>
        <w:rPr>
          <w:rFonts w:ascii="Times New Roman" w:cs="Times New Roman" w:eastAsia="Times New Roman" w:hAnsi="Times New Roman"/>
          <w:sz w:val="17"/>
          <w:szCs w:val="17"/>
          <w:color w:val="auto"/>
        </w:rPr>
        <w:t>” means a form by which the Parties specify a Licensed Data cohort, applicable Licensed Data Services (if any), and other applicable terms and conditions. Executed Order Forms are incorporated into and made part of this Agreement.</w:t>
      </w:r>
    </w:p>
    <w:p>
      <w:pPr>
        <w:spacing w:after="0" w:line="55"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has the meaning assigned to it in the caption above.</w:t>
      </w:r>
    </w:p>
    <w:p>
      <w:pPr>
        <w:spacing w:after="0" w:line="131" w:lineRule="exact"/>
        <w:rPr>
          <w:rFonts w:ascii="Times New Roman" w:cs="Times New Roman" w:eastAsia="Times New Roman" w:hAnsi="Times New Roman"/>
          <w:sz w:val="17"/>
          <w:szCs w:val="17"/>
          <w:color w:val="auto"/>
        </w:rPr>
      </w:pPr>
    </w:p>
    <w:p>
      <w:pPr>
        <w:ind w:left="530" w:right="200" w:hanging="530"/>
        <w:spacing w:after="0" w:line="295" w:lineRule="auto"/>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Payment or Transfer of Value</w:t>
      </w:r>
      <w:r>
        <w:rPr>
          <w:rFonts w:ascii="Times New Roman" w:cs="Times New Roman" w:eastAsia="Times New Roman" w:hAnsi="Times New Roman"/>
          <w:sz w:val="17"/>
          <w:szCs w:val="17"/>
          <w:color w:val="auto"/>
        </w:rPr>
        <w:t>” means a payment or transfer of value as defined in the U.S. Physician Payment Sunshine Act (42 USC § 1320a-7h(e)) and implementing regulations (42 CFR § 403.900 et seq.).</w:t>
      </w:r>
    </w:p>
    <w:p>
      <w:pPr>
        <w:spacing w:after="0" w:line="55" w:lineRule="exact"/>
        <w:rPr>
          <w:rFonts w:ascii="Times New Roman" w:cs="Times New Roman" w:eastAsia="Times New Roman" w:hAnsi="Times New Roman"/>
          <w:sz w:val="17"/>
          <w:szCs w:val="17"/>
          <w:color w:val="auto"/>
        </w:rPr>
      </w:pPr>
    </w:p>
    <w:p>
      <w:pPr>
        <w:ind w:left="530" w:right="60" w:hanging="530"/>
        <w:spacing w:after="0" w:line="276" w:lineRule="auto"/>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Customary De-Identified Record Purpose</w:t>
      </w:r>
      <w:r>
        <w:rPr>
          <w:rFonts w:ascii="Times New Roman" w:cs="Times New Roman" w:eastAsia="Times New Roman" w:hAnsi="Times New Roman"/>
          <w:sz w:val="17"/>
          <w:szCs w:val="17"/>
          <w:color w:val="auto"/>
        </w:rPr>
        <w:t>” means, with respect to a Customary De-Identified Record, the permitted purpose set forth for such Customary De-Identified Record in the applicable Order Form. As of the Effective Date, the contemplated Permitted Customary De-Identified Record Purpose is [***] (collectively, the “</w:t>
      </w:r>
      <w:r>
        <w:rPr>
          <w:rFonts w:ascii="Times New Roman" w:cs="Times New Roman" w:eastAsia="Times New Roman" w:hAnsi="Times New Roman"/>
          <w:sz w:val="17"/>
          <w:szCs w:val="17"/>
          <w:u w:val="single" w:color="auto"/>
          <w:color w:val="auto"/>
        </w:rPr>
        <w:t>Permitted Uses Exclusions</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530" w:right="480" w:hanging="530"/>
        <w:spacing w:after="0" w:line="276" w:lineRule="auto"/>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Unrestricted De-Identified Record Purpose</w:t>
      </w:r>
      <w:r>
        <w:rPr>
          <w:rFonts w:ascii="Times New Roman" w:cs="Times New Roman" w:eastAsia="Times New Roman" w:hAnsi="Times New Roman"/>
          <w:sz w:val="17"/>
          <w:szCs w:val="17"/>
          <w:color w:val="auto"/>
        </w:rPr>
        <w:t>” means, with respect to an Unrestricted De-Identified Record, to conduct the Business in the Field and in the Territory, in each case, consistent with this Agreement (including any applicable Order Form), the IP License Agreement and Applicable Law.</w:t>
      </w:r>
    </w:p>
    <w:p>
      <w:pPr>
        <w:spacing w:after="0" w:line="70"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Uses Exclusions</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1.ss</w:t>
      </w:r>
      <w:r>
        <w:rPr>
          <w:rFonts w:ascii="Times New Roman" w:cs="Times New Roman" w:eastAsia="Times New Roman" w:hAnsi="Times New Roman"/>
          <w:sz w:val="17"/>
          <w:szCs w:val="17"/>
          <w:color w:val="auto"/>
        </w:rPr>
        <w:t xml:space="preserve"> (“Permitted Customary De -Identified Record Purpose”).</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(Non-disclosure).</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Record</w:t>
      </w:r>
      <w:r>
        <w:rPr>
          <w:rFonts w:ascii="Times New Roman" w:cs="Times New Roman" w:eastAsia="Times New Roman" w:hAnsi="Times New Roman"/>
          <w:sz w:val="17"/>
          <w:szCs w:val="17"/>
          <w:color w:val="auto"/>
        </w:rPr>
        <w:t>” means a [***].</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Records Substitution</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2.c.i</w:t>
      </w:r>
      <w:r>
        <w:rPr>
          <w:rFonts w:ascii="Times New Roman" w:cs="Times New Roman" w:eastAsia="Times New Roman" w:hAnsi="Times New Roman"/>
          <w:sz w:val="17"/>
          <w:szCs w:val="17"/>
          <w:color w:val="auto"/>
        </w:rPr>
        <w:t xml:space="preserve"> (Records Substitution).</w:t>
      </w:r>
    </w:p>
    <w:p>
      <w:pPr>
        <w:spacing w:after="0" w:line="131"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Rejected Data</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2.f.iii</w:t>
      </w:r>
      <w:r>
        <w:rPr>
          <w:rFonts w:ascii="Times New Roman" w:cs="Times New Roman" w:eastAsia="Times New Roman" w:hAnsi="Times New Roman"/>
          <w:sz w:val="17"/>
          <w:szCs w:val="17"/>
          <w:color w:val="auto"/>
        </w:rPr>
        <w:t xml:space="preserve"> (Acceptance of Licensed Data).</w:t>
      </w:r>
    </w:p>
    <w:p>
      <w:pPr>
        <w:spacing w:after="0" w:line="131" w:lineRule="exact"/>
        <w:rPr>
          <w:rFonts w:ascii="Times New Roman" w:cs="Times New Roman" w:eastAsia="Times New Roman" w:hAnsi="Times New Roman"/>
          <w:sz w:val="17"/>
          <w:szCs w:val="17"/>
          <w:color w:val="auto"/>
        </w:rPr>
      </w:pPr>
    </w:p>
    <w:p>
      <w:pPr>
        <w:ind w:left="530" w:right="320" w:hanging="530"/>
        <w:spacing w:after="0" w:line="276" w:lineRule="auto"/>
        <w:tabs>
          <w:tab w:leader="none" w:pos="53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Results</w:t>
      </w:r>
      <w:r>
        <w:rPr>
          <w:rFonts w:ascii="Times New Roman" w:cs="Times New Roman" w:eastAsia="Times New Roman" w:hAnsi="Times New Roman"/>
          <w:sz w:val="17"/>
          <w:szCs w:val="17"/>
          <w:color w:val="auto"/>
        </w:rPr>
        <w:t>” means analyses, summaries, reports, visualizations, and other information created with or based on Licensed Data during the License Term, so long as such Results do not reproduce the Licensed Data other than as permitted in accordance with the Permitted Customary De-Identified Record Purpose or the Permitted Unrestricted De-Identified Record Purpose.</w:t>
      </w:r>
    </w:p>
    <w:p>
      <w:pPr>
        <w:spacing w:after="0" w:line="70" w:lineRule="exact"/>
        <w:rPr>
          <w:sz w:val="20"/>
          <w:szCs w:val="20"/>
          <w:color w:val="auto"/>
        </w:rPr>
      </w:pPr>
    </w:p>
    <w:p>
      <w:pPr>
        <w:ind w:left="4870" w:right="1580" w:hanging="4870"/>
        <w:spacing w:after="0" w:line="356" w:lineRule="auto"/>
        <w:tabs>
          <w:tab w:leader="none" w:pos="522"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Sales Agent Record</w:t>
      </w:r>
      <w:r>
        <w:rPr>
          <w:rFonts w:ascii="Times New Roman" w:cs="Times New Roman" w:eastAsia="Times New Roman" w:hAnsi="Times New Roman"/>
          <w:sz w:val="17"/>
          <w:szCs w:val="17"/>
          <w:color w:val="auto"/>
        </w:rPr>
        <w:t xml:space="preserve">” has the meaning assigned to it </w:t>
      </w:r>
      <w:r>
        <w:rPr>
          <w:rFonts w:ascii="Times New Roman" w:cs="Times New Roman" w:eastAsia="Times New Roman" w:hAnsi="Times New Roman"/>
          <w:sz w:val="17"/>
          <w:szCs w:val="17"/>
          <w:u w:val="single" w:color="auto"/>
          <w:color w:val="auto"/>
        </w:rPr>
        <w:t>Section 2.d</w:t>
      </w:r>
      <w:r>
        <w:rPr>
          <w:rFonts w:ascii="Times New Roman" w:cs="Times New Roman" w:eastAsia="Times New Roman" w:hAnsi="Times New Roman"/>
          <w:sz w:val="17"/>
          <w:szCs w:val="17"/>
          <w:color w:val="auto"/>
        </w:rPr>
        <w:t xml:space="preserve"> (Purchase of License to Additional Records Batch). 4</w:t>
      </w:r>
    </w:p>
    <w:p>
      <w:pPr>
        <w:sectPr>
          <w:pgSz w:w="11900" w:h="16838" w:orient="portrait"/>
          <w:cols w:equalWidth="0" w:num="1">
            <w:col w:w="10250"/>
          </w:cols>
          <w:pgMar w:left="1030" w:top="264" w:right="619" w:bottom="1440" w:gutter="0" w:footer="0" w:header="0"/>
        </w:sectPr>
      </w:pPr>
    </w:p>
    <w:bookmarkStart w:id="515" w:name="page516"/>
    <w:bookmarkEnd w:id="515"/>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Specifications</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2.f.iii</w:t>
      </w:r>
      <w:r>
        <w:rPr>
          <w:rFonts w:ascii="Times New Roman" w:cs="Times New Roman" w:eastAsia="Times New Roman" w:hAnsi="Times New Roman"/>
          <w:sz w:val="17"/>
          <w:szCs w:val="17"/>
          <w:color w:val="auto"/>
        </w:rPr>
        <w:t xml:space="preserve"> (Acceptance of Licensed Data)</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Substituted-In Record</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2.c.i</w:t>
      </w:r>
      <w:r>
        <w:rPr>
          <w:rFonts w:ascii="Times New Roman" w:cs="Times New Roman" w:eastAsia="Times New Roman" w:hAnsi="Times New Roman"/>
          <w:sz w:val="17"/>
          <w:szCs w:val="17"/>
          <w:color w:val="auto"/>
        </w:rPr>
        <w:t xml:space="preserve"> (Records Substitution).</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Substituted-Out Record</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2.c.i</w:t>
      </w:r>
      <w:r>
        <w:rPr>
          <w:rFonts w:ascii="Times New Roman" w:cs="Times New Roman" w:eastAsia="Times New Roman" w:hAnsi="Times New Roman"/>
          <w:sz w:val="17"/>
          <w:szCs w:val="17"/>
          <w:color w:val="auto"/>
        </w:rPr>
        <w:t xml:space="preserve"> (Records Substitution).</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Substitution Cap</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2.c.i</w:t>
      </w:r>
      <w:r>
        <w:rPr>
          <w:rFonts w:ascii="Times New Roman" w:cs="Times New Roman" w:eastAsia="Times New Roman" w:hAnsi="Times New Roman"/>
          <w:sz w:val="17"/>
          <w:szCs w:val="17"/>
          <w:color w:val="auto"/>
        </w:rPr>
        <w:t xml:space="preserve"> (Records Substitution).</w:t>
      </w:r>
    </w:p>
    <w:p>
      <w:pPr>
        <w:spacing w:after="0" w:line="129" w:lineRule="exact"/>
        <w:rPr>
          <w:rFonts w:ascii="Times New Roman" w:cs="Times New Roman" w:eastAsia="Times New Roman" w:hAnsi="Times New Roman"/>
          <w:sz w:val="17"/>
          <w:szCs w:val="17"/>
          <w:color w:val="auto"/>
        </w:rPr>
      </w:pPr>
    </w:p>
    <w:p>
      <w:pPr>
        <w:ind w:left="948" w:right="240" w:hanging="530"/>
        <w:spacing w:after="0" w:line="298" w:lineRule="auto"/>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Substitution Term</w:t>
      </w:r>
      <w:r>
        <w:rPr>
          <w:rFonts w:ascii="Times New Roman" w:cs="Times New Roman" w:eastAsia="Times New Roman" w:hAnsi="Times New Roman"/>
          <w:sz w:val="17"/>
          <w:szCs w:val="17"/>
          <w:color w:val="auto"/>
        </w:rPr>
        <w:t>” means the day commencing immediately after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(as defined in the JV Agreement) and ending at 00:00 Central Time on [***].</w:t>
      </w:r>
    </w:p>
    <w:p>
      <w:pPr>
        <w:spacing w:after="0" w:line="52" w:lineRule="exact"/>
        <w:rPr>
          <w:rFonts w:ascii="Times New Roman" w:cs="Times New Roman" w:eastAsia="Times New Roman" w:hAnsi="Times New Roman"/>
          <w:sz w:val="17"/>
          <w:szCs w:val="17"/>
          <w:color w:val="auto"/>
        </w:rPr>
      </w:pPr>
    </w:p>
    <w:p>
      <w:pPr>
        <w:ind w:left="948" w:hanging="530"/>
        <w:spacing w:after="0" w:line="264" w:lineRule="auto"/>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(a) any taxes, assessments, fees, including income, profits, gross receipts, net proceeds, sales, alternative or add on minimum, ad valorem, turnover, property, personal property (tangible and intangible), environmental, stamp, leasing, lease, user, duty, franchise, capital stock, transfer, registration, license, withholding, social security (or similar), unemployment, disability, payroll, employment, social contributions, fuel, excess profits, occupational, premium, windfall profit, severance, estimated, or other charge of any kind whatsoever, including any interest, penalty, or addition thereto, whether disputed or not and (b) any liability for the payment of any amounts of the type described in clause (a) as a result of the operation of law.</w:t>
      </w:r>
    </w:p>
    <w:p>
      <w:pPr>
        <w:spacing w:after="0" w:line="82"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Technical Services</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4.a</w:t>
      </w:r>
      <w:r>
        <w:rPr>
          <w:rFonts w:ascii="Times New Roman" w:cs="Times New Roman" w:eastAsia="Times New Roman" w:hAnsi="Times New Roman"/>
          <w:sz w:val="17"/>
          <w:szCs w:val="17"/>
          <w:color w:val="auto"/>
        </w:rPr>
        <w:t xml:space="preserve"> (Technical Services).</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Tempus</w:t>
      </w:r>
      <w:r>
        <w:rPr>
          <w:rFonts w:ascii="Times New Roman" w:cs="Times New Roman" w:eastAsia="Times New Roman" w:hAnsi="Times New Roman"/>
          <w:sz w:val="17"/>
          <w:szCs w:val="17"/>
          <w:color w:val="auto"/>
        </w:rPr>
        <w:t>” has the meaning assigned to it in the caption above.</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Tempus Indemnitee</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xml:space="preserve"> (Client Indemnification Obligations).</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Tempus Platform</w:t>
      </w:r>
      <w:r>
        <w:rPr>
          <w:rFonts w:ascii="Times New Roman" w:cs="Times New Roman" w:eastAsia="Times New Roman" w:hAnsi="Times New Roman"/>
          <w:sz w:val="17"/>
          <w:szCs w:val="17"/>
          <w:color w:val="auto"/>
        </w:rPr>
        <w:t>” means the proprietary real world data libraries and associated systems and technology owned by Tempus.</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Tempus Technology</w:t>
      </w:r>
      <w:r>
        <w:rPr>
          <w:rFonts w:ascii="Times New Roman" w:cs="Times New Roman" w:eastAsia="Times New Roman" w:hAnsi="Times New Roman"/>
          <w:sz w:val="17"/>
          <w:szCs w:val="17"/>
          <w:color w:val="auto"/>
        </w:rPr>
        <w:t>” has the meaning assigned to it in the IP License Agreement.</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has the meaning assigned to it in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xml:space="preserve"> (Term).</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Territory</w:t>
      </w:r>
      <w:r>
        <w:rPr>
          <w:rFonts w:ascii="Times New Roman" w:cs="Times New Roman" w:eastAsia="Times New Roman" w:hAnsi="Times New Roman"/>
          <w:sz w:val="17"/>
          <w:szCs w:val="17"/>
          <w:color w:val="auto"/>
        </w:rPr>
        <w:t>” means Japan.</w:t>
      </w:r>
    </w:p>
    <w:p>
      <w:pPr>
        <w:spacing w:after="0" w:line="131" w:lineRule="exact"/>
        <w:rPr>
          <w:rFonts w:ascii="Times New Roman" w:cs="Times New Roman" w:eastAsia="Times New Roman" w:hAnsi="Times New Roman"/>
          <w:sz w:val="17"/>
          <w:szCs w:val="17"/>
          <w:color w:val="auto"/>
        </w:rPr>
      </w:pPr>
    </w:p>
    <w:p>
      <w:pPr>
        <w:ind w:left="948" w:right="40" w:hanging="530"/>
        <w:spacing w:after="0" w:line="295" w:lineRule="auto"/>
        <w:tabs>
          <w:tab w:leader="none" w:pos="94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Unrestricted De-Identified Record</w:t>
      </w:r>
      <w:r>
        <w:rPr>
          <w:rFonts w:ascii="Times New Roman" w:cs="Times New Roman" w:eastAsia="Times New Roman" w:hAnsi="Times New Roman"/>
          <w:sz w:val="17"/>
          <w:szCs w:val="17"/>
          <w:color w:val="auto"/>
        </w:rPr>
        <w:t>” means a De-Identified Record that Client may distribute, sell, sublicense, or otherwise transfer access to and its interest in to a third-party, subject to the terms and conditions of this Agreement.</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Capitalized terms that are used but not defined below have the meanings assigned in the JV Agreement.</w:t>
      </w:r>
    </w:p>
    <w:p>
      <w:pPr>
        <w:spacing w:after="0" w:line="364" w:lineRule="exact"/>
        <w:rPr>
          <w:sz w:val="20"/>
          <w:szCs w:val="20"/>
          <w:color w:val="auto"/>
        </w:rPr>
      </w:pPr>
    </w:p>
    <w:p>
      <w:pPr>
        <w:ind w:left="428" w:hanging="428"/>
        <w:spacing w:after="0"/>
        <w:tabs>
          <w:tab w:leader="none" w:pos="428" w:val="left"/>
        </w:tabs>
        <w:numPr>
          <w:ilvl w:val="0"/>
          <w:numId w:val="2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About Licensed Data and Collaboration.</w:t>
      </w:r>
    </w:p>
    <w:p>
      <w:pPr>
        <w:spacing w:after="0" w:line="131" w:lineRule="exact"/>
        <w:rPr>
          <w:rFonts w:ascii="Times New Roman" w:cs="Times New Roman" w:eastAsia="Times New Roman" w:hAnsi="Times New Roman"/>
          <w:sz w:val="17"/>
          <w:szCs w:val="17"/>
          <w:b w:val="1"/>
          <w:bCs w:val="1"/>
          <w:color w:val="auto"/>
        </w:rPr>
      </w:pPr>
    </w:p>
    <w:p>
      <w:pPr>
        <w:ind w:left="948" w:right="140" w:hanging="530"/>
        <w:spacing w:after="0" w:line="267" w:lineRule="auto"/>
        <w:tabs>
          <w:tab w:leader="none" w:pos="948"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 Records Batch</w:t>
      </w:r>
      <w:r>
        <w:rPr>
          <w:rFonts w:ascii="Times New Roman" w:cs="Times New Roman" w:eastAsia="Times New Roman" w:hAnsi="Times New Roman"/>
          <w:sz w:val="17"/>
          <w:szCs w:val="17"/>
          <w:color w:val="auto"/>
        </w:rPr>
        <w:t>. Within [***] Days following the Effective Date, Tempus will grant and hereby does grant Client the licenses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described in </w:t>
      </w:r>
      <w:r>
        <w:rPr>
          <w:rFonts w:ascii="Times New Roman" w:cs="Times New Roman" w:eastAsia="Times New Roman" w:hAnsi="Times New Roman"/>
          <w:sz w:val="17"/>
          <w:szCs w:val="17"/>
          <w:u w:val="single" w:color="auto"/>
          <w:color w:val="auto"/>
        </w:rPr>
        <w:t>Section 3.a.i</w:t>
      </w:r>
      <w:r>
        <w:rPr>
          <w:rFonts w:ascii="Times New Roman" w:cs="Times New Roman" w:eastAsia="Times New Roman" w:hAnsi="Times New Roman"/>
          <w:sz w:val="17"/>
          <w:szCs w:val="17"/>
          <w:color w:val="auto"/>
        </w:rPr>
        <w:t xml:space="preserve"> (License Grant) to [***] unique Unrestricted De-Identified Records (such Unrestricted De-Identified Records comprising the “</w:t>
      </w:r>
      <w:r>
        <w:rPr>
          <w:rFonts w:ascii="Times New Roman" w:cs="Times New Roman" w:eastAsia="Times New Roman" w:hAnsi="Times New Roman"/>
          <w:sz w:val="17"/>
          <w:szCs w:val="17"/>
          <w:u w:val="single" w:color="auto"/>
          <w:color w:val="auto"/>
        </w:rPr>
        <w:t>Initial Records Batch</w:t>
      </w:r>
      <w:r>
        <w:rPr>
          <w:rFonts w:ascii="Times New Roman" w:cs="Times New Roman" w:eastAsia="Times New Roman" w:hAnsi="Times New Roman"/>
          <w:sz w:val="17"/>
          <w:szCs w:val="17"/>
          <w:color w:val="auto"/>
        </w:rPr>
        <w:t xml:space="preserve">”) meeting inclusion criteria defined by Client and Tempus and consistent with the standard data filters available in the Tempus Platform [***]. In the event that Client does not timely pay Tempus the fees for such license as set forth in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(Upfront Payment), Tempus may revoke access to such Records until such fees are paid.</w:t>
      </w:r>
    </w:p>
    <w:p>
      <w:pPr>
        <w:spacing w:after="0" w:line="1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48"/>
          </w:cols>
          <w:pgMar w:left="612" w:top="264" w:right="639" w:bottom="1440" w:gutter="0" w:footer="0" w:header="0"/>
        </w:sectPr>
      </w:pPr>
    </w:p>
    <w:bookmarkStart w:id="516" w:name="page517"/>
    <w:bookmarkEnd w:id="516"/>
    <w:p>
      <w:pPr>
        <w:ind w:left="530" w:hanging="530"/>
        <w:spacing w:after="0"/>
        <w:tabs>
          <w:tab w:leader="none" w:pos="53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Initial Setup Period.</w:t>
      </w:r>
    </w:p>
    <w:p>
      <w:pPr>
        <w:spacing w:after="0" w:line="131" w:lineRule="exact"/>
        <w:rPr>
          <w:rFonts w:ascii="Times New Roman" w:cs="Times New Roman" w:eastAsia="Times New Roman" w:hAnsi="Times New Roman"/>
          <w:sz w:val="17"/>
          <w:szCs w:val="17"/>
          <w:color w:val="auto"/>
        </w:rPr>
      </w:pPr>
    </w:p>
    <w:p>
      <w:pPr>
        <w:ind w:left="950" w:right="20" w:hanging="414"/>
        <w:spacing w:after="0" w:line="263" w:lineRule="auto"/>
        <w:tabs>
          <w:tab w:leader="none" w:pos="950"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Initial Data Access</w:t>
      </w:r>
      <w:r>
        <w:rPr>
          <w:rFonts w:ascii="Times New Roman" w:cs="Times New Roman" w:eastAsia="Times New Roman" w:hAnsi="Times New Roman"/>
          <w:sz w:val="17"/>
          <w:szCs w:val="17"/>
          <w:color w:val="auto"/>
        </w:rPr>
        <w:t>. During the period commencing on the Effective Date until the Closing (“</w:t>
      </w:r>
      <w:r>
        <w:rPr>
          <w:rFonts w:ascii="Times New Roman" w:cs="Times New Roman" w:eastAsia="Times New Roman" w:hAnsi="Times New Roman"/>
          <w:sz w:val="17"/>
          <w:szCs w:val="17"/>
          <w:u w:val="single" w:color="auto"/>
          <w:color w:val="auto"/>
        </w:rPr>
        <w:t>Initial Setup Period</w:t>
      </w:r>
      <w:r>
        <w:rPr>
          <w:rFonts w:ascii="Times New Roman" w:cs="Times New Roman" w:eastAsia="Times New Roman" w:hAnsi="Times New Roman"/>
          <w:sz w:val="17"/>
          <w:szCs w:val="17"/>
          <w:color w:val="auto"/>
        </w:rPr>
        <w:t>”), Tempus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provide access to the Initial Records Batch and other Licensed Data (if applicable) to Client to the extent necessary for Client to receive the data access and preparation services provided in </w:t>
      </w:r>
      <w:r>
        <w:rPr>
          <w:rFonts w:ascii="Times New Roman" w:cs="Times New Roman" w:eastAsia="Times New Roman" w:hAnsi="Times New Roman"/>
          <w:sz w:val="17"/>
          <w:szCs w:val="17"/>
          <w:u w:val="single" w:color="auto"/>
          <w:color w:val="auto"/>
        </w:rPr>
        <w:t>Section 2.b.ii</w:t>
      </w:r>
      <w:r>
        <w:rPr>
          <w:rFonts w:ascii="Times New Roman" w:cs="Times New Roman" w:eastAsia="Times New Roman" w:hAnsi="Times New Roman"/>
          <w:sz w:val="17"/>
          <w:szCs w:val="17"/>
          <w:color w:val="auto"/>
        </w:rPr>
        <w:t xml:space="preserve"> (Data Access and Preparation Services). During the Initial Setup Period, (1) Tempus employees seconded to Client will access the Initial Records Batch and other Licensed Data (if applicable) to provide such services, provided such employees will be subject to reasonable confidentiality restrictions, and (2) Client will have sole discretion if and to what extent it grants such access to its employees, and will provide advance written notice to Tempus upon such election.</w:t>
      </w:r>
    </w:p>
    <w:p>
      <w:pPr>
        <w:spacing w:after="0" w:line="81" w:lineRule="exact"/>
        <w:rPr>
          <w:rFonts w:ascii="Times New Roman" w:cs="Times New Roman" w:eastAsia="Times New Roman" w:hAnsi="Times New Roman"/>
          <w:sz w:val="17"/>
          <w:szCs w:val="17"/>
          <w:color w:val="auto"/>
        </w:rPr>
      </w:pPr>
    </w:p>
    <w:p>
      <w:pPr>
        <w:ind w:left="950" w:right="20" w:hanging="414"/>
        <w:spacing w:after="0" w:line="264" w:lineRule="auto"/>
        <w:tabs>
          <w:tab w:leader="none" w:pos="950"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Data Access and Preparation Services</w:t>
      </w:r>
      <w:r>
        <w:rPr>
          <w:rFonts w:ascii="Times New Roman" w:cs="Times New Roman" w:eastAsia="Times New Roman" w:hAnsi="Times New Roman"/>
          <w:sz w:val="17"/>
          <w:szCs w:val="17"/>
          <w:color w:val="auto"/>
        </w:rPr>
        <w:t>. During the Initial Setup Period, Tempus will provide Client with certain data access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preparation services to assist Client in preparing for and setting up the Business in the Territory, including [***], and (4) any other services reasonably necessary or useful to enable Client to access and use the Initial Records Batch following the Closing (clause (1)</w:t>
      </w:r>
    </w:p>
    <w:p>
      <w:pPr>
        <w:spacing w:after="0" w:line="2" w:lineRule="exact"/>
        <w:rPr>
          <w:rFonts w:ascii="Times New Roman" w:cs="Times New Roman" w:eastAsia="Times New Roman" w:hAnsi="Times New Roman"/>
          <w:sz w:val="17"/>
          <w:szCs w:val="17"/>
          <w:color w:val="auto"/>
        </w:rPr>
      </w:pPr>
    </w:p>
    <w:p>
      <w:pPr>
        <w:ind w:left="95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(4) collectively, “</w:t>
      </w:r>
      <w:r>
        <w:rPr>
          <w:rFonts w:ascii="Times New Roman" w:cs="Times New Roman" w:eastAsia="Times New Roman" w:hAnsi="Times New Roman"/>
          <w:sz w:val="17"/>
          <w:szCs w:val="17"/>
          <w:u w:val="single" w:color="auto"/>
          <w:color w:val="auto"/>
        </w:rPr>
        <w:t>Data Access and Preparation Services</w:t>
      </w:r>
      <w:r>
        <w:rPr>
          <w:rFonts w:ascii="Times New Roman" w:cs="Times New Roman" w:eastAsia="Times New Roman" w:hAnsi="Times New Roman"/>
          <w:sz w:val="17"/>
          <w:szCs w:val="17"/>
          <w:color w:val="auto"/>
        </w:rPr>
        <w:t>”).</w:t>
      </w:r>
    </w:p>
    <w:p>
      <w:pPr>
        <w:spacing w:after="0" w:line="346"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Substitution and Enhancement Rights for the Initial Records Batch.</w:t>
      </w:r>
    </w:p>
    <w:p>
      <w:pPr>
        <w:spacing w:after="0" w:line="131" w:lineRule="exact"/>
        <w:rPr>
          <w:rFonts w:ascii="Times New Roman" w:cs="Times New Roman" w:eastAsia="Times New Roman" w:hAnsi="Times New Roman"/>
          <w:sz w:val="17"/>
          <w:szCs w:val="17"/>
          <w:color w:val="auto"/>
        </w:rPr>
      </w:pPr>
    </w:p>
    <w:p>
      <w:pPr>
        <w:ind w:left="950" w:hanging="414"/>
        <w:spacing w:after="0" w:line="259" w:lineRule="auto"/>
        <w:tabs>
          <w:tab w:leader="none" w:pos="950"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Records Substitution</w:t>
      </w:r>
      <w:r>
        <w:rPr>
          <w:rFonts w:ascii="Times New Roman" w:cs="Times New Roman" w:eastAsia="Times New Roman" w:hAnsi="Times New Roman"/>
          <w:sz w:val="17"/>
          <w:szCs w:val="17"/>
          <w:color w:val="auto"/>
        </w:rPr>
        <w:t>. During the Substitution Term and the Extended Substitution Term (if applicable) and up to the Substitution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 Client may request that Tempus substitute an Unrestricted De-Identified Record then included in the Initial Records Batch (such substituted-out Unrestricted De-Identified Record, the “</w:t>
      </w:r>
      <w:r>
        <w:rPr>
          <w:rFonts w:ascii="Times New Roman" w:cs="Times New Roman" w:eastAsia="Times New Roman" w:hAnsi="Times New Roman"/>
          <w:sz w:val="17"/>
          <w:szCs w:val="17"/>
          <w:u w:val="single" w:color="auto"/>
          <w:color w:val="auto"/>
        </w:rPr>
        <w:t>Substituted-Out Record</w:t>
      </w:r>
      <w:r>
        <w:rPr>
          <w:rFonts w:ascii="Times New Roman" w:cs="Times New Roman" w:eastAsia="Times New Roman" w:hAnsi="Times New Roman"/>
          <w:sz w:val="17"/>
          <w:szCs w:val="17"/>
          <w:color w:val="auto"/>
        </w:rPr>
        <w:t>”) with another Unrestricted De-Identified Record then not included in the Initial Records Batch (such substituted-in Unrestricted De-Identified Record, the “</w:t>
      </w:r>
      <w:r>
        <w:rPr>
          <w:rFonts w:ascii="Times New Roman" w:cs="Times New Roman" w:eastAsia="Times New Roman" w:hAnsi="Times New Roman"/>
          <w:sz w:val="17"/>
          <w:szCs w:val="17"/>
          <w:u w:val="single" w:color="auto"/>
          <w:color w:val="auto"/>
        </w:rPr>
        <w:t>Substituted-In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Record</w:t>
      </w:r>
      <w:r>
        <w:rPr>
          <w:rFonts w:ascii="Times New Roman" w:cs="Times New Roman" w:eastAsia="Times New Roman" w:hAnsi="Times New Roman"/>
          <w:sz w:val="17"/>
          <w:szCs w:val="17"/>
          <w:color w:val="auto"/>
        </w:rPr>
        <w:t>” and the foregoing process, the “</w:t>
      </w:r>
      <w:r>
        <w:rPr>
          <w:rFonts w:ascii="Times New Roman" w:cs="Times New Roman" w:eastAsia="Times New Roman" w:hAnsi="Times New Roman"/>
          <w:sz w:val="17"/>
          <w:szCs w:val="17"/>
          <w:u w:val="single" w:color="auto"/>
          <w:color w:val="auto"/>
        </w:rPr>
        <w:t>Records Substitution</w:t>
      </w:r>
      <w:r>
        <w:rPr>
          <w:rFonts w:ascii="Times New Roman" w:cs="Times New Roman" w:eastAsia="Times New Roman" w:hAnsi="Times New Roman"/>
          <w:sz w:val="17"/>
          <w:szCs w:val="17"/>
          <w:color w:val="auto"/>
        </w:rPr>
        <w:t xml:space="preserve">”) and Tempus will use reasonable best efforts to comply with such request within [***] Days of receiving Client’s request, so long as the Unrestricted De-Identified Record that Client is seeking to substitute (A) has not actually been licensed or otherwise made available by or on behalf of Client to a non-Affiliate third-party as of the substitution or (B) if any such access was provided, such access can be can be timely revoked in accordance with Client’s obligations under this Agreement as of the substitution. The Parties will perform the Records Substitution in accordance with the then-current Tempus standard process for provisioning and deprovisioning Licensed Data and all Substituted-In Records will meet the then-current inclusion criteria as defined by Client and Tempus. For the avoidance of doubt, following a Records Substitution, the Substituted-Out Record will no longer be Licensed Data and the Substituted-In Record will be Licensed Data, subject to the same terms as had previously applied to the Substituted-Out Record. Parties acknowledge that each Substituted-Out Record is non-public information of Tempus and subject to the terms and conditions in </w:t>
      </w:r>
      <w:r>
        <w:rPr>
          <w:rFonts w:ascii="Times New Roman" w:cs="Times New Roman" w:eastAsia="Times New Roman" w:hAnsi="Times New Roman"/>
          <w:sz w:val="17"/>
          <w:szCs w:val="17"/>
          <w:u w:val="single" w:color="auto"/>
          <w:color w:val="auto"/>
        </w:rPr>
        <w:t>Section 7.b (Non-disclosure)</w:t>
      </w:r>
      <w:r>
        <w:rPr>
          <w:rFonts w:ascii="Times New Roman" w:cs="Times New Roman" w:eastAsia="Times New Roman" w:hAnsi="Times New Roman"/>
          <w:sz w:val="17"/>
          <w:szCs w:val="17"/>
          <w:color w:val="auto"/>
        </w:rPr>
        <w:t>. Immediately upon receipt of the Substituted-In Record, the License Term for the Substituted-Out Record will terminate. Each time there is a Records Substitution, the then-current count for Records Substitution will be incremented by one (1) such that over the Substitution Term and the Extended Substitution Term (if applicable) Client will only be allowed to substitute a maximum of [***] Records</w:t>
      </w:r>
    </w:p>
    <w:p>
      <w:pPr>
        <w:spacing w:after="0" w:line="114" w:lineRule="exact"/>
        <w:rPr>
          <w:sz w:val="20"/>
          <w:szCs w:val="20"/>
          <w:color w:val="auto"/>
        </w:rPr>
      </w:pPr>
    </w:p>
    <w:p>
      <w:pPr>
        <w:jc w:val="center"/>
        <w:ind w:right="39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230"/>
          </w:cols>
          <w:pgMar w:left="1030" w:top="262" w:right="639" w:bottom="1440" w:gutter="0" w:footer="0" w:header="0"/>
        </w:sectPr>
      </w:pPr>
    </w:p>
    <w:bookmarkStart w:id="517" w:name="page518"/>
    <w:bookmarkEnd w:id="517"/>
    <w:p>
      <w:pPr>
        <w:jc w:val="both"/>
        <w:ind w:left="970" w:right="5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(such maximum amount, the “</w:t>
      </w:r>
      <w:r>
        <w:rPr>
          <w:rFonts w:ascii="Times New Roman" w:cs="Times New Roman" w:eastAsia="Times New Roman" w:hAnsi="Times New Roman"/>
          <w:sz w:val="17"/>
          <w:szCs w:val="17"/>
          <w:u w:val="single" w:color="auto"/>
          <w:color w:val="auto"/>
        </w:rPr>
        <w:t>Substitution Cap</w:t>
      </w:r>
      <w:r>
        <w:rPr>
          <w:rFonts w:ascii="Times New Roman" w:cs="Times New Roman" w:eastAsia="Times New Roman" w:hAnsi="Times New Roman"/>
          <w:sz w:val="17"/>
          <w:szCs w:val="17"/>
          <w:color w:val="auto"/>
        </w:rPr>
        <w:t xml:space="preserve">”). For the avoidance of doubt, any update or enhancement for an Unrestricted De-Identified Record in the Initial Records Batch provided by Tempus to Client will not constitute a Records Substitution and Tempus will provide such update or enhancement for the fees set forth in </w:t>
      </w:r>
      <w:r>
        <w:rPr>
          <w:rFonts w:ascii="Times New Roman" w:cs="Times New Roman" w:eastAsia="Times New Roman" w:hAnsi="Times New Roman"/>
          <w:sz w:val="17"/>
          <w:szCs w:val="17"/>
          <w:u w:val="single" w:color="auto"/>
          <w:color w:val="auto"/>
        </w:rPr>
        <w:t>Section 6.e</w:t>
      </w:r>
      <w:r>
        <w:rPr>
          <w:rFonts w:ascii="Times New Roman" w:cs="Times New Roman" w:eastAsia="Times New Roman" w:hAnsi="Times New Roman"/>
          <w:sz w:val="17"/>
          <w:szCs w:val="17"/>
          <w:color w:val="auto"/>
        </w:rPr>
        <w:t xml:space="preserve"> (Fees for Updates to Licensed Data).</w:t>
      </w:r>
    </w:p>
    <w:p>
      <w:pPr>
        <w:spacing w:after="0" w:line="68" w:lineRule="exact"/>
        <w:rPr>
          <w:sz w:val="20"/>
          <w:szCs w:val="20"/>
          <w:color w:val="auto"/>
        </w:rPr>
      </w:pPr>
    </w:p>
    <w:p>
      <w:pPr>
        <w:ind w:left="950" w:right="40" w:hanging="414"/>
        <w:spacing w:after="0" w:line="263" w:lineRule="auto"/>
        <w:tabs>
          <w:tab w:leader="none" w:pos="950"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Enhancements to Substituted-In Records</w:t>
      </w:r>
      <w:r>
        <w:rPr>
          <w:rFonts w:ascii="Times New Roman" w:cs="Times New Roman" w:eastAsia="Times New Roman" w:hAnsi="Times New Roman"/>
          <w:sz w:val="17"/>
          <w:szCs w:val="17"/>
          <w:color w:val="auto"/>
        </w:rPr>
        <w:t>. Client may request that any Substituted-In Record to be provided in a Records Substitution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modified to include one or more additional Data Categories (such modified Substituted-In Record, an “</w:t>
      </w:r>
      <w:r>
        <w:rPr>
          <w:rFonts w:ascii="Times New Roman" w:cs="Times New Roman" w:eastAsia="Times New Roman" w:hAnsi="Times New Roman"/>
          <w:sz w:val="17"/>
          <w:szCs w:val="17"/>
          <w:u w:val="single" w:color="auto"/>
          <w:color w:val="auto"/>
        </w:rPr>
        <w:t>Enhanced Substituted-In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Record</w:t>
      </w:r>
      <w:r>
        <w:rPr>
          <w:rFonts w:ascii="Times New Roman" w:cs="Times New Roman" w:eastAsia="Times New Roman" w:hAnsi="Times New Roman"/>
          <w:sz w:val="17"/>
          <w:szCs w:val="17"/>
          <w:color w:val="auto"/>
        </w:rPr>
        <w:t>”) and Tempus will use reasonable best efforts accommodate such request to the extent such information is available within the Tempus Platform. If Tempus determines, at its sole discretion, that it needs to perform supplemental work, including, without limitation, additional data curation, to provide an Enhanced Substituted-In Record, Tempus will inform Client prior to performing any such supplemental work. The Parties will enter into an Order Form to document the terms of such supplemental work (such work, the “</w:t>
      </w:r>
      <w:r>
        <w:rPr>
          <w:rFonts w:ascii="Times New Roman" w:cs="Times New Roman" w:eastAsia="Times New Roman" w:hAnsi="Times New Roman"/>
          <w:sz w:val="17"/>
          <w:szCs w:val="17"/>
          <w:u w:val="single" w:color="auto"/>
          <w:color w:val="auto"/>
        </w:rPr>
        <w:t>Approved Supplemental Work</w:t>
      </w:r>
      <w:r>
        <w:rPr>
          <w:rFonts w:ascii="Times New Roman" w:cs="Times New Roman" w:eastAsia="Times New Roman" w:hAnsi="Times New Roman"/>
          <w:sz w:val="17"/>
          <w:szCs w:val="17"/>
          <w:color w:val="auto"/>
        </w:rPr>
        <w:t xml:space="preserve">”) and any Approved Supplemental Work will be subject to </w:t>
      </w:r>
      <w:r>
        <w:rPr>
          <w:rFonts w:ascii="Times New Roman" w:cs="Times New Roman" w:eastAsia="Times New Roman" w:hAnsi="Times New Roman"/>
          <w:sz w:val="17"/>
          <w:szCs w:val="17"/>
          <w:u w:val="single" w:color="auto"/>
          <w:color w:val="auto"/>
        </w:rPr>
        <w:t>Section 6.d</w:t>
      </w:r>
      <w:r>
        <w:rPr>
          <w:rFonts w:ascii="Times New Roman" w:cs="Times New Roman" w:eastAsia="Times New Roman" w:hAnsi="Times New Roman"/>
          <w:sz w:val="17"/>
          <w:szCs w:val="17"/>
          <w:color w:val="auto"/>
        </w:rPr>
        <w:t xml:space="preserve"> (Fees for Records Substitution).</w:t>
      </w:r>
    </w:p>
    <w:p>
      <w:pPr>
        <w:spacing w:after="0" w:line="290" w:lineRule="exact"/>
        <w:rPr>
          <w:rFonts w:ascii="Times New Roman" w:cs="Times New Roman" w:eastAsia="Times New Roman" w:hAnsi="Times New Roman"/>
          <w:sz w:val="17"/>
          <w:szCs w:val="17"/>
          <w:color w:val="auto"/>
        </w:rPr>
      </w:pPr>
    </w:p>
    <w:p>
      <w:pPr>
        <w:ind w:left="530" w:right="40" w:hanging="530"/>
        <w:spacing w:after="0" w:line="261" w:lineRule="auto"/>
        <w:tabs>
          <w:tab w:leader="none" w:pos="53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Purchase of License to Additional Records Batch</w:t>
      </w:r>
      <w:r>
        <w:rPr>
          <w:rFonts w:ascii="Times New Roman" w:cs="Times New Roman" w:eastAsia="Times New Roman" w:hAnsi="Times New Roman"/>
          <w:sz w:val="17"/>
          <w:szCs w:val="17"/>
          <w:color w:val="auto"/>
        </w:rPr>
        <w:t>. In each instance that the Board (as defined in the JV Agreement) authorizes purchase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licenses to additional Unrestricted De-Identified Records as set forth in Section 9.6 of the JV Agreement, Tempus will grant Client the license described in </w:t>
      </w:r>
      <w:r>
        <w:rPr>
          <w:rFonts w:ascii="Times New Roman" w:cs="Times New Roman" w:eastAsia="Times New Roman" w:hAnsi="Times New Roman"/>
          <w:sz w:val="17"/>
          <w:szCs w:val="17"/>
          <w:u w:val="single" w:color="auto"/>
          <w:color w:val="auto"/>
        </w:rPr>
        <w:t>Section 3.a.i</w:t>
      </w:r>
      <w:r>
        <w:rPr>
          <w:rFonts w:ascii="Times New Roman" w:cs="Times New Roman" w:eastAsia="Times New Roman" w:hAnsi="Times New Roman"/>
          <w:sz w:val="17"/>
          <w:szCs w:val="17"/>
          <w:color w:val="auto"/>
        </w:rPr>
        <w:t xml:space="preserve"> (License Grant) to the specified quantity of additional unique Unrestricted De-Identified Records (each such set of additional Unrestricted De-Identified Records, an “</w:t>
      </w:r>
      <w:r>
        <w:rPr>
          <w:rFonts w:ascii="Times New Roman" w:cs="Times New Roman" w:eastAsia="Times New Roman" w:hAnsi="Times New Roman"/>
          <w:sz w:val="17"/>
          <w:szCs w:val="17"/>
          <w:u w:val="single" w:color="auto"/>
          <w:color w:val="auto"/>
        </w:rPr>
        <w:t>Additional Records Batch</w:t>
      </w:r>
      <w:r>
        <w:rPr>
          <w:rFonts w:ascii="Times New Roman" w:cs="Times New Roman" w:eastAsia="Times New Roman" w:hAnsi="Times New Roman"/>
          <w:sz w:val="17"/>
          <w:szCs w:val="17"/>
          <w:color w:val="auto"/>
        </w:rPr>
        <w:t xml:space="preserve">”) upon documentation of such license in an Order Form and receipt of the fees set forth in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xml:space="preserve"> (Fees for Additional Records Batch). In addition, for each instance that the Board authorizes purchase of licenses to additional Unrestricted De-Identified Records as set forth in Section 9.6 of the JV Agreement in connection with Client acting as a sales agent for Tempus’ datasets within the Territory (each such Record, a “</w:t>
      </w:r>
      <w:r>
        <w:rPr>
          <w:rFonts w:ascii="Times New Roman" w:cs="Times New Roman" w:eastAsia="Times New Roman" w:hAnsi="Times New Roman"/>
          <w:sz w:val="17"/>
          <w:szCs w:val="17"/>
          <w:u w:val="single" w:color="auto"/>
          <w:color w:val="auto"/>
        </w:rPr>
        <w:t>Sales Agent Record</w:t>
      </w:r>
      <w:r>
        <w:rPr>
          <w:rFonts w:ascii="Times New Roman" w:cs="Times New Roman" w:eastAsia="Times New Roman" w:hAnsi="Times New Roman"/>
          <w:sz w:val="17"/>
          <w:szCs w:val="17"/>
          <w:color w:val="auto"/>
        </w:rPr>
        <w:t xml:space="preserve">”), Tempus will grant Client the license described in </w:t>
      </w:r>
      <w:r>
        <w:rPr>
          <w:rFonts w:ascii="Times New Roman" w:cs="Times New Roman" w:eastAsia="Times New Roman" w:hAnsi="Times New Roman"/>
          <w:sz w:val="17"/>
          <w:szCs w:val="17"/>
          <w:u w:val="single" w:color="auto"/>
          <w:color w:val="auto"/>
        </w:rPr>
        <w:t>Section 3.a.i</w:t>
      </w:r>
      <w:r>
        <w:rPr>
          <w:rFonts w:ascii="Times New Roman" w:cs="Times New Roman" w:eastAsia="Times New Roman" w:hAnsi="Times New Roman"/>
          <w:sz w:val="17"/>
          <w:szCs w:val="17"/>
          <w:color w:val="auto"/>
        </w:rPr>
        <w:t xml:space="preserve"> (License Grant) to the specified quantity of additional unique Sales Agent Records upon documentation of such license in an Order Form and receipt of the fees set forth in Section 6.h (Fees for Sales Agent Records). In addition to all other applicable license and other terms under this Agreement, for each Sales Agent Record, [***].</w:t>
      </w:r>
    </w:p>
    <w:p>
      <w:pPr>
        <w:spacing w:after="0" w:line="82" w:lineRule="exact"/>
        <w:rPr>
          <w:rFonts w:ascii="Times New Roman" w:cs="Times New Roman" w:eastAsia="Times New Roman" w:hAnsi="Times New Roman"/>
          <w:sz w:val="17"/>
          <w:szCs w:val="17"/>
          <w:color w:val="auto"/>
        </w:rPr>
      </w:pPr>
    </w:p>
    <w:p>
      <w:pPr>
        <w:ind w:left="530" w:right="360" w:hanging="530"/>
        <w:spacing w:after="0" w:line="298" w:lineRule="auto"/>
        <w:tabs>
          <w:tab w:leader="none" w:pos="53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Purchase of License to Customary De-Identified Records</w:t>
      </w:r>
      <w:r>
        <w:rPr>
          <w:rFonts w:ascii="Times New Roman" w:cs="Times New Roman" w:eastAsia="Times New Roman" w:hAnsi="Times New Roman"/>
          <w:sz w:val="17"/>
          <w:szCs w:val="17"/>
          <w:color w:val="auto"/>
        </w:rPr>
        <w:t>. Client may, at its sole discretion, request to purchase a license to Customary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De-Identified Records from Tempus and Parties will execute an Order Form for each separate request.</w:t>
      </w:r>
    </w:p>
    <w:p>
      <w:pPr>
        <w:spacing w:after="0" w:line="285"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and Acceptance of Licensed Data.</w:t>
      </w:r>
    </w:p>
    <w:p>
      <w:pPr>
        <w:spacing w:after="0" w:line="131" w:lineRule="exact"/>
        <w:rPr>
          <w:rFonts w:ascii="Times New Roman" w:cs="Times New Roman" w:eastAsia="Times New Roman" w:hAnsi="Times New Roman"/>
          <w:sz w:val="17"/>
          <w:szCs w:val="17"/>
          <w:color w:val="auto"/>
        </w:rPr>
      </w:pPr>
    </w:p>
    <w:p>
      <w:pPr>
        <w:ind w:left="950" w:hanging="414"/>
        <w:spacing w:after="0" w:line="298" w:lineRule="auto"/>
        <w:tabs>
          <w:tab w:leader="none" w:pos="950"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of Initial Records Batch</w:t>
      </w:r>
      <w:r>
        <w:rPr>
          <w:rFonts w:ascii="Times New Roman" w:cs="Times New Roman" w:eastAsia="Times New Roman" w:hAnsi="Times New Roman"/>
          <w:sz w:val="17"/>
          <w:szCs w:val="17"/>
          <w:color w:val="auto"/>
        </w:rPr>
        <w:t>. Tempus will deliver the Initial Records Batch to Client as soon as reasonably practicable following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Effective Date, but in any event, no later than [***] Days following the Effective Date. [***].</w:t>
      </w:r>
    </w:p>
    <w:p>
      <w:pPr>
        <w:spacing w:after="0" w:line="50" w:lineRule="exact"/>
        <w:rPr>
          <w:sz w:val="20"/>
          <w:szCs w:val="20"/>
          <w:color w:val="auto"/>
        </w:rPr>
      </w:pPr>
    </w:p>
    <w:p>
      <w:pPr>
        <w:ind w:left="950" w:right="260" w:hanging="414"/>
        <w:spacing w:after="0" w:line="298" w:lineRule="auto"/>
        <w:tabs>
          <w:tab w:leader="none" w:pos="95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of Other Licensed Data</w:t>
      </w:r>
      <w:r>
        <w:rPr>
          <w:rFonts w:ascii="Times New Roman" w:cs="Times New Roman" w:eastAsia="Times New Roman" w:hAnsi="Times New Roman"/>
          <w:sz w:val="17"/>
          <w:szCs w:val="17"/>
          <w:color w:val="auto"/>
        </w:rPr>
        <w:t>. Tempus will deliver all Licensed Data other than the Initial Records Batch in accordance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delivery process mutually agreed upon in writing by the Parties and set forth in the applicable Order Form (if applicable).</w:t>
      </w:r>
    </w:p>
    <w:p>
      <w:pPr>
        <w:spacing w:after="0" w:line="50" w:lineRule="exact"/>
        <w:rPr>
          <w:rFonts w:ascii="Times New Roman" w:cs="Times New Roman" w:eastAsia="Times New Roman" w:hAnsi="Times New Roman"/>
          <w:sz w:val="17"/>
          <w:szCs w:val="17"/>
          <w:color w:val="auto"/>
        </w:rPr>
      </w:pPr>
    </w:p>
    <w:p>
      <w:pPr>
        <w:ind w:left="950" w:right="220" w:hanging="414"/>
        <w:spacing w:after="0" w:line="298" w:lineRule="auto"/>
        <w:tabs>
          <w:tab w:leader="none" w:pos="95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Acceptance of Licensed Data</w:t>
      </w:r>
      <w:r>
        <w:rPr>
          <w:rFonts w:ascii="Times New Roman" w:cs="Times New Roman" w:eastAsia="Times New Roman" w:hAnsi="Times New Roman"/>
          <w:sz w:val="17"/>
          <w:szCs w:val="17"/>
          <w:color w:val="auto"/>
        </w:rPr>
        <w:t>. Client will have [***] calendar days from the delivery of Licensed Data (or in the case of the Initial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Records Batch, [***] calendar days from the</w:t>
      </w:r>
    </w:p>
    <w:p>
      <w:pPr>
        <w:spacing w:after="0" w:line="78" w:lineRule="exact"/>
        <w:rPr>
          <w:sz w:val="20"/>
          <w:szCs w:val="20"/>
          <w:color w:val="auto"/>
        </w:rPr>
      </w:pPr>
    </w:p>
    <w:p>
      <w:pPr>
        <w:jc w:val="center"/>
        <w:ind w:right="41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250"/>
          </w:cols>
          <w:pgMar w:left="1030" w:top="264" w:right="619" w:bottom="1440" w:gutter="0" w:footer="0" w:header="0"/>
        </w:sectPr>
      </w:pPr>
    </w:p>
    <w:bookmarkStart w:id="518" w:name="page519"/>
    <w:bookmarkEnd w:id="518"/>
    <w:p>
      <w:pPr>
        <w:ind w:left="1380" w:right="20"/>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Closing) (the “</w:t>
      </w:r>
      <w:r>
        <w:rPr>
          <w:rFonts w:ascii="Times New Roman" w:cs="Times New Roman" w:eastAsia="Times New Roman" w:hAnsi="Times New Roman"/>
          <w:sz w:val="17"/>
          <w:szCs w:val="17"/>
          <w:u w:val="single" w:color="auto"/>
          <w:color w:val="auto"/>
        </w:rPr>
        <w:t>Acceptance Period</w:t>
      </w:r>
      <w:r>
        <w:rPr>
          <w:rFonts w:ascii="Times New Roman" w:cs="Times New Roman" w:eastAsia="Times New Roman" w:hAnsi="Times New Roman"/>
          <w:sz w:val="17"/>
          <w:szCs w:val="17"/>
          <w:color w:val="auto"/>
        </w:rPr>
        <w:t xml:space="preserve">”) to determine whether Licensed Data conforms to the terms set forth in </w:t>
      </w:r>
      <w:r>
        <w:rPr>
          <w:rFonts w:ascii="Times New Roman" w:cs="Times New Roman" w:eastAsia="Times New Roman" w:hAnsi="Times New Roman"/>
          <w:sz w:val="17"/>
          <w:szCs w:val="17"/>
          <w:u w:val="single" w:color="auto"/>
          <w:color w:val="auto"/>
        </w:rPr>
        <w:t>Section 2.g.i</w:t>
      </w:r>
      <w:r>
        <w:rPr>
          <w:rFonts w:ascii="Times New Roman" w:cs="Times New Roman" w:eastAsia="Times New Roman" w:hAnsi="Times New Roman"/>
          <w:sz w:val="17"/>
          <w:szCs w:val="17"/>
          <w:color w:val="auto"/>
        </w:rPr>
        <w:t xml:space="preserve"> (Most Recent Data), </w:t>
      </w:r>
      <w:r>
        <w:rPr>
          <w:rFonts w:ascii="Times New Roman" w:cs="Times New Roman" w:eastAsia="Times New Roman" w:hAnsi="Times New Roman"/>
          <w:sz w:val="17"/>
          <w:szCs w:val="17"/>
          <w:u w:val="single" w:color="auto"/>
          <w:color w:val="auto"/>
        </w:rPr>
        <w:t>Section 2.g.ii</w:t>
      </w:r>
      <w:r>
        <w:rPr>
          <w:rFonts w:ascii="Times New Roman" w:cs="Times New Roman" w:eastAsia="Times New Roman" w:hAnsi="Times New Roman"/>
          <w:sz w:val="17"/>
          <w:szCs w:val="17"/>
          <w:color w:val="auto"/>
        </w:rPr>
        <w:t xml:space="preserve"> (Completeness of De-Identified Records), </w:t>
      </w:r>
      <w:r>
        <w:rPr>
          <w:rFonts w:ascii="Times New Roman" w:cs="Times New Roman" w:eastAsia="Times New Roman" w:hAnsi="Times New Roman"/>
          <w:sz w:val="17"/>
          <w:szCs w:val="17"/>
          <w:u w:val="single" w:color="auto"/>
          <w:color w:val="auto"/>
        </w:rPr>
        <w:t>Section 2.g.iv</w:t>
      </w:r>
      <w:r>
        <w:rPr>
          <w:rFonts w:ascii="Times New Roman" w:cs="Times New Roman" w:eastAsia="Times New Roman" w:hAnsi="Times New Roman"/>
          <w:sz w:val="17"/>
          <w:szCs w:val="17"/>
          <w:color w:val="auto"/>
        </w:rPr>
        <w:t xml:space="preserve"> (Minimum Quality) and terms of the Order Form (if applicable) (collectively, the “</w:t>
      </w:r>
      <w:r>
        <w:rPr>
          <w:rFonts w:ascii="Times New Roman" w:cs="Times New Roman" w:eastAsia="Times New Roman" w:hAnsi="Times New Roman"/>
          <w:sz w:val="17"/>
          <w:szCs w:val="17"/>
          <w:u w:val="single" w:color="auto"/>
          <w:color w:val="auto"/>
        </w:rPr>
        <w:t>Specifications</w:t>
      </w:r>
      <w:r>
        <w:rPr>
          <w:rFonts w:ascii="Times New Roman" w:cs="Times New Roman" w:eastAsia="Times New Roman" w:hAnsi="Times New Roman"/>
          <w:sz w:val="17"/>
          <w:szCs w:val="17"/>
          <w:color w:val="auto"/>
        </w:rPr>
        <w:t>”). If Client’s qualified personnel determines that the Licensed Data does not conform to the Specifications, then Client may reject the Licensed Data (such rejected Licensed Data, the “</w:t>
      </w:r>
      <w:r>
        <w:rPr>
          <w:rFonts w:ascii="Times New Roman" w:cs="Times New Roman" w:eastAsia="Times New Roman" w:hAnsi="Times New Roman"/>
          <w:sz w:val="17"/>
          <w:szCs w:val="17"/>
          <w:u w:val="single" w:color="auto"/>
          <w:color w:val="auto"/>
        </w:rPr>
        <w:t>Rejected Data</w:t>
      </w:r>
      <w:r>
        <w:rPr>
          <w:rFonts w:ascii="Times New Roman" w:cs="Times New Roman" w:eastAsia="Times New Roman" w:hAnsi="Times New Roman"/>
          <w:sz w:val="17"/>
          <w:szCs w:val="17"/>
          <w:color w:val="auto"/>
        </w:rPr>
        <w:t>”) by providing Tempus with written notice and specifying the non-conformance. Promptly following the receipt of such notice from Client, Tempus will, with respect to each De-Identified Record of the Rejected Data, either (a) correct the non-conformance of that particular De-Identified Record or (b) substitute with a different conforming De-Identified Record that satisfies the inclusion criteria associated with the original De-Identified Record. Tempus will have sole discretion over whether to perform (a) or (b) of the foregoing and such performance will be at no additional cost to Client. Tempus’ performance of clause (a) or (b) will be Client’s sole remedy for Rejected Data. For clarity, nothing in this Section 2.f.iii (Acceptance of Licensed Data) will limit Client’s rights and remedies in the event of Tempus’ failure to perform either (a) or (b) with respect to Rejected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-163830</wp:posOffset>
            </wp:positionV>
            <wp:extent cx="26733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2">
                      <a:extLst>
                        <a:ext uri="{28A0092B-C50C-407E-A947-70E740481C1C}"/>
                      </a:extLst>
                    </a:blip>
                    <a:srcRect/>
                    <a:stretch>
                      <a:fillRect/>
                    </a:stretch>
                  </pic:blipFill>
                  <pic:spPr bwMode="auto">
                    <a:xfrm>
                      <a:off x="0" y="0"/>
                      <a:ext cx="267335" cy="8255"/>
                    </a:xfrm>
                    <a:prstGeom prst="rect">
                      <a:avLst/>
                    </a:prstGeom>
                    <a:noFill/>
                  </pic:spPr>
                </pic:pic>
              </a:graphicData>
            </a:graphic>
          </wp:anchor>
        </w:drawing>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740" w:type="dxa"/>
            <w:vAlign w:val="bottom"/>
          </w:tcPr>
          <w:p>
            <w:pPr>
              <w:spacing w:after="0"/>
              <w:rPr>
                <w:sz w:val="18"/>
                <w:szCs w:val="18"/>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iv.</w:t>
            </w: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i w:val="1"/>
                <w:iCs w:val="1"/>
                <w:color w:val="auto"/>
              </w:rPr>
              <w:t>Specific Performance</w:t>
            </w:r>
            <w:r>
              <w:rPr>
                <w:rFonts w:ascii="Times New Roman" w:cs="Times New Roman" w:eastAsia="Times New Roman" w:hAnsi="Times New Roman"/>
                <w:sz w:val="17"/>
                <w:szCs w:val="17"/>
                <w:color w:val="auto"/>
              </w:rPr>
              <w:t>. If Tempus and Client, each acting in good faith, are unable to come to a decision in respect of any dispute</w:t>
            </w:r>
          </w:p>
        </w:tc>
      </w:tr>
      <w:tr>
        <w:trPr>
          <w:trHeight w:val="188"/>
        </w:trPr>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40" w:type="dxa"/>
            <w:vAlign w:val="bottom"/>
            <w:gridSpan w:val="8"/>
          </w:tcPr>
          <w:p>
            <w:pPr>
              <w:ind w:left="120"/>
              <w:spacing w:after="0" w:line="189" w:lineRule="exact"/>
              <w:rPr>
                <w:sz w:val="20"/>
                <w:szCs w:val="20"/>
                <w:color w:val="auto"/>
              </w:rPr>
            </w:pPr>
            <w:r>
              <w:rPr>
                <w:rFonts w:ascii="Times New Roman" w:cs="Times New Roman" w:eastAsia="Times New Roman" w:hAnsi="Times New Roman"/>
                <w:sz w:val="17"/>
                <w:szCs w:val="17"/>
                <w:color w:val="auto"/>
              </w:rPr>
              <w:t>regarding this Section 2.f within [***] Days of such matter first being raised, and such matter may materially affect the ability of</w:t>
            </w: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Client to engage in the Business or to conduct the Business in an efficient manner, then (a) such matter will first be referred to senior</w:t>
            </w:r>
          </w:p>
        </w:tc>
      </w:tr>
      <w:tr>
        <w:trPr>
          <w:trHeight w:val="209"/>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executives of Tempus and (b) if such senior executives are unable in good faith to resolve the matter on an amicable basis within</w:t>
            </w:r>
          </w:p>
        </w:tc>
      </w:tr>
      <w:tr>
        <w:trPr>
          <w:trHeight w:val="209"/>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 Days, then solely with respect to a request for specific performance or injunctive relief, and not with respect to any other</w:t>
            </w:r>
          </w:p>
        </w:tc>
      </w:tr>
      <w:tr>
        <w:trPr>
          <w:trHeight w:val="209"/>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requested remedy, Tempus consents to Client making an application to any court of competent jurisdiction seeking specific</w:t>
            </w:r>
          </w:p>
        </w:tc>
      </w:tr>
      <w:tr>
        <w:trPr>
          <w:trHeight w:val="209"/>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performance or injunctive relief. All other aspects of any dispute or other remedies sought under this Agreement are subject to the</w:t>
            </w:r>
          </w:p>
        </w:tc>
      </w:tr>
      <w:tr>
        <w:trPr>
          <w:trHeight w:val="227"/>
        </w:trPr>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0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requirements set forth in Section 14.3 (Dispute Resolution) of the JV Agreement.</w:t>
            </w:r>
          </w:p>
        </w:tc>
        <w:tc>
          <w:tcPr>
            <w:tcW w:w="2140" w:type="dxa"/>
            <w:vAlign w:val="bottom"/>
          </w:tcPr>
          <w:p>
            <w:pPr>
              <w:spacing w:after="0"/>
              <w:rPr>
                <w:sz w:val="19"/>
                <w:szCs w:val="19"/>
                <w:color w:val="auto"/>
              </w:rPr>
            </w:pPr>
          </w:p>
        </w:tc>
      </w:tr>
      <w:tr>
        <w:trPr>
          <w:trHeight w:val="327"/>
        </w:trPr>
        <w:tc>
          <w:tcPr>
            <w:tcW w:w="7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g.</w:t>
            </w:r>
          </w:p>
        </w:tc>
        <w:tc>
          <w:tcPr>
            <w:tcW w:w="3340" w:type="dxa"/>
            <w:vAlign w:val="bottom"/>
            <w:gridSpan w:val="5"/>
          </w:tcPr>
          <w:p>
            <w:pPr>
              <w:ind w:left="200"/>
              <w:spacing w:after="0"/>
              <w:rPr>
                <w:sz w:val="20"/>
                <w:szCs w:val="20"/>
                <w:color w:val="auto"/>
              </w:rPr>
            </w:pPr>
            <w:r>
              <w:rPr>
                <w:rFonts w:ascii="Times New Roman" w:cs="Times New Roman" w:eastAsia="Times New Roman" w:hAnsi="Times New Roman"/>
                <w:sz w:val="17"/>
                <w:szCs w:val="17"/>
                <w:i w:val="1"/>
                <w:iCs w:val="1"/>
                <w:color w:val="auto"/>
              </w:rPr>
              <w:t>Performance Obligations.</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09"/>
        </w:trPr>
        <w:tc>
          <w:tcPr>
            <w:tcW w:w="74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w:t>
            </w: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i w:val="1"/>
                <w:iCs w:val="1"/>
                <w:color w:val="auto"/>
              </w:rPr>
              <w:t>Most Recent Data</w:t>
            </w:r>
            <w:r>
              <w:rPr>
                <w:rFonts w:ascii="Times New Roman" w:cs="Times New Roman" w:eastAsia="Times New Roman" w:hAnsi="Times New Roman"/>
                <w:sz w:val="17"/>
                <w:szCs w:val="17"/>
                <w:color w:val="auto"/>
              </w:rPr>
              <w:t>. Tempus will ensure that each Unrestricted De-Identified Record included in the Licensed Data is selected from</w:t>
            </w:r>
          </w:p>
        </w:tc>
      </w:tr>
      <w:tr>
        <w:trPr>
          <w:trHeight w:val="209"/>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the most up-to-date data hosted on the Tempus Platform. The Initial Record Batch will come from [***]. The Parties acknowledge</w:t>
            </w:r>
          </w:p>
        </w:tc>
      </w:tr>
      <w:tr>
        <w:trPr>
          <w:trHeight w:val="209"/>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that, as of the Effective Date, the Tempus Platform includes the following data libraries and that Tempus has the sole right, but the</w:t>
            </w:r>
          </w:p>
        </w:tc>
      </w:tr>
      <w:tr>
        <w:trPr>
          <w:trHeight w:val="227"/>
        </w:trPr>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0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not the obligation, to update the Tempus Platform at any time during the Term:</w:t>
            </w:r>
          </w:p>
        </w:tc>
        <w:tc>
          <w:tcPr>
            <w:tcW w:w="2140" w:type="dxa"/>
            <w:vAlign w:val="bottom"/>
          </w:tcPr>
          <w:p>
            <w:pPr>
              <w:spacing w:after="0"/>
              <w:rPr>
                <w:sz w:val="19"/>
                <w:szCs w:val="19"/>
                <w:color w:val="auto"/>
              </w:rPr>
            </w:pPr>
          </w:p>
        </w:tc>
      </w:tr>
      <w:tr>
        <w:trPr>
          <w:trHeight w:val="236"/>
        </w:trPr>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r>
      <w:tr>
        <w:trPr>
          <w:trHeight w:val="202"/>
        </w:trPr>
        <w:tc>
          <w:tcPr>
            <w:tcW w:w="740" w:type="dxa"/>
            <w:vAlign w:val="bottom"/>
            <w:tcBorders>
              <w:left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jc w:val="right"/>
              <w:ind w:right="1673"/>
              <w:spacing w:after="0"/>
              <w:rPr>
                <w:sz w:val="20"/>
                <w:szCs w:val="20"/>
                <w:color w:val="auto"/>
              </w:rPr>
            </w:pPr>
            <w:r>
              <w:rPr>
                <w:rFonts w:ascii="Times New Roman" w:cs="Times New Roman" w:eastAsia="Times New Roman" w:hAnsi="Times New Roman"/>
                <w:sz w:val="17"/>
                <w:szCs w:val="17"/>
                <w:b w:val="1"/>
                <w:bCs w:val="1"/>
                <w:color w:val="auto"/>
              </w:rPr>
              <w:t>[***]</w:t>
            </w:r>
          </w:p>
        </w:tc>
        <w:tc>
          <w:tcPr>
            <w:tcW w:w="2140" w:type="dxa"/>
            <w:vAlign w:val="bottom"/>
            <w:tcBorders>
              <w:bottom w:val="single" w:sz="8" w:color="auto"/>
              <w:right w:val="single" w:sz="8" w:color="auto"/>
            </w:tcBorders>
          </w:tcPr>
          <w:p>
            <w:pPr>
              <w:jc w:val="right"/>
              <w:ind w:right="15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2"/>
        </w:trPr>
        <w:tc>
          <w:tcPr>
            <w:tcW w:w="740" w:type="dxa"/>
            <w:vAlign w:val="bottom"/>
            <w:tcBorders>
              <w:left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jc w:val="right"/>
              <w:ind w:right="1673"/>
              <w:spacing w:after="0"/>
              <w:rPr>
                <w:sz w:val="20"/>
                <w:szCs w:val="20"/>
                <w:color w:val="auto"/>
              </w:rPr>
            </w:pPr>
            <w:r>
              <w:rPr>
                <w:rFonts w:ascii="Times New Roman" w:cs="Times New Roman" w:eastAsia="Times New Roman" w:hAnsi="Times New Roman"/>
                <w:sz w:val="17"/>
                <w:szCs w:val="17"/>
                <w:b w:val="1"/>
                <w:bCs w:val="1"/>
                <w:color w:val="auto"/>
              </w:rPr>
              <w:t>[***]</w:t>
            </w:r>
          </w:p>
        </w:tc>
        <w:tc>
          <w:tcPr>
            <w:tcW w:w="2140" w:type="dxa"/>
            <w:vAlign w:val="bottom"/>
            <w:tcBorders>
              <w:bottom w:val="single" w:sz="8" w:color="auto"/>
              <w:right w:val="single" w:sz="8" w:color="auto"/>
            </w:tcBorders>
          </w:tcPr>
          <w:p>
            <w:pPr>
              <w:jc w:val="right"/>
              <w:ind w:right="15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301"/>
        </w:trPr>
        <w:tc>
          <w:tcPr>
            <w:tcW w:w="74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ii.</w:t>
            </w: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i w:val="1"/>
                <w:iCs w:val="1"/>
                <w:color w:val="auto"/>
              </w:rPr>
              <w:t>Completeness of De-Identified Records</w:t>
            </w:r>
            <w:r>
              <w:rPr>
                <w:rFonts w:ascii="Times New Roman" w:cs="Times New Roman" w:eastAsia="Times New Roman" w:hAnsi="Times New Roman"/>
                <w:sz w:val="17"/>
                <w:szCs w:val="17"/>
                <w:color w:val="auto"/>
              </w:rPr>
              <w:t>. Tempus will use reasonable best efforts to ensure that each De-Identified Record of the</w:t>
            </w:r>
          </w:p>
        </w:tc>
      </w:tr>
      <w:tr>
        <w:trPr>
          <w:trHeight w:val="209"/>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Licensed Data comprises all of the Data Categories of data then currently available to Tempus’ third-party customers with respect to</w:t>
            </w:r>
          </w:p>
        </w:tc>
      </w:tr>
      <w:tr>
        <w:trPr>
          <w:trHeight w:val="227"/>
        </w:trPr>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0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such De-Identified Record as of the date such De-Identified Record is made available to Client. [***].</w:t>
            </w:r>
          </w:p>
        </w:tc>
        <w:tc>
          <w:tcPr>
            <w:tcW w:w="2140" w:type="dxa"/>
            <w:vAlign w:val="bottom"/>
          </w:tcPr>
          <w:p>
            <w:pPr>
              <w:spacing w:after="0"/>
              <w:rPr>
                <w:sz w:val="19"/>
                <w:szCs w:val="19"/>
                <w:color w:val="auto"/>
              </w:rPr>
            </w:pPr>
          </w:p>
        </w:tc>
      </w:tr>
      <w:tr>
        <w:trPr>
          <w:trHeight w:val="309"/>
        </w:trPr>
        <w:tc>
          <w:tcPr>
            <w:tcW w:w="74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iii.</w:t>
            </w:r>
          </w:p>
        </w:tc>
        <w:tc>
          <w:tcPr>
            <w:tcW w:w="9440" w:type="dxa"/>
            <w:vAlign w:val="bottom"/>
            <w:gridSpan w:val="8"/>
          </w:tcPr>
          <w:p>
            <w:pPr>
              <w:ind w:left="120"/>
              <w:spacing w:after="0"/>
              <w:rPr>
                <w:sz w:val="20"/>
                <w:szCs w:val="20"/>
                <w:color w:val="auto"/>
              </w:rPr>
            </w:pPr>
            <w:r>
              <w:rPr>
                <w:rFonts w:ascii="Times New Roman" w:cs="Times New Roman" w:eastAsia="Times New Roman" w:hAnsi="Times New Roman"/>
                <w:sz w:val="17"/>
                <w:szCs w:val="17"/>
                <w:i w:val="1"/>
                <w:iCs w:val="1"/>
                <w:color w:val="auto"/>
              </w:rPr>
              <w:t>Updates to Licensed Data</w:t>
            </w:r>
            <w:r>
              <w:rPr>
                <w:rFonts w:ascii="Times New Roman" w:cs="Times New Roman" w:eastAsia="Times New Roman" w:hAnsi="Times New Roman"/>
                <w:sz w:val="17"/>
                <w:szCs w:val="17"/>
                <w:color w:val="auto"/>
              </w:rPr>
              <w:t>. If, during the Term but after the Closing, Tempus receives supplemental data within the Data Categories</w:t>
            </w:r>
          </w:p>
        </w:tc>
      </w:tr>
      <w:tr>
        <w:trPr>
          <w:trHeight w:val="227"/>
        </w:trPr>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6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corresponding to any De-Identified Record</w:t>
            </w:r>
          </w:p>
        </w:tc>
        <w:tc>
          <w:tcPr>
            <w:tcW w:w="1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53"/>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rPr>
              <w:t>8</w:t>
            </w: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0660"/>
          </w:cols>
          <w:pgMar w:left="620" w:top="265" w:right="619" w:bottom="1440" w:gutter="0" w:footer="0" w:header="0"/>
        </w:sectPr>
      </w:pPr>
    </w:p>
    <w:bookmarkStart w:id="519" w:name="page520"/>
    <w:bookmarkEnd w:id="519"/>
    <w:p>
      <w:pPr>
        <w:ind w:left="1388" w:right="34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included in the Licensed Data, Tempus will, at its sole discretion, provide Client either (a) the supplemental data and an identification of the corresponding De-Identified Record to which the supplemental data relates or (b) an updated De-Identified Record incorporating the supplemental data ((a) and (b) collectively, the “</w:t>
      </w:r>
      <w:r>
        <w:rPr>
          <w:rFonts w:ascii="Times New Roman" w:cs="Times New Roman" w:eastAsia="Times New Roman" w:hAnsi="Times New Roman"/>
          <w:sz w:val="17"/>
          <w:szCs w:val="17"/>
          <w:u w:val="single" w:color="auto"/>
          <w:color w:val="auto"/>
        </w:rPr>
        <w:t>Licensed Data Updates</w:t>
      </w:r>
      <w:r>
        <w:rPr>
          <w:rFonts w:ascii="Times New Roman" w:cs="Times New Roman" w:eastAsia="Times New Roman" w:hAnsi="Times New Roman"/>
          <w:sz w:val="17"/>
          <w:szCs w:val="17"/>
          <w:color w:val="auto"/>
        </w:rPr>
        <w:t xml:space="preserve">”) for the fees set forth in </w:t>
      </w:r>
      <w:r>
        <w:rPr>
          <w:rFonts w:ascii="Times New Roman" w:cs="Times New Roman" w:eastAsia="Times New Roman" w:hAnsi="Times New Roman"/>
          <w:sz w:val="17"/>
          <w:szCs w:val="17"/>
          <w:u w:val="single" w:color="auto"/>
          <w:color w:val="auto"/>
        </w:rPr>
        <w:t>Section 6.e</w:t>
      </w:r>
      <w:r>
        <w:rPr>
          <w:rFonts w:ascii="Times New Roman" w:cs="Times New Roman" w:eastAsia="Times New Roman" w:hAnsi="Times New Roman"/>
          <w:sz w:val="17"/>
          <w:szCs w:val="17"/>
          <w:color w:val="auto"/>
        </w:rPr>
        <w:t xml:space="preserve"> (Fees for Updates to Licensed Data). Tempus will provide Client all Licensed Data Updates on a mutually agreeable schedule, and in any event at least [***].</w:t>
      </w:r>
    </w:p>
    <w:p>
      <w:pPr>
        <w:spacing w:after="0" w:line="78" w:lineRule="exact"/>
        <w:rPr>
          <w:sz w:val="20"/>
          <w:szCs w:val="20"/>
          <w:color w:val="auto"/>
        </w:rPr>
      </w:pPr>
    </w:p>
    <w:p>
      <w:pPr>
        <w:ind w:left="1368" w:right="140" w:hanging="414"/>
        <w:spacing w:after="0" w:line="270" w:lineRule="auto"/>
        <w:tabs>
          <w:tab w:leader="none" w:pos="1368" w:val="left"/>
        </w:tabs>
        <w:numPr>
          <w:ilvl w:val="2"/>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Minimum Quality</w:t>
      </w:r>
      <w:r>
        <w:rPr>
          <w:rFonts w:ascii="Times New Roman" w:cs="Times New Roman" w:eastAsia="Times New Roman" w:hAnsi="Times New Roman"/>
          <w:sz w:val="17"/>
          <w:szCs w:val="17"/>
          <w:color w:val="auto"/>
        </w:rPr>
        <w:t>. Tempus will use reasonable best efforts to ensure that, as of the date of provision of De-Identified Records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 the De-Identified Records of the Licensed Data provided to Client are the most recent and up-to-date De-Identified Records available and meet at least the same level of quality as that of De-Identified Records provided by Tempus to any other third-party customers or partners.</w:t>
      </w:r>
    </w:p>
    <w:p>
      <w:pPr>
        <w:spacing w:after="0" w:line="74" w:lineRule="exact"/>
        <w:rPr>
          <w:rFonts w:ascii="Times New Roman" w:cs="Times New Roman" w:eastAsia="Times New Roman" w:hAnsi="Times New Roman"/>
          <w:sz w:val="17"/>
          <w:szCs w:val="17"/>
          <w:color w:val="auto"/>
        </w:rPr>
      </w:pPr>
    </w:p>
    <w:p>
      <w:pPr>
        <w:ind w:left="1368" w:hanging="414"/>
        <w:spacing w:after="0" w:line="261" w:lineRule="auto"/>
        <w:tabs>
          <w:tab w:leader="none" w:pos="1368" w:val="left"/>
        </w:tabs>
        <w:numPr>
          <w:ilvl w:val="2"/>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Co-operation for AI Initiative</w:t>
      </w:r>
      <w:r>
        <w:rPr>
          <w:rFonts w:ascii="Times New Roman" w:cs="Times New Roman" w:eastAsia="Times New Roman" w:hAnsi="Times New Roman"/>
          <w:sz w:val="17"/>
          <w:szCs w:val="17"/>
          <w:color w:val="auto"/>
        </w:rPr>
        <w:t>. The Parties acknowledge that, as a part of the AI Initiative, Client intends to secure strategic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partnerships with biopharmaceutical companies, life science companies, and other healthcare researchers in and for Japan to commercially exploit Unrestricted De-Identified Records included in Licensed Data and other proprietary data generated by Client. The Parties will co-operate in good faith to secure such partnerships, provided that, such cooperation does not require Tempus to grant any additional rights or licenses to Licensed Data outside of the scope of a fully executed and mutually agreed upon Order Form and provided further that Tempus will cooperate with Client in good faith to enter into fully executed and mutually agreed upon Order Forms to provide Licensed Data Services to Client’s customers in furtherance of the AI Initiative (or to provide Licensed Data Services to Client’s customers under existing Order Forms entered into by Client) and such services will be subject to </w:t>
      </w:r>
      <w:r>
        <w:rPr>
          <w:rFonts w:ascii="Times New Roman" w:cs="Times New Roman" w:eastAsia="Times New Roman" w:hAnsi="Times New Roman"/>
          <w:sz w:val="17"/>
          <w:szCs w:val="17"/>
          <w:u w:val="single" w:color="auto"/>
          <w:color w:val="auto"/>
        </w:rPr>
        <w:t>Section 6.d</w:t>
      </w:r>
      <w:r>
        <w:rPr>
          <w:rFonts w:ascii="Times New Roman" w:cs="Times New Roman" w:eastAsia="Times New Roman" w:hAnsi="Times New Roman"/>
          <w:sz w:val="17"/>
          <w:szCs w:val="17"/>
          <w:color w:val="auto"/>
        </w:rPr>
        <w:t xml:space="preserve"> (Fees for Records Substitution and Licensed Data Services).</w:t>
      </w:r>
    </w:p>
    <w:p>
      <w:pPr>
        <w:spacing w:after="0" w:line="86" w:lineRule="exact"/>
        <w:rPr>
          <w:rFonts w:ascii="Times New Roman" w:cs="Times New Roman" w:eastAsia="Times New Roman" w:hAnsi="Times New Roman"/>
          <w:sz w:val="17"/>
          <w:szCs w:val="17"/>
          <w:color w:val="auto"/>
        </w:rPr>
      </w:pPr>
    </w:p>
    <w:p>
      <w:pPr>
        <w:ind w:left="1368" w:right="100" w:hanging="414"/>
        <w:spacing w:after="0" w:line="277" w:lineRule="auto"/>
        <w:tabs>
          <w:tab w:leader="none" w:pos="1368" w:val="left"/>
        </w:tabs>
        <w:numPr>
          <w:ilvl w:val="2"/>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 Performance Standards</w:t>
      </w:r>
      <w:r>
        <w:rPr>
          <w:rFonts w:ascii="Times New Roman" w:cs="Times New Roman" w:eastAsia="Times New Roman" w:hAnsi="Times New Roman"/>
          <w:sz w:val="17"/>
          <w:szCs w:val="17"/>
          <w:color w:val="auto"/>
        </w:rPr>
        <w:t>. Each Party will conduct the activities assigned to it under this Agreement (a) with reasonable skill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care, (b) in accordance with current scientific and technical standards, and (c) pursuant to its respective standard operating procedures.</w:t>
      </w:r>
    </w:p>
    <w:p>
      <w:pPr>
        <w:spacing w:after="0" w:line="68" w:lineRule="exact"/>
        <w:rPr>
          <w:rFonts w:ascii="Times New Roman" w:cs="Times New Roman" w:eastAsia="Times New Roman" w:hAnsi="Times New Roman"/>
          <w:sz w:val="17"/>
          <w:szCs w:val="17"/>
          <w:color w:val="auto"/>
        </w:rPr>
      </w:pPr>
    </w:p>
    <w:p>
      <w:pPr>
        <w:ind w:left="1368" w:right="120" w:hanging="414"/>
        <w:spacing w:after="0" w:line="277" w:lineRule="auto"/>
        <w:tabs>
          <w:tab w:leader="none" w:pos="1368" w:val="left"/>
        </w:tabs>
        <w:numPr>
          <w:ilvl w:val="2"/>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Tempus Withdrawal from Client</w:t>
      </w:r>
      <w:r>
        <w:rPr>
          <w:rFonts w:ascii="Times New Roman" w:cs="Times New Roman" w:eastAsia="Times New Roman" w:hAnsi="Times New Roman"/>
          <w:sz w:val="17"/>
          <w:szCs w:val="17"/>
          <w:color w:val="auto"/>
        </w:rPr>
        <w:t>. If, at any time during the Term, Tempus is no longer a shareholder in Client, then from such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thereafter, Tempus will have no further obligation to provide any Licensed Data, including any updates or enhancement, or any of the Licensed Data Services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(Licensed Data Services).</w:t>
      </w:r>
    </w:p>
    <w:p>
      <w:pPr>
        <w:spacing w:after="0" w:line="185" w:lineRule="exact"/>
        <w:rPr>
          <w:rFonts w:ascii="Times New Roman" w:cs="Times New Roman" w:eastAsia="Times New Roman" w:hAnsi="Times New Roman"/>
          <w:sz w:val="17"/>
          <w:szCs w:val="17"/>
          <w:color w:val="auto"/>
        </w:rPr>
      </w:pPr>
    </w:p>
    <w:p>
      <w:pPr>
        <w:ind w:left="428" w:right="500" w:hanging="428"/>
        <w:spacing w:after="0" w:line="298" w:lineRule="auto"/>
        <w:tabs>
          <w:tab w:leader="none" w:pos="428" w:val="left"/>
        </w:tabs>
        <w:numPr>
          <w:ilvl w:val="0"/>
          <w:numId w:val="2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 Grants and Acknowledgements. </w:t>
      </w:r>
      <w:r>
        <w:rPr>
          <w:rFonts w:ascii="Times New Roman" w:cs="Times New Roman" w:eastAsia="Times New Roman" w:hAnsi="Times New Roman"/>
          <w:sz w:val="17"/>
          <w:szCs w:val="17"/>
          <w:color w:val="auto"/>
        </w:rPr>
        <w:t>Subject to the other terms and conditions in this Agreement, Tempus grants Client the following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licenses with respect to the Licensed Data:</w:t>
      </w:r>
    </w:p>
    <w:p>
      <w:pPr>
        <w:spacing w:after="0" w:line="50" w:lineRule="exact"/>
        <w:rPr>
          <w:rFonts w:ascii="Times New Roman" w:cs="Times New Roman" w:eastAsia="Times New Roman" w:hAnsi="Times New Roman"/>
          <w:sz w:val="17"/>
          <w:szCs w:val="17"/>
          <w:b w:val="1"/>
          <w:bCs w:val="1"/>
          <w:color w:val="auto"/>
        </w:rPr>
      </w:pPr>
    </w:p>
    <w:p>
      <w:pPr>
        <w:ind w:left="42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Unrestricted De-Identified Record.</w:t>
      </w:r>
    </w:p>
    <w:p>
      <w:pPr>
        <w:spacing w:after="0" w:line="131" w:lineRule="exact"/>
        <w:rPr>
          <w:rFonts w:ascii="Times New Roman" w:cs="Times New Roman" w:eastAsia="Times New Roman" w:hAnsi="Times New Roman"/>
          <w:sz w:val="17"/>
          <w:szCs w:val="17"/>
          <w:b w:val="1"/>
          <w:bCs w:val="1"/>
          <w:color w:val="auto"/>
        </w:rPr>
      </w:pPr>
    </w:p>
    <w:p>
      <w:pPr>
        <w:ind w:left="1368" w:right="40" w:hanging="414"/>
        <w:spacing w:after="0" w:line="267" w:lineRule="auto"/>
        <w:tabs>
          <w:tab w:leader="none" w:pos="1368" w:val="left"/>
        </w:tabs>
        <w:numPr>
          <w:ilvl w:val="2"/>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License Grant</w:t>
      </w:r>
      <w:r>
        <w:rPr>
          <w:rFonts w:ascii="Times New Roman" w:cs="Times New Roman" w:eastAsia="Times New Roman" w:hAnsi="Times New Roman"/>
          <w:sz w:val="17"/>
          <w:szCs w:val="17"/>
          <w:color w:val="auto"/>
        </w:rPr>
        <w:t>. During the License Term, subject to the terms and conditions of this Agreement, Tempus grants Client a limited,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non-exclusive, and transferable license, with the right to sublicense (solely in accordance with </w:t>
      </w:r>
      <w:r>
        <w:rPr>
          <w:rFonts w:ascii="Times New Roman" w:cs="Times New Roman" w:eastAsia="Times New Roman" w:hAnsi="Times New Roman"/>
          <w:sz w:val="17"/>
          <w:szCs w:val="17"/>
          <w:u w:val="single" w:color="auto"/>
          <w:color w:val="auto"/>
        </w:rPr>
        <w:t>Section 3.a.ii</w:t>
      </w:r>
      <w:r>
        <w:rPr>
          <w:rFonts w:ascii="Times New Roman" w:cs="Times New Roman" w:eastAsia="Times New Roman" w:hAnsi="Times New Roman"/>
          <w:sz w:val="17"/>
          <w:szCs w:val="17"/>
          <w:color w:val="auto"/>
        </w:rPr>
        <w:t xml:space="preserve"> (Sub-Licensing Conditions)), [***], solely in and for use in the Field in the Territory and for the Permitted Unrestricted De-Identified Record Purpose. For the avoidance of doubt, (1) title to the Records remains with Tempus and (2) during the Initial Setup Period, Client will exercise its rights granted under </w:t>
      </w:r>
      <w:r>
        <w:rPr>
          <w:rFonts w:ascii="Times New Roman" w:cs="Times New Roman" w:eastAsia="Times New Roman" w:hAnsi="Times New Roman"/>
          <w:sz w:val="17"/>
          <w:szCs w:val="17"/>
          <w:u w:val="single" w:color="auto"/>
          <w:color w:val="auto"/>
        </w:rPr>
        <w:t>Section 3.a.i</w:t>
      </w:r>
      <w:r>
        <w:rPr>
          <w:rFonts w:ascii="Times New Roman" w:cs="Times New Roman" w:eastAsia="Times New Roman" w:hAnsi="Times New Roman"/>
          <w:sz w:val="17"/>
          <w:szCs w:val="17"/>
          <w:color w:val="auto"/>
        </w:rPr>
        <w:t xml:space="preserve"> (License Grant) in accordance with </w:t>
      </w:r>
      <w:r>
        <w:rPr>
          <w:rFonts w:ascii="Times New Roman" w:cs="Times New Roman" w:eastAsia="Times New Roman" w:hAnsi="Times New Roman"/>
          <w:sz w:val="17"/>
          <w:szCs w:val="17"/>
          <w:u w:val="single" w:color="auto"/>
          <w:color w:val="auto"/>
        </w:rPr>
        <w:t>Section 2.b.i</w:t>
      </w:r>
      <w:r>
        <w:rPr>
          <w:rFonts w:ascii="Times New Roman" w:cs="Times New Roman" w:eastAsia="Times New Roman" w:hAnsi="Times New Roman"/>
          <w:sz w:val="17"/>
          <w:szCs w:val="17"/>
          <w:color w:val="auto"/>
        </w:rPr>
        <w:t xml:space="preserve"> (Initial Data Access).</w:t>
      </w:r>
    </w:p>
    <w:p>
      <w:pPr>
        <w:spacing w:after="0" w:line="10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48"/>
          </w:cols>
          <w:pgMar w:left="612" w:top="264" w:right="639" w:bottom="1440" w:gutter="0" w:footer="0" w:header="0"/>
        </w:sectPr>
      </w:pPr>
    </w:p>
    <w:bookmarkStart w:id="520" w:name="page521"/>
    <w:bookmarkEnd w:id="520"/>
    <w:p>
      <w:pPr>
        <w:ind w:left="1368" w:right="20" w:hanging="414"/>
        <w:spacing w:after="0" w:line="261" w:lineRule="auto"/>
        <w:tabs>
          <w:tab w:leader="none" w:pos="1368" w:val="left"/>
        </w:tabs>
        <w:numPr>
          <w:ilvl w:val="2"/>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Sub-Licensing Conditions</w:t>
      </w:r>
      <w:r>
        <w:rPr>
          <w:rFonts w:ascii="Times New Roman" w:cs="Times New Roman" w:eastAsia="Times New Roman" w:hAnsi="Times New Roman"/>
          <w:sz w:val="17"/>
          <w:szCs w:val="17"/>
          <w:color w:val="auto"/>
        </w:rPr>
        <w:t>. Client will have the right to sublicense its rights granted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3.a.i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(License Grant) to any third-party only through a single tier and will not grant any sublicensee any right to further sublicense any Unrestricted De-Identified Record. Client will ensure that all sublicenses granted under the license granted under </w:t>
      </w:r>
      <w:r>
        <w:rPr>
          <w:rFonts w:ascii="Times New Roman" w:cs="Times New Roman" w:eastAsia="Times New Roman" w:hAnsi="Times New Roman"/>
          <w:sz w:val="17"/>
          <w:szCs w:val="17"/>
          <w:u w:val="single" w:color="auto"/>
          <w:color w:val="auto"/>
        </w:rPr>
        <w:t>Section 3.a.i</w:t>
      </w:r>
      <w:r>
        <w:rPr>
          <w:rFonts w:ascii="Times New Roman" w:cs="Times New Roman" w:eastAsia="Times New Roman" w:hAnsi="Times New Roman"/>
          <w:sz w:val="17"/>
          <w:szCs w:val="17"/>
          <w:color w:val="auto"/>
        </w:rPr>
        <w:t xml:space="preserve"> (License Grant) will be (A) in writing, (B) subject to, and consistent with, the terms and conditions of this Agreement, including without limitation, the terms and conditions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(Use of Licensed Data) and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(Privacy, Confidentiality, and Intellectual Property), and (C) with respect to Sales Agent Records only, subject to the payment of fees by the sublicensee or customer and in accordance with Section 6.h (Fees for Sales Agent Records) . Upon Client’s request, Tempus will provide Client with its then-current standard license fees for such Records. Client remains responsible for the acts and omissions of its sublicensees, and any act or omission that would be a breach under this Agreement if done by Client will be a breach of this Agreement by Client.</w:t>
      </w:r>
    </w:p>
    <w:p>
      <w:pPr>
        <w:spacing w:after="0" w:line="86" w:lineRule="exact"/>
        <w:rPr>
          <w:rFonts w:ascii="Times New Roman" w:cs="Times New Roman" w:eastAsia="Times New Roman" w:hAnsi="Times New Roman"/>
          <w:sz w:val="17"/>
          <w:szCs w:val="17"/>
          <w:color w:val="auto"/>
        </w:rPr>
      </w:pPr>
    </w:p>
    <w:p>
      <w:pPr>
        <w:ind w:left="948" w:right="20" w:hanging="530"/>
        <w:spacing w:after="0" w:line="277" w:lineRule="auto"/>
        <w:tabs>
          <w:tab w:leader="none" w:pos="948"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Customary De-Identified Record. </w:t>
      </w:r>
      <w:r>
        <w:rPr>
          <w:rFonts w:ascii="Times New Roman" w:cs="Times New Roman" w:eastAsia="Times New Roman" w:hAnsi="Times New Roman"/>
          <w:sz w:val="17"/>
          <w:szCs w:val="17"/>
          <w:color w:val="auto"/>
        </w:rPr>
        <w:t>During the License Term, subject to the terms and conditions of this Agreement, Tempus grants Client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limited, non-exclusive, revocable, non-transferable license in the Field in the Territory, without the right to sublicense, for Authorized Users to [***], solely in and for use in the Field in the Territory and for the applicable Permitted Customary De-Identified Record Purpose.</w:t>
      </w:r>
    </w:p>
    <w:p>
      <w:pPr>
        <w:spacing w:after="0" w:line="68" w:lineRule="exact"/>
        <w:rPr>
          <w:rFonts w:ascii="Times New Roman" w:cs="Times New Roman" w:eastAsia="Times New Roman" w:hAnsi="Times New Roman"/>
          <w:sz w:val="17"/>
          <w:szCs w:val="17"/>
          <w:color w:val="auto"/>
        </w:rPr>
      </w:pPr>
    </w:p>
    <w:p>
      <w:pPr>
        <w:ind w:left="948" w:right="160" w:hanging="530"/>
        <w:spacing w:after="0" w:line="277" w:lineRule="auto"/>
        <w:tabs>
          <w:tab w:leader="none" w:pos="948"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Analytical Services Results</w:t>
      </w:r>
      <w:r>
        <w:rPr>
          <w:rFonts w:ascii="Times New Roman" w:cs="Times New Roman" w:eastAsia="Times New Roman" w:hAnsi="Times New Roman"/>
          <w:sz w:val="17"/>
          <w:szCs w:val="17"/>
          <w:color w:val="auto"/>
        </w:rPr>
        <w:t>. Tempus grants Client a limited, non-exclusive, irrevocable, transferable, perpetual license, with the right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sublicense, to use Analytical Services Results for its own Business purposes. The Analytical Services Results will be subject to the terms and conditions in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(Non-disclosure).</w:t>
      </w:r>
    </w:p>
    <w:p>
      <w:pPr>
        <w:spacing w:after="0" w:line="68" w:lineRule="exact"/>
        <w:rPr>
          <w:rFonts w:ascii="Times New Roman" w:cs="Times New Roman" w:eastAsia="Times New Roman" w:hAnsi="Times New Roman"/>
          <w:sz w:val="17"/>
          <w:szCs w:val="17"/>
          <w:color w:val="auto"/>
        </w:rPr>
      </w:pPr>
    </w:p>
    <w:p>
      <w:pPr>
        <w:ind w:left="948" w:right="20" w:hanging="530"/>
        <w:spacing w:after="0" w:line="277" w:lineRule="auto"/>
        <w:tabs>
          <w:tab w:leader="none" w:pos="948"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End User Generated Results</w:t>
      </w:r>
      <w:r>
        <w:rPr>
          <w:rFonts w:ascii="Times New Roman" w:cs="Times New Roman" w:eastAsia="Times New Roman" w:hAnsi="Times New Roman"/>
          <w:sz w:val="17"/>
          <w:szCs w:val="17"/>
          <w:color w:val="auto"/>
        </w:rPr>
        <w:t>. To the extent Client creates End User Generated Results during the License Term, Tempus acknowledges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agrees that Client may continue using the End User Generated Results for its own Business purposes during and after the expiration or termination of the License Term, so long as such End User Generated Results do not reproduce the Licensed Data [***].</w:t>
      </w:r>
    </w:p>
    <w:p>
      <w:pPr>
        <w:spacing w:after="0" w:line="68" w:lineRule="exact"/>
        <w:rPr>
          <w:rFonts w:ascii="Times New Roman" w:cs="Times New Roman" w:eastAsia="Times New Roman" w:hAnsi="Times New Roman"/>
          <w:sz w:val="17"/>
          <w:szCs w:val="17"/>
          <w:color w:val="auto"/>
        </w:rPr>
      </w:pPr>
    </w:p>
    <w:p>
      <w:pPr>
        <w:ind w:left="948" w:hanging="530"/>
        <w:spacing w:after="0" w:line="277" w:lineRule="auto"/>
        <w:tabs>
          <w:tab w:leader="none" w:pos="948"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Licensed Data Exclusion</w:t>
      </w:r>
      <w:r>
        <w:rPr>
          <w:rFonts w:ascii="Times New Roman" w:cs="Times New Roman" w:eastAsia="Times New Roman" w:hAnsi="Times New Roman"/>
          <w:sz w:val="17"/>
          <w:szCs w:val="17"/>
          <w:color w:val="auto"/>
        </w:rPr>
        <w:t>. In connection with Client’s right to access and use Tempus Technology as granted under the IP License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Client will have access to certain proprietary data of Tempus necessary for the operation of the Tempus Technology (such data, the “</w:t>
      </w:r>
      <w:r>
        <w:rPr>
          <w:rFonts w:ascii="Times New Roman" w:cs="Times New Roman" w:eastAsia="Times New Roman" w:hAnsi="Times New Roman"/>
          <w:sz w:val="17"/>
          <w:szCs w:val="17"/>
          <w:u w:val="single" w:color="auto"/>
          <w:color w:val="auto"/>
        </w:rPr>
        <w:t>Foundational Data</w:t>
      </w:r>
      <w:r>
        <w:rPr>
          <w:rFonts w:ascii="Times New Roman" w:cs="Times New Roman" w:eastAsia="Times New Roman" w:hAnsi="Times New Roman"/>
          <w:sz w:val="17"/>
          <w:szCs w:val="17"/>
          <w:color w:val="auto"/>
        </w:rPr>
        <w:t>”). [***].</w:t>
      </w:r>
    </w:p>
    <w:p>
      <w:pPr>
        <w:spacing w:after="0" w:line="68" w:lineRule="exact"/>
        <w:rPr>
          <w:rFonts w:ascii="Times New Roman" w:cs="Times New Roman" w:eastAsia="Times New Roman" w:hAnsi="Times New Roman"/>
          <w:sz w:val="17"/>
          <w:szCs w:val="17"/>
          <w:color w:val="auto"/>
        </w:rPr>
      </w:pPr>
    </w:p>
    <w:p>
      <w:pPr>
        <w:ind w:left="948" w:right="200" w:hanging="530"/>
        <w:spacing w:after="0" w:line="277" w:lineRule="auto"/>
        <w:tabs>
          <w:tab w:leader="none" w:pos="948"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Implied Licenses</w:t>
      </w:r>
      <w:r>
        <w:rPr>
          <w:rFonts w:ascii="Times New Roman" w:cs="Times New Roman" w:eastAsia="Times New Roman" w:hAnsi="Times New Roman"/>
          <w:sz w:val="17"/>
          <w:szCs w:val="17"/>
          <w:color w:val="auto"/>
        </w:rPr>
        <w:t>. Except as expressly provided in this Agreement, neither Party will be deemed to have granted the other Party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license or other right as to any data of such Party. For clarity, Client is not granted any rights to any Record other than the Licensed Data licensed hereunder.</w:t>
      </w:r>
    </w:p>
    <w:p>
      <w:pPr>
        <w:spacing w:after="0" w:line="68" w:lineRule="exact"/>
        <w:rPr>
          <w:rFonts w:ascii="Times New Roman" w:cs="Times New Roman" w:eastAsia="Times New Roman" w:hAnsi="Times New Roman"/>
          <w:sz w:val="17"/>
          <w:szCs w:val="17"/>
          <w:color w:val="auto"/>
        </w:rPr>
      </w:pPr>
    </w:p>
    <w:p>
      <w:pPr>
        <w:ind w:left="428" w:right="460" w:hanging="428"/>
        <w:spacing w:after="0" w:line="277" w:lineRule="auto"/>
        <w:tabs>
          <w:tab w:leader="none" w:pos="428" w:val="left"/>
        </w:tabs>
        <w:numPr>
          <w:ilvl w:val="0"/>
          <w:numId w:val="2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Licensed Data Services. </w:t>
      </w:r>
      <w:r>
        <w:rPr>
          <w:rFonts w:ascii="Times New Roman" w:cs="Times New Roman" w:eastAsia="Times New Roman" w:hAnsi="Times New Roman"/>
          <w:sz w:val="17"/>
          <w:szCs w:val="17"/>
          <w:color w:val="auto"/>
        </w:rPr>
        <w:t>Tempus will provide the services below to assist Client with using, accessing, understanding, and modifying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Licensed Data during the Term of this Agreement, in each case, as and to the extent set forth in an Order Form hereunder (such services, the “</w:t>
      </w:r>
      <w:r>
        <w:rPr>
          <w:rFonts w:ascii="Times New Roman" w:cs="Times New Roman" w:eastAsia="Times New Roman" w:hAnsi="Times New Roman"/>
          <w:sz w:val="17"/>
          <w:szCs w:val="17"/>
          <w:u w:val="single" w:color="auto"/>
          <w:color w:val="auto"/>
        </w:rPr>
        <w:t>Licensed Data Services</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b w:val="1"/>
          <w:bCs w:val="1"/>
          <w:color w:val="auto"/>
        </w:rPr>
      </w:pPr>
    </w:p>
    <w:p>
      <w:pPr>
        <w:ind w:left="948" w:hanging="530"/>
        <w:spacing w:after="0"/>
        <w:tabs>
          <w:tab w:leader="none" w:pos="948"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48"/>
          </w:cols>
          <w:pgMar w:left="612" w:top="263" w:right="639" w:bottom="1440" w:gutter="0" w:footer="0" w:header="0"/>
        </w:sectPr>
      </w:pPr>
    </w:p>
    <w:bookmarkStart w:id="521" w:name="page522"/>
    <w:bookmarkEnd w:id="521"/>
    <w:p>
      <w:pPr>
        <w:ind w:left="428" w:hanging="428"/>
        <w:spacing w:after="0"/>
        <w:tabs>
          <w:tab w:leader="none" w:pos="428" w:val="left"/>
        </w:tabs>
        <w:numPr>
          <w:ilvl w:val="0"/>
          <w:numId w:val="2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Use of Licensed Data. </w:t>
      </w:r>
      <w:r>
        <w:rPr>
          <w:rFonts w:ascii="Times New Roman" w:cs="Times New Roman" w:eastAsia="Times New Roman" w:hAnsi="Times New Roman"/>
          <w:sz w:val="17"/>
          <w:szCs w:val="17"/>
          <w:color w:val="auto"/>
        </w:rPr>
        <w:t>The following terms apply to all Licensed Data under this Agreement.</w:t>
      </w:r>
    </w:p>
    <w:p>
      <w:pPr>
        <w:spacing w:after="0" w:line="131" w:lineRule="exact"/>
        <w:rPr>
          <w:rFonts w:ascii="Times New Roman" w:cs="Times New Roman" w:eastAsia="Times New Roman" w:hAnsi="Times New Roman"/>
          <w:sz w:val="17"/>
          <w:szCs w:val="17"/>
          <w:b w:val="1"/>
          <w:bCs w:val="1"/>
          <w:color w:val="auto"/>
        </w:rPr>
      </w:pPr>
    </w:p>
    <w:p>
      <w:pPr>
        <w:ind w:left="42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Restrictions</w:t>
      </w:r>
      <w:r>
        <w:rPr>
          <w:rFonts w:ascii="Times New Roman" w:cs="Times New Roman" w:eastAsia="Times New Roman" w:hAnsi="Times New Roman"/>
          <w:sz w:val="17"/>
          <w:szCs w:val="17"/>
          <w:color w:val="auto"/>
        </w:rPr>
        <w:t>. Client agrees to the following terms on its behalf and on behalf of all Affiliates and Authorized Users:</w:t>
      </w:r>
    </w:p>
    <w:p>
      <w:pPr>
        <w:spacing w:after="0" w:line="133" w:lineRule="exact"/>
        <w:rPr>
          <w:rFonts w:ascii="Times New Roman" w:cs="Times New Roman" w:eastAsia="Times New Roman" w:hAnsi="Times New Roman"/>
          <w:sz w:val="17"/>
          <w:szCs w:val="17"/>
          <w:b w:val="1"/>
          <w:bCs w:val="1"/>
          <w:color w:val="auto"/>
        </w:rPr>
      </w:pPr>
    </w:p>
    <w:p>
      <w:pPr>
        <w:ind w:left="1368" w:right="580" w:hanging="414"/>
        <w:spacing w:after="0" w:line="276" w:lineRule="auto"/>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implement rigorous data access controls for Authorized Users. Client will use reasonable best efforts to require Authorized User to acknowledge that the Authorized User has reviewed, understands, and will comply with the terms of this Agreement.</w:t>
      </w:r>
    </w:p>
    <w:p>
      <w:pPr>
        <w:spacing w:after="0" w:line="70" w:lineRule="exact"/>
        <w:rPr>
          <w:rFonts w:ascii="Times New Roman" w:cs="Times New Roman" w:eastAsia="Times New Roman" w:hAnsi="Times New Roman"/>
          <w:sz w:val="17"/>
          <w:szCs w:val="17"/>
          <w:color w:val="auto"/>
        </w:rPr>
      </w:pPr>
    </w:p>
    <w:p>
      <w:pPr>
        <w:ind w:left="1368" w:hanging="414"/>
        <w:spacing w:after="0"/>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is responsible for the acts and omissions of all Authorized Users.</w:t>
      </w:r>
    </w:p>
    <w:p>
      <w:pPr>
        <w:spacing w:after="0" w:line="131" w:lineRule="exact"/>
        <w:rPr>
          <w:rFonts w:ascii="Times New Roman" w:cs="Times New Roman" w:eastAsia="Times New Roman" w:hAnsi="Times New Roman"/>
          <w:sz w:val="17"/>
          <w:szCs w:val="17"/>
          <w:color w:val="auto"/>
        </w:rPr>
      </w:pPr>
    </w:p>
    <w:p>
      <w:pPr>
        <w:ind w:left="1368" w:right="60" w:hanging="414"/>
        <w:spacing w:after="0" w:line="269" w:lineRule="auto"/>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reproduction, display, disclosure, or publication of Results obtained from the use of Licensed Data (or the Licensed Data itself) must include appropriate attribution to Tempus, which attribution to Tempus should be as mutually agreed. Reproduction of any Licensed Data that is not an Unrestricted De-Identified Record for any purpose other than the Permitted Customary De-Identified Record Purpose by Client requires Tempus’ prior written consent.</w:t>
      </w:r>
    </w:p>
    <w:p>
      <w:pPr>
        <w:spacing w:after="0" w:line="77" w:lineRule="exact"/>
        <w:rPr>
          <w:rFonts w:ascii="Times New Roman" w:cs="Times New Roman" w:eastAsia="Times New Roman" w:hAnsi="Times New Roman"/>
          <w:sz w:val="17"/>
          <w:szCs w:val="17"/>
          <w:color w:val="auto"/>
        </w:rPr>
      </w:pPr>
    </w:p>
    <w:p>
      <w:pPr>
        <w:ind w:left="1368" w:hanging="414"/>
        <w:spacing w:after="0" w:line="269" w:lineRule="auto"/>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not re-identify the Licensed Data as to patient, provider, or practice and will ensure that the Licensed Data is not re-identified. Client will not, and will not permit any third-party to, contact any individual whose information may be included in the Licensed Data. If Client combines or commingles the Licensed Data with any other data, Client is responsible for ensuring that such data remains de-identified pursuant to HIPAA.</w:t>
      </w:r>
    </w:p>
    <w:p>
      <w:pPr>
        <w:spacing w:after="0" w:line="77" w:lineRule="exact"/>
        <w:rPr>
          <w:rFonts w:ascii="Times New Roman" w:cs="Times New Roman" w:eastAsia="Times New Roman" w:hAnsi="Times New Roman"/>
          <w:sz w:val="17"/>
          <w:szCs w:val="17"/>
          <w:color w:val="auto"/>
        </w:rPr>
      </w:pPr>
    </w:p>
    <w:p>
      <w:pPr>
        <w:ind w:left="1368" w:right="120" w:hanging="414"/>
        <w:spacing w:after="0" w:line="295" w:lineRule="auto"/>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maintain a reasonable internal governance procedure that prohibits and is designed to avoid unintentional or inadvertent re-identification.</w:t>
      </w:r>
    </w:p>
    <w:p>
      <w:pPr>
        <w:spacing w:after="0" w:line="55" w:lineRule="exact"/>
        <w:rPr>
          <w:rFonts w:ascii="Times New Roman" w:cs="Times New Roman" w:eastAsia="Times New Roman" w:hAnsi="Times New Roman"/>
          <w:sz w:val="17"/>
          <w:szCs w:val="17"/>
          <w:color w:val="auto"/>
        </w:rPr>
      </w:pPr>
    </w:p>
    <w:p>
      <w:pPr>
        <w:ind w:left="1368" w:right="440" w:hanging="414"/>
        <w:spacing w:after="0" w:line="295" w:lineRule="auto"/>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not remove or alter any notice of confidentiality, copyright, trademark, logo or other notice of ownership, origin, or confidentiality in any report, document, or copy of the Licensed Data.</w:t>
      </w:r>
    </w:p>
    <w:p>
      <w:pPr>
        <w:spacing w:after="0" w:line="55" w:lineRule="exact"/>
        <w:rPr>
          <w:rFonts w:ascii="Times New Roman" w:cs="Times New Roman" w:eastAsia="Times New Roman" w:hAnsi="Times New Roman"/>
          <w:sz w:val="17"/>
          <w:szCs w:val="17"/>
          <w:color w:val="auto"/>
        </w:rPr>
      </w:pPr>
    </w:p>
    <w:p>
      <w:pPr>
        <w:ind w:left="1368" w:hanging="414"/>
        <w:spacing w:after="0"/>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not access or use Licensed Data for any purpose not permitted by this Agreement.</w:t>
      </w:r>
    </w:p>
    <w:p>
      <w:pPr>
        <w:spacing w:after="0" w:line="131" w:lineRule="exact"/>
        <w:rPr>
          <w:rFonts w:ascii="Times New Roman" w:cs="Times New Roman" w:eastAsia="Times New Roman" w:hAnsi="Times New Roman"/>
          <w:sz w:val="17"/>
          <w:szCs w:val="17"/>
          <w:color w:val="auto"/>
        </w:rPr>
      </w:pPr>
    </w:p>
    <w:p>
      <w:pPr>
        <w:ind w:left="1368" w:right="100" w:hanging="414"/>
        <w:spacing w:after="0" w:line="295" w:lineRule="auto"/>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not re-sell, transfer or otherwise provide access to any Licensed Data that is not an Unrestricted De-Identified Record to any third-party who is not an Authorized User without prior written permission from Tempus.</w:t>
      </w:r>
    </w:p>
    <w:p>
      <w:pPr>
        <w:spacing w:after="0" w:line="55" w:lineRule="exact"/>
        <w:rPr>
          <w:rFonts w:ascii="Times New Roman" w:cs="Times New Roman" w:eastAsia="Times New Roman" w:hAnsi="Times New Roman"/>
          <w:sz w:val="17"/>
          <w:szCs w:val="17"/>
          <w:color w:val="auto"/>
        </w:rPr>
      </w:pPr>
    </w:p>
    <w:p>
      <w:pPr>
        <w:ind w:left="1368" w:hanging="414"/>
        <w:spacing w:after="0"/>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will act in an ethical and responsible manner when accessing and using Licensed Data.</w:t>
      </w:r>
    </w:p>
    <w:p>
      <w:pPr>
        <w:spacing w:after="0" w:line="131" w:lineRule="exact"/>
        <w:rPr>
          <w:rFonts w:ascii="Times New Roman" w:cs="Times New Roman" w:eastAsia="Times New Roman" w:hAnsi="Times New Roman"/>
          <w:sz w:val="17"/>
          <w:szCs w:val="17"/>
          <w:color w:val="auto"/>
        </w:rPr>
      </w:pPr>
    </w:p>
    <w:p>
      <w:pPr>
        <w:ind w:left="1368" w:right="200" w:hanging="414"/>
        <w:spacing w:after="0" w:line="295" w:lineRule="auto"/>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agrees that Tempus does not endorse any academic, scientific, or public presentations, or abstracts, posters, or manuscripts, and Client will not attempt to indicate any such endorsement.</w:t>
      </w:r>
    </w:p>
    <w:p>
      <w:pPr>
        <w:spacing w:after="0" w:line="55" w:lineRule="exact"/>
        <w:rPr>
          <w:rFonts w:ascii="Times New Roman" w:cs="Times New Roman" w:eastAsia="Times New Roman" w:hAnsi="Times New Roman"/>
          <w:sz w:val="17"/>
          <w:szCs w:val="17"/>
          <w:color w:val="auto"/>
        </w:rPr>
      </w:pPr>
    </w:p>
    <w:p>
      <w:pPr>
        <w:ind w:left="1368" w:hanging="414"/>
        <w:spacing w:after="0" w:line="295" w:lineRule="auto"/>
        <w:tabs>
          <w:tab w:leader="none" w:pos="1368"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Client agrees to immediately return or destroy Licensed Data, at Tempus’ option, at the conclusion of the License Term or expiration or termination of the Agreement and provide written certification of destruction (if applicable).</w:t>
      </w:r>
    </w:p>
    <w:p>
      <w:pPr>
        <w:spacing w:after="0" w:line="8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28"/>
          </w:cols>
          <w:pgMar w:left="612" w:top="262" w:right="659" w:bottom="1440" w:gutter="0" w:footer="0" w:header="0"/>
        </w:sectPr>
      </w:pPr>
    </w:p>
    <w:bookmarkStart w:id="522" w:name="page523"/>
    <w:bookmarkEnd w:id="522"/>
    <w:p>
      <w:pPr>
        <w:ind w:left="530" w:hanging="530"/>
        <w:spacing w:after="0"/>
        <w:tabs>
          <w:tab w:leader="none" w:pos="53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Compliance.</w:t>
      </w:r>
    </w:p>
    <w:p>
      <w:pPr>
        <w:spacing w:after="0" w:line="133" w:lineRule="exact"/>
        <w:rPr>
          <w:rFonts w:ascii="Times New Roman" w:cs="Times New Roman" w:eastAsia="Times New Roman" w:hAnsi="Times New Roman"/>
          <w:sz w:val="17"/>
          <w:szCs w:val="17"/>
          <w:color w:val="auto"/>
        </w:rPr>
      </w:pPr>
    </w:p>
    <w:p>
      <w:pPr>
        <w:ind w:left="950" w:hanging="414"/>
        <w:spacing w:after="0" w:line="261" w:lineRule="auto"/>
        <w:tabs>
          <w:tab w:leader="none" w:pos="950"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Tempus and Client will comply with all Applicable Laws and industry-standard guidelines when carrying out activities under this Agreement, including, to the extent applicable, all Applicable Laws in Japan, securities laws, antitrust laws, HIPAA, the U.S. Food and Drug Administration (FDA) Guidance on Industry-Supported Scientific and Educational Activities, the U.S. Federal Food, Drug, and Cosmetic Act and associated regulations, U.S. federal and state anti-kickback laws and guidance, the Council of Medical Specialty Societies (CMSS) Code of Interactions with Companies, the American Medical Association Code of Medical Ethics and associated opinions, policies adopted by the FDA relating to industry-sponsored educational activities, the Accreditation Council for Continuing Medical Education (ACCME) Standards for Commercial Support, the Pharmaceutical Research and Manufacturers of America (PhRMA) Code on Interactions with Healthcare Professionals, and the ICMJE Recommendations for publication authorship.</w:t>
      </w:r>
    </w:p>
    <w:p>
      <w:pPr>
        <w:spacing w:after="0" w:line="298" w:lineRule="exact"/>
        <w:rPr>
          <w:rFonts w:ascii="Times New Roman" w:cs="Times New Roman" w:eastAsia="Times New Roman" w:hAnsi="Times New Roman"/>
          <w:sz w:val="17"/>
          <w:szCs w:val="17"/>
          <w:color w:val="auto"/>
        </w:rPr>
      </w:pPr>
    </w:p>
    <w:p>
      <w:pPr>
        <w:ind w:left="950" w:right="220" w:hanging="414"/>
        <w:spacing w:after="0" w:line="269" w:lineRule="auto"/>
        <w:tabs>
          <w:tab w:leader="none" w:pos="950"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funds provided under this Agreement are not being given in exchange for any explicit or implicit agreement to purchase, prescribe, recommend, influence or provide favorable formulary status for Client’s products or services. This Agreement is not for the purpose of promoting any product, service, or company. Client will not and will ensure that Client’s Affiliates and Authorized Users do not, offer any inducements to Tempus, any of its Affiliates, or any health care providers relating to this Agreement.</w:t>
      </w:r>
    </w:p>
    <w:p>
      <w:pPr>
        <w:spacing w:after="0" w:line="77" w:lineRule="exact"/>
        <w:rPr>
          <w:rFonts w:ascii="Times New Roman" w:cs="Times New Roman" w:eastAsia="Times New Roman" w:hAnsi="Times New Roman"/>
          <w:sz w:val="17"/>
          <w:szCs w:val="17"/>
          <w:color w:val="auto"/>
        </w:rPr>
      </w:pPr>
    </w:p>
    <w:p>
      <w:pPr>
        <w:ind w:left="950" w:right="140" w:hanging="414"/>
        <w:spacing w:after="0" w:line="262" w:lineRule="auto"/>
        <w:tabs>
          <w:tab w:leader="none" w:pos="950"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Tempus acknowledges that any direct or indirect Payments or Transfers of Value to Covered Recipients are subject to transparency reporting requirements, including disclosure on Client’s website. Tempus and Client will not, and Client will ensure that Client’s Affiliates do not, knowingly make any indirect or direct Payment or Transfer of Value to a Covered Recipient on behalf of Client in connection with this Agreement without the other Party’s consent and prior written approval. Client will report all Payments or Transfers of Value to U.S. Covered Recipients according to a centrally managed, pre-set rate structure based on a fair market value analysis conducted by Client and in accordance with Applicable Law. Tempus and Client agree that the license to Licensed Data or any other services or products described in agreements executed contemporaneously with this Agreement do not give rise to or constitute a Payment or Transfer of Value to a Covered Recipient.</w:t>
      </w:r>
    </w:p>
    <w:p>
      <w:pPr>
        <w:spacing w:after="0" w:line="83" w:lineRule="exact"/>
        <w:rPr>
          <w:rFonts w:ascii="Times New Roman" w:cs="Times New Roman" w:eastAsia="Times New Roman" w:hAnsi="Times New Roman"/>
          <w:sz w:val="17"/>
          <w:szCs w:val="17"/>
          <w:color w:val="auto"/>
        </w:rPr>
      </w:pPr>
    </w:p>
    <w:p>
      <w:pPr>
        <w:ind w:left="950" w:right="120" w:hanging="414"/>
        <w:spacing w:after="0" w:line="269" w:lineRule="auto"/>
        <w:tabs>
          <w:tab w:leader="none" w:pos="950"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Tempus and Client and their respective Affiliates, representatives, agents and employees will comply with the U.S. Foreign Corrupt Practices Act, as amended, the UK Bribery Act of 2010, and any other applicable anti-corruption laws for the prevention of fraud, racketeering, money laundering or terrorism, and will not knowingly take any action that will, or would reasonably be expected to, cause the other Party or its Affiliates to be in violation of any such laws or policies.</w:t>
      </w:r>
    </w:p>
    <w:p>
      <w:pPr>
        <w:spacing w:after="0" w:line="77" w:lineRule="exact"/>
        <w:rPr>
          <w:rFonts w:ascii="Times New Roman" w:cs="Times New Roman" w:eastAsia="Times New Roman" w:hAnsi="Times New Roman"/>
          <w:sz w:val="17"/>
          <w:szCs w:val="17"/>
          <w:color w:val="auto"/>
        </w:rPr>
      </w:pPr>
    </w:p>
    <w:p>
      <w:pPr>
        <w:ind w:left="950" w:right="140" w:hanging="414"/>
        <w:spacing w:after="0" w:line="266" w:lineRule="auto"/>
        <w:tabs>
          <w:tab w:leader="none" w:pos="950"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Party has received or been offered any illegal or improper payment, bribe, kickback, gift, or other item of value from an employee or agent of the other Party in connection with this Agreement. The Parties intend for their relationship and interactions to comply with the following: (a) the U.S. federal anti-kickback statute (42 U.S.C. § 1320a-7b(b)) and the associated safe harbor regulations; and (b) the limitation on certain physician referrals (Stark Law) (42 U.S.C. § 1395nn). Accordingly, no part of any remuneration provided under this Agreement or any other agreement between the Parties is a prohibited</w:t>
      </w:r>
    </w:p>
    <w:p>
      <w:pPr>
        <w:spacing w:after="0" w:line="106" w:lineRule="exact"/>
        <w:rPr>
          <w:sz w:val="20"/>
          <w:szCs w:val="20"/>
          <w:color w:val="auto"/>
        </w:rPr>
      </w:pPr>
    </w:p>
    <w:p>
      <w:pPr>
        <w:jc w:val="center"/>
        <w:ind w:right="41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250"/>
          </w:cols>
          <w:pgMar w:left="1030" w:top="262" w:right="619" w:bottom="1440" w:gutter="0" w:footer="0" w:header="0"/>
        </w:sectPr>
      </w:pPr>
    </w:p>
    <w:bookmarkStart w:id="523" w:name="page524"/>
    <w:bookmarkEnd w:id="523"/>
    <w:p>
      <w:pPr>
        <w:ind w:left="970" w:right="20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payment in exchange for recommending or arranging for the referral of business or the ordering of items or services, or otherwise intended to induce illegal referrals of business.</w:t>
      </w:r>
    </w:p>
    <w:p>
      <w:pPr>
        <w:spacing w:after="0" w:line="53" w:lineRule="exact"/>
        <w:rPr>
          <w:sz w:val="20"/>
          <w:szCs w:val="20"/>
          <w:color w:val="auto"/>
        </w:rPr>
      </w:pPr>
    </w:p>
    <w:p>
      <w:pPr>
        <w:ind w:left="530" w:right="80" w:hanging="530"/>
        <w:spacing w:after="0" w:line="264" w:lineRule="auto"/>
        <w:tabs>
          <w:tab w:leader="none" w:pos="53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Filings. </w:t>
      </w:r>
      <w:r>
        <w:rPr>
          <w:rFonts w:ascii="Times New Roman" w:cs="Times New Roman" w:eastAsia="Times New Roman" w:hAnsi="Times New Roman"/>
          <w:sz w:val="17"/>
          <w:szCs w:val="17"/>
          <w:color w:val="auto"/>
        </w:rPr>
        <w:t>Client may disclose Analytical Services Results, End User Generated Results or Results for regulatory purposes;</w:t>
      </w:r>
      <w:r>
        <w:rPr>
          <w:rFonts w:ascii="Times New Roman" w:cs="Times New Roman" w:eastAsia="Times New Roman" w:hAnsi="Times New Roman"/>
          <w:sz w:val="17"/>
          <w:szCs w:val="17"/>
          <w:i w:val="1"/>
          <w:iCs w:val="1"/>
          <w:color w:val="auto"/>
        </w:rPr>
        <w:t xml:space="preserve"> 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for the avoidance of doubt, that Client agrees to consult Tempus and obtain Tempus’ written consent prior to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to a regulatory authority of a reproduction of the Licensed Data itself or an excerpt thereof. Given uncertainty in the regulatory environment regarding the use of Real World Data for regulatory purposes, Licensed Data and any Results derived therefrom may not be suitable for a particular purpose. Tempus will use Commercially Reasonable Efforts to work with Client and regulatory authorities to address any questions or issues regarding such data; however, such work will be subject to separate fees and a separate Order Form.</w:t>
      </w:r>
    </w:p>
    <w:p>
      <w:pPr>
        <w:spacing w:after="0" w:line="82" w:lineRule="exact"/>
        <w:rPr>
          <w:rFonts w:ascii="Times New Roman" w:cs="Times New Roman" w:eastAsia="Times New Roman" w:hAnsi="Times New Roman"/>
          <w:sz w:val="17"/>
          <w:szCs w:val="17"/>
          <w:color w:val="auto"/>
        </w:rPr>
      </w:pPr>
    </w:p>
    <w:p>
      <w:pPr>
        <w:ind w:left="530" w:hanging="530"/>
        <w:spacing w:after="0" w:line="262" w:lineRule="auto"/>
        <w:tabs>
          <w:tab w:leader="none" w:pos="53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Security Incident Reporting</w:t>
      </w:r>
      <w:r>
        <w:rPr>
          <w:rFonts w:ascii="Times New Roman" w:cs="Times New Roman" w:eastAsia="Times New Roman" w:hAnsi="Times New Roman"/>
          <w:sz w:val="17"/>
          <w:szCs w:val="17"/>
          <w:color w:val="auto"/>
        </w:rPr>
        <w:t>. Each Party agrees to notify the other Party promptly, but in no event later than [***] Days after becoming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aware of the occurrence of: (i) a potential security breach involving Licensed Data; (ii) re-identification of any of the Licensed Data; (iii) a complaint related to a request for access to the Licensed Data; or (iv) any inquiry, investigation, audit, or government enforcement action related to the Licensed Data. If Client or any of Client’s Affiliates becomes legally compelled to disclose any Licensed Data, then to the extent permitted by Applicable Law, Client will notify Tempus as soon as practical, but in any event within [***] Days of learning of such requirement, so that Tempus may seek a protective order or other appropriate remedy. If any of the events set out in this Section occurs, Client agrees to cooperate and cause Client’s Affiliates to cooperate with Tempus and take any actions reasonably requested by Tempus to minimize the re-identification risk and potential damage resulting from the event.</w:t>
      </w:r>
    </w:p>
    <w:p>
      <w:pPr>
        <w:spacing w:after="0" w:line="83" w:lineRule="exact"/>
        <w:rPr>
          <w:rFonts w:ascii="Times New Roman" w:cs="Times New Roman" w:eastAsia="Times New Roman" w:hAnsi="Times New Roman"/>
          <w:sz w:val="17"/>
          <w:szCs w:val="17"/>
          <w:color w:val="auto"/>
        </w:rPr>
      </w:pPr>
    </w:p>
    <w:p>
      <w:pPr>
        <w:ind w:left="530" w:hanging="530"/>
        <w:spacing w:after="0" w:line="264" w:lineRule="auto"/>
        <w:tabs>
          <w:tab w:leader="none" w:pos="53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Non-Exclusivity. </w:t>
      </w:r>
      <w:r>
        <w:rPr>
          <w:rFonts w:ascii="Times New Roman" w:cs="Times New Roman" w:eastAsia="Times New Roman" w:hAnsi="Times New Roman"/>
          <w:sz w:val="17"/>
          <w:szCs w:val="17"/>
          <w:color w:val="auto"/>
        </w:rPr>
        <w:t>Subject to Section 9.2 of the JV Agreement, this is a non-exclusive agreement and nothing in this Agreement will prevent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Tempus from (i) making available to other customers the same or substantially similar services and licenses, or (ii) making available to other Tempus customers custom data sets that are the same or similar to the Licensed Data, so long as none of the foregoing include use of Client’s Confidential Information. Client acknowledges that Tempus’ or Tempus licensees’ use of Licensed Data may result in the same or similar outcomes, conclusions, reports, and other results. Tempus acknowledges that Client retains the right to utilize other vendors or partners in the provision of similar data, technologies, products or services as those provided by Tempus under this Agreement.</w:t>
      </w:r>
    </w:p>
    <w:p>
      <w:pPr>
        <w:spacing w:after="0" w:line="82" w:lineRule="exact"/>
        <w:rPr>
          <w:rFonts w:ascii="Times New Roman" w:cs="Times New Roman" w:eastAsia="Times New Roman" w:hAnsi="Times New Roman"/>
          <w:sz w:val="17"/>
          <w:szCs w:val="17"/>
          <w:color w:val="auto"/>
        </w:rPr>
      </w:pPr>
    </w:p>
    <w:p>
      <w:pPr>
        <w:ind w:left="530" w:right="60" w:hanging="530"/>
        <w:spacing w:after="0" w:line="267" w:lineRule="auto"/>
        <w:tabs>
          <w:tab w:leader="none" w:pos="53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Additional Tempus Representations</w:t>
      </w:r>
      <w:r>
        <w:rPr>
          <w:rFonts w:ascii="Times New Roman" w:cs="Times New Roman" w:eastAsia="Times New Roman" w:hAnsi="Times New Roman"/>
          <w:sz w:val="17"/>
          <w:szCs w:val="17"/>
          <w:color w:val="auto"/>
        </w:rPr>
        <w:t>. Tempus represents and warrants that Tempus has obtained all rights, licenses, consents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permissions necessary in order to for Client to use and (if and where relevant) to authorize Client’s customers to use, the Licensed Data in accordance with this Agreement. The Licensed Data, as of the date any Licensed Data is made available to Client, does not, to Tempus’ knowledge infringe or violate the rights of any third party, including, without limitation, any intellectual property rights, rights of privacy or rights in confidential information.</w:t>
      </w:r>
    </w:p>
    <w:p>
      <w:pPr>
        <w:spacing w:after="0" w:line="75"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OTHER REPRESENTATIONS OR WARRANTIES</w:t>
      </w:r>
      <w:r>
        <w:rPr>
          <w:rFonts w:ascii="Times New Roman" w:cs="Times New Roman" w:eastAsia="Times New Roman" w:hAnsi="Times New Roman"/>
          <w:sz w:val="17"/>
          <w:szCs w:val="17"/>
          <w:color w:val="auto"/>
        </w:rPr>
        <w:t>. EXCEPT AS EXPRESSLY PROVIDED:</w:t>
      </w:r>
    </w:p>
    <w:p>
      <w:pPr>
        <w:spacing w:after="0" w:line="133" w:lineRule="exact"/>
        <w:rPr>
          <w:rFonts w:ascii="Times New Roman" w:cs="Times New Roman" w:eastAsia="Times New Roman" w:hAnsi="Times New Roman"/>
          <w:sz w:val="17"/>
          <w:szCs w:val="17"/>
          <w:color w:val="auto"/>
        </w:rPr>
      </w:pPr>
    </w:p>
    <w:p>
      <w:pPr>
        <w:ind w:left="950" w:right="540" w:hanging="414"/>
        <w:spacing w:after="0" w:line="276" w:lineRule="auto"/>
        <w:tabs>
          <w:tab w:leader="none" w:pos="95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TEMPUS DISCLAIMS ANY AND ALL EXPRESS, IMPLIED, STATUTORY, AND OTHER WARRANTIES AND REPRESENTATIONS OF ANY KIND, INCLUDING WITHOUT LIMITATION ANY WARRANTY OF FITNESS FOR A PARTICULAR PURPOSE, QUIET ENJOYMENT, QUALITY OF INFORMATION, OR TITLE.</w:t>
      </w:r>
    </w:p>
    <w:p>
      <w:pPr>
        <w:spacing w:after="0" w:line="97"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190"/>
          </w:cols>
          <w:pgMar w:left="1030" w:top="264" w:right="679" w:bottom="1440" w:gutter="0" w:footer="0" w:header="0"/>
        </w:sectPr>
      </w:pPr>
    </w:p>
    <w:bookmarkStart w:id="524" w:name="page525"/>
    <w:bookmarkEnd w:id="524"/>
    <w:p>
      <w:pPr>
        <w:ind w:left="1368" w:right="20" w:hanging="414"/>
        <w:spacing w:after="0" w:line="261" w:lineRule="auto"/>
        <w:tabs>
          <w:tab w:leader="none" w:pos="1368" w:val="left"/>
        </w:tabs>
        <w:numPr>
          <w:ilvl w:val="2"/>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EXCEPT AS SET FORTH IN THE SPECIFICATIONS, TEMPUS MAKES NO REPRESENTATIONS OR WARRANTIES ABOUT THE SUITABILITY OR ACCURACY OF ANY SERVICES, THE LICENSED DATA, OR ANY OTHER TEMPUS MATERIALS OR TEMPUS TECHNOLOGY. TEMPUS USES DATA PROVIDED TO TEMPUS BY THIRD PARTIES THAT HAS BEEN DE-IDENTIFIED UNDER HIPAA TO CREATE THE LICENSED DATA “AS IS” AND, EXCEPT AS SET FORTH IN THE SPECIFICATIONS, IS NOT RESPONSIBLE FOR THE ACCURACY, COMPLETENESS, AND/OR INTEGRITY OF SUCH DATA. TEMPUS DISCLAIMS ANY LIABILITY RESULTING FROM ANY SUCH ISSUES RELATING TO SUCH DATA. TEMPUS HAS NO LIABILITY FOR CLINICAL, OPERATIONAL, BUSINESS, OR ANY OTHER DECISIONS MADE BY CLIENT, CLIENT’S AFFILIATES, AUTHORIZED USERS, OR CLIENT’S SUBLICENSEE(S), AND/OR TRANSFEREE(S) BASED ON THE LICENSED DATA.</w:t>
      </w:r>
    </w:p>
    <w:p>
      <w:pPr>
        <w:spacing w:after="0" w:line="86" w:lineRule="exact"/>
        <w:rPr>
          <w:rFonts w:ascii="Times New Roman" w:cs="Times New Roman" w:eastAsia="Times New Roman" w:hAnsi="Times New Roman"/>
          <w:sz w:val="17"/>
          <w:szCs w:val="17"/>
          <w:color w:val="auto"/>
        </w:rPr>
      </w:pPr>
    </w:p>
    <w:p>
      <w:pPr>
        <w:ind w:left="1368" w:right="320" w:hanging="414"/>
        <w:spacing w:after="0" w:line="295" w:lineRule="auto"/>
        <w:tabs>
          <w:tab w:leader="none" w:pos="1368" w:val="left"/>
        </w:tabs>
        <w:numPr>
          <w:ilvl w:val="2"/>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TECHNOLOGY, RIGHTS AND SERVICES ARE LICENSED AND OTHERWISE PROVIDED “AS IS,” “WHERE-IS,” AND “WITH ALL FAULTS.”</w:t>
      </w:r>
    </w:p>
    <w:p>
      <w:pPr>
        <w:spacing w:after="0" w:line="288"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Fees and Invoices; [***].</w:t>
      </w:r>
    </w:p>
    <w:p>
      <w:pPr>
        <w:spacing w:after="0" w:line="131" w:lineRule="exact"/>
        <w:rPr>
          <w:rFonts w:ascii="Times New Roman" w:cs="Times New Roman" w:eastAsia="Times New Roman" w:hAnsi="Times New Roman"/>
          <w:sz w:val="17"/>
          <w:szCs w:val="17"/>
          <w:b w:val="1"/>
          <w:bCs w:val="1"/>
          <w:color w:val="auto"/>
        </w:rPr>
      </w:pPr>
    </w:p>
    <w:p>
      <w:pPr>
        <w:ind w:left="948" w:right="80" w:hanging="530"/>
        <w:spacing w:after="0" w:line="264" w:lineRule="auto"/>
        <w:tabs>
          <w:tab w:leader="none" w:pos="948"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Unless agreed upon by the Parties otherwise, Tempus will invoice Client for all fees under this Agreement, and payment is due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within [***] days of the invoice date. Fees do not include applicable Taxes (including sales, use, or excise taxes), and all Taxes arising under this Agreement other than those assessed on Tempus’ income or gross receipts are Client’s responsibility. Client agrees to pay Tempus all fees in accordance with the Agreement and applicable Order Form. Notwithstanding anything to the contrary contained in this Agreement, all payment obligations under this Agreement, including the fees set out in this Section 6, will accrue upon the Effective Date but will not be due and payable until [***].</w:t>
      </w:r>
    </w:p>
    <w:p>
      <w:pPr>
        <w:spacing w:after="0" w:line="82" w:lineRule="exact"/>
        <w:rPr>
          <w:rFonts w:ascii="Times New Roman" w:cs="Times New Roman" w:eastAsia="Times New Roman" w:hAnsi="Times New Roman"/>
          <w:sz w:val="17"/>
          <w:szCs w:val="17"/>
          <w:color w:val="auto"/>
        </w:rPr>
      </w:pPr>
    </w:p>
    <w:p>
      <w:pPr>
        <w:ind w:left="948" w:hanging="530"/>
        <w:spacing w:after="0" w:line="267" w:lineRule="auto"/>
        <w:tabs>
          <w:tab w:leader="none" w:pos="948"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Upfront Payment</w:t>
      </w:r>
      <w:r>
        <w:rPr>
          <w:rFonts w:ascii="Times New Roman" w:cs="Times New Roman" w:eastAsia="Times New Roman" w:hAnsi="Times New Roman"/>
          <w:sz w:val="17"/>
          <w:szCs w:val="17"/>
          <w:color w:val="auto"/>
        </w:rPr>
        <w:t>. In consideration of entering into this Agreement and for the rights granted to Client under this Agreement to the Initial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Records Batch, Client will pay Tempus a one-time, non-refundable, non-creditable upfront payment of seven and half billion Japanese Yen (¥ 7,500,000,000) (“</w:t>
      </w:r>
      <w:r>
        <w:rPr>
          <w:rFonts w:ascii="Times New Roman" w:cs="Times New Roman" w:eastAsia="Times New Roman" w:hAnsi="Times New Roman"/>
          <w:sz w:val="17"/>
          <w:szCs w:val="17"/>
          <w:u w:val="single" w:color="auto"/>
          <w:color w:val="auto"/>
        </w:rPr>
        <w:t>License Fee</w:t>
      </w:r>
      <w:r>
        <w:rPr>
          <w:rFonts w:ascii="Times New Roman" w:cs="Times New Roman" w:eastAsia="Times New Roman" w:hAnsi="Times New Roman"/>
          <w:sz w:val="17"/>
          <w:szCs w:val="17"/>
          <w:color w:val="auto"/>
        </w:rPr>
        <w:t xml:space="preserve">”), using the Exchange Rate as of the date Closing, within [***] Days following the Closing, which for clarity, includes any Data Access and Preparation Services Fees incurred by Client prior to Closing. For the avoidance of doubt, in the event this Agreement is terminated pursuant to </w:t>
      </w:r>
      <w:r>
        <w:rPr>
          <w:rFonts w:ascii="Times New Roman" w:cs="Times New Roman" w:eastAsia="Times New Roman" w:hAnsi="Times New Roman"/>
          <w:sz w:val="17"/>
          <w:szCs w:val="17"/>
          <w:u w:val="single" w:color="auto"/>
          <w:color w:val="auto"/>
        </w:rPr>
        <w:t>Section 10.d</w:t>
      </w:r>
      <w:r>
        <w:rPr>
          <w:rFonts w:ascii="Times New Roman" w:cs="Times New Roman" w:eastAsia="Times New Roman" w:hAnsi="Times New Roman"/>
          <w:sz w:val="17"/>
          <w:szCs w:val="17"/>
          <w:color w:val="auto"/>
        </w:rPr>
        <w:t xml:space="preserve"> (Automatic Termination), [***].</w:t>
      </w:r>
    </w:p>
    <w:p>
      <w:pPr>
        <w:spacing w:after="0" w:line="75" w:lineRule="exact"/>
        <w:rPr>
          <w:rFonts w:ascii="Times New Roman" w:cs="Times New Roman" w:eastAsia="Times New Roman" w:hAnsi="Times New Roman"/>
          <w:sz w:val="17"/>
          <w:szCs w:val="17"/>
          <w:color w:val="auto"/>
        </w:rPr>
      </w:pPr>
    </w:p>
    <w:p>
      <w:pPr>
        <w:ind w:left="948" w:hanging="530"/>
        <w:spacing w:after="0" w:line="274" w:lineRule="auto"/>
        <w:tabs>
          <w:tab w:leader="none" w:pos="948"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Fees for Additional Records Batch</w:t>
      </w:r>
      <w:r>
        <w:rPr>
          <w:rFonts w:ascii="Times New Roman" w:cs="Times New Roman" w:eastAsia="Times New Roman" w:hAnsi="Times New Roman"/>
          <w:sz w:val="17"/>
          <w:szCs w:val="17"/>
          <w:color w:val="auto"/>
        </w:rPr>
        <w:t>. In consideration for the licenses granted to [***] Records included in one ore more Additional Records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Batches under this Agreement, Client will pay Tempus fees that are the [***]. In consideration for the licenses granted to all other Records included in an Additional Records Batch hereunder, Client will pay Tempus fees that are consistent with the obligations arising under [***].</w:t>
      </w:r>
    </w:p>
    <w:p>
      <w:pPr>
        <w:spacing w:after="0" w:line="284" w:lineRule="exact"/>
        <w:rPr>
          <w:rFonts w:ascii="Times New Roman" w:cs="Times New Roman" w:eastAsia="Times New Roman" w:hAnsi="Times New Roman"/>
          <w:sz w:val="17"/>
          <w:szCs w:val="17"/>
          <w:color w:val="auto"/>
        </w:rPr>
      </w:pPr>
    </w:p>
    <w:p>
      <w:pPr>
        <w:ind w:left="948" w:right="200" w:hanging="530"/>
        <w:spacing w:after="0" w:line="264" w:lineRule="auto"/>
        <w:tabs>
          <w:tab w:leader="none" w:pos="948"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Fees for Records Substitution and Licensed Data Services</w:t>
      </w:r>
      <w:r>
        <w:rPr>
          <w:rFonts w:ascii="Times New Roman" w:cs="Times New Roman" w:eastAsia="Times New Roman" w:hAnsi="Times New Roman"/>
          <w:sz w:val="17"/>
          <w:szCs w:val="17"/>
          <w:color w:val="auto"/>
        </w:rPr>
        <w:t>. During the Substitution Term and the Extended Substitution Term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applicable) and subject to the Substitution Cap, Tempus will provide any Records Substitution that does not entail any Approved Supplemental Work at no additional cost to Client. Any Records Substitution after such period or that entails Approved Supplemental Work will be documented in an Order Form. The fees for any Approved Supplemental Work and Licensed Data Services performed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(Licensed Data Services) will be calculated as [***] percent ([***]) of the costs and expenses incurred by Tempus for performing the Approved Supplemental Work or other Licensed Data Services.</w:t>
      </w:r>
    </w:p>
    <w:p>
      <w:pPr>
        <w:spacing w:after="0" w:line="11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628"/>
          </w:cols>
          <w:pgMar w:left="612" w:top="265" w:right="659" w:bottom="1440" w:gutter="0" w:footer="0" w:header="0"/>
        </w:sectPr>
      </w:pPr>
    </w:p>
    <w:bookmarkStart w:id="525" w:name="page526"/>
    <w:bookmarkEnd w:id="525"/>
    <w:p>
      <w:pPr>
        <w:ind w:left="530" w:hanging="530"/>
        <w:spacing w:after="0" w:line="270" w:lineRule="auto"/>
        <w:tabs>
          <w:tab w:leader="none" w:pos="53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Fees for Updates to Licensed Data</w:t>
      </w:r>
      <w:r>
        <w:rPr>
          <w:rFonts w:ascii="Times New Roman" w:cs="Times New Roman" w:eastAsia="Times New Roman" w:hAnsi="Times New Roman"/>
          <w:sz w:val="17"/>
          <w:szCs w:val="17"/>
          <w:color w:val="auto"/>
        </w:rPr>
        <w:t>. Tempus will provide Licensed Data Updates at no cost during the [***] immediately following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Closing. After the expiration of the period constituting [***] immediately following the Closing, Client will pay Tempus a fee of [***] U.S. Dollars ($[***]) on a Record-by-Record basis, using the Exchange Rate as of the date of payment, for each Licensed Data Update, up to a total fee of [***] U.S. Dollars ($[***]).</w:t>
      </w:r>
    </w:p>
    <w:p>
      <w:pPr>
        <w:spacing w:after="0" w:line="74" w:lineRule="exact"/>
        <w:rPr>
          <w:rFonts w:ascii="Times New Roman" w:cs="Times New Roman" w:eastAsia="Times New Roman" w:hAnsi="Times New Roman"/>
          <w:sz w:val="17"/>
          <w:szCs w:val="17"/>
          <w:color w:val="auto"/>
        </w:rPr>
      </w:pPr>
    </w:p>
    <w:p>
      <w:pPr>
        <w:ind w:left="530" w:right="20" w:hanging="530"/>
        <w:spacing w:after="0" w:line="270" w:lineRule="auto"/>
        <w:tabs>
          <w:tab w:leader="none" w:pos="53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Fees for Cloud Infrastructure</w:t>
      </w:r>
      <w:r>
        <w:rPr>
          <w:rFonts w:ascii="Times New Roman" w:cs="Times New Roman" w:eastAsia="Times New Roman" w:hAnsi="Times New Roman"/>
          <w:sz w:val="17"/>
          <w:szCs w:val="17"/>
          <w:color w:val="auto"/>
        </w:rPr>
        <w:t>. Client will pay (a) [***], and (b) [***] ([***]) of Tempus’ internal costs and expenses (including overhead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labor costs for Tempus’ personnel) incurred in connection with maintaining a dedicated instance of Google Cloud Platform for hosting the Initial Records Batch, in each case of (a) and (b), accrued from [***] until such time that Client has established its own cloud infrastructure capable of hosting the Licensed Data and Tempus no longer hosts any Licensed Data on Client’s behalf.</w:t>
      </w:r>
    </w:p>
    <w:p>
      <w:pPr>
        <w:spacing w:after="0" w:line="74" w:lineRule="exact"/>
        <w:rPr>
          <w:rFonts w:ascii="Times New Roman" w:cs="Times New Roman" w:eastAsia="Times New Roman" w:hAnsi="Times New Roman"/>
          <w:sz w:val="17"/>
          <w:szCs w:val="17"/>
          <w:color w:val="auto"/>
        </w:rPr>
      </w:pPr>
    </w:p>
    <w:p>
      <w:pPr>
        <w:ind w:left="530" w:hanging="530"/>
        <w:spacing w:after="0" w:line="267" w:lineRule="auto"/>
        <w:tabs>
          <w:tab w:leader="none" w:pos="53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Fees for Data Access and Preparation Services. </w:t>
      </w:r>
      <w:r>
        <w:rPr>
          <w:rFonts w:ascii="Times New Roman" w:cs="Times New Roman" w:eastAsia="Times New Roman" w:hAnsi="Times New Roman"/>
          <w:sz w:val="17"/>
          <w:szCs w:val="17"/>
          <w:color w:val="auto"/>
        </w:rPr>
        <w:t>In consideration for the Data Access and Preparation Services provided by Tempus, Client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pay [***] U.S. Dollars (US$[***]) per month (the “</w:t>
      </w:r>
      <w:r>
        <w:rPr>
          <w:rFonts w:ascii="Times New Roman" w:cs="Times New Roman" w:eastAsia="Times New Roman" w:hAnsi="Times New Roman"/>
          <w:sz w:val="17"/>
          <w:szCs w:val="17"/>
          <w:u w:val="single" w:color="auto"/>
          <w:color w:val="auto"/>
        </w:rPr>
        <w:t>Data Access and Preparation Services Fees</w:t>
      </w:r>
      <w:r>
        <w:rPr>
          <w:rFonts w:ascii="Times New Roman" w:cs="Times New Roman" w:eastAsia="Times New Roman" w:hAnsi="Times New Roman"/>
          <w:sz w:val="17"/>
          <w:szCs w:val="17"/>
          <w:color w:val="auto"/>
        </w:rPr>
        <w:t>”), provided that the Data Access and Preparation Services shall in no event exceed [***] U.S. Dollars (US$ [***]) in the aggregate. For the avoidance of doubt, upon Closing, all Data Access and Preparation Services Fees incurred prior to Closing will be credited against and deemed to be included within the License Fee.</w:t>
      </w:r>
    </w:p>
    <w:p>
      <w:pPr>
        <w:spacing w:after="0" w:line="75" w:lineRule="exact"/>
        <w:rPr>
          <w:rFonts w:ascii="Times New Roman" w:cs="Times New Roman" w:eastAsia="Times New Roman" w:hAnsi="Times New Roman"/>
          <w:sz w:val="17"/>
          <w:szCs w:val="17"/>
          <w:color w:val="auto"/>
        </w:rPr>
      </w:pPr>
    </w:p>
    <w:p>
      <w:pPr>
        <w:ind w:left="530" w:right="100" w:hanging="530"/>
        <w:spacing w:after="0" w:line="298" w:lineRule="auto"/>
        <w:tabs>
          <w:tab w:leader="none" w:pos="53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Fees for Sales Agent Records</w:t>
      </w:r>
      <w:r>
        <w:rPr>
          <w:rFonts w:ascii="Times New Roman" w:cs="Times New Roman" w:eastAsia="Times New Roman" w:hAnsi="Times New Roman"/>
          <w:sz w:val="17"/>
          <w:szCs w:val="17"/>
          <w:color w:val="auto"/>
        </w:rPr>
        <w:t>. In consideration for the licenses granted to Sales Agent Records under this Agreement, Client will pay fees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are consistent with [***].</w:t>
      </w:r>
    </w:p>
    <w:p>
      <w:pPr>
        <w:spacing w:after="0" w:line="50"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Late Payments</w:t>
      </w:r>
      <w:r>
        <w:rPr>
          <w:rFonts w:ascii="Times New Roman" w:cs="Times New Roman" w:eastAsia="Times New Roman" w:hAnsi="Times New Roman"/>
          <w:sz w:val="17"/>
          <w:szCs w:val="17"/>
          <w:color w:val="auto"/>
        </w:rPr>
        <w:t>. Interest will apply to any undisputed, overdue invoices at a rate of the lesser of (a) [***] (b) [***].</w:t>
      </w:r>
    </w:p>
    <w:p>
      <w:pPr>
        <w:spacing w:after="0" w:line="133" w:lineRule="exact"/>
        <w:rPr>
          <w:rFonts w:ascii="Times New Roman" w:cs="Times New Roman" w:eastAsia="Times New Roman" w:hAnsi="Times New Roman"/>
          <w:sz w:val="17"/>
          <w:szCs w:val="17"/>
          <w:color w:val="auto"/>
        </w:rPr>
      </w:pPr>
    </w:p>
    <w:p>
      <w:pPr>
        <w:ind w:left="530" w:hanging="530"/>
        <w:spacing w:after="0"/>
        <w:tabs>
          <w:tab w:leader="none" w:pos="53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29" w:lineRule="exact"/>
        <w:rPr>
          <w:rFonts w:ascii="Times New Roman" w:cs="Times New Roman" w:eastAsia="Times New Roman" w:hAnsi="Times New Roman"/>
          <w:sz w:val="17"/>
          <w:szCs w:val="17"/>
          <w:color w:val="auto"/>
        </w:rPr>
      </w:pPr>
    </w:p>
    <w:p>
      <w:pPr>
        <w:ind w:left="530" w:right="20" w:hanging="530"/>
        <w:spacing w:after="0" w:line="260" w:lineRule="auto"/>
        <w:tabs>
          <w:tab w:leader="none" w:pos="53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Tax Cooperation and Coordination</w:t>
      </w:r>
      <w:r>
        <w:rPr>
          <w:rFonts w:ascii="Times New Roman" w:cs="Times New Roman" w:eastAsia="Times New Roman" w:hAnsi="Times New Roman"/>
          <w:sz w:val="17"/>
          <w:szCs w:val="17"/>
          <w:color w:val="auto"/>
        </w:rPr>
        <w:t>. The Parties acknowledge and agree to cooperate in order to appropriately calculate consistently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Applicable Laws, Taxes payable with respect to their collaborative efforts under this Agreement and any appropriate reductions, credits, or deductions that may lawfully reduce otherwise applicable Taxes. In particular, where any such deduction or withholding in relation to any payment made under this Agreement can be reduced, eliminated or recovered by an application under any income or double tax treaty, the Parties will cooperate with each other and use Commercially Reasonable Efforts with regards to such application. Tempus will provide to Client any taxation documents and other documents that may be reasonably necessary in order for Client not to withhold Tax or to withhold Tax at a reduced rate under an appropriate income or double tax treaty. Without limiting the generality of the foregoing, prior to the payment of any amount under this Agreement (including the payment set forth in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(Upfront Payment)) and at such other times as reasonably requested by Client: (1) Tempus will provide Client with such information, documentation and authorizations requested by Client as is reasonably necessary for Client to prepare and file on Tempus’s behalf all required forms and applications necessary to establish Tempus’ eligibility for benefits under the income tax treaty between the United States and Japan (the “</w:t>
      </w:r>
      <w:r>
        <w:rPr>
          <w:rFonts w:ascii="Times New Roman" w:cs="Times New Roman" w:eastAsia="Times New Roman" w:hAnsi="Times New Roman"/>
          <w:sz w:val="17"/>
          <w:szCs w:val="17"/>
          <w:u w:val="single" w:color="auto"/>
          <w:color w:val="auto"/>
        </w:rPr>
        <w:t>US-Japan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Income Tax Treaty</w:t>
      </w:r>
      <w:r>
        <w:rPr>
          <w:rFonts w:ascii="Times New Roman" w:cs="Times New Roman" w:eastAsia="Times New Roman" w:hAnsi="Times New Roman"/>
          <w:sz w:val="17"/>
          <w:szCs w:val="17"/>
          <w:color w:val="auto"/>
        </w:rPr>
        <w:t xml:space="preserve">”) with respect to the payment set forth in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(Upfront Payment) and any other applicable payment under this Agreement for which a reduction in or exemption from withholding tax is available under the US-Japan Income Tax Treaty, and (2)</w:t>
      </w:r>
    </w:p>
    <w:p>
      <w:pPr>
        <w:spacing w:after="0" w:line="111"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210"/>
          </w:cols>
          <w:pgMar w:left="1030" w:top="263" w:right="659" w:bottom="1440" w:gutter="0" w:footer="0" w:header="0"/>
        </w:sectPr>
      </w:pPr>
    </w:p>
    <w:bookmarkStart w:id="526" w:name="page527"/>
    <w:bookmarkEnd w:id="526"/>
    <w:p>
      <w:pPr>
        <w:ind w:left="948" w:right="10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Client will prepare and file all such forms and applications with the National Tax Agency (Japan) on Tempus’s behalf. Tempus will provide such cooperation (including the provision of information and the timely execution of relevant forms and certificates requested by Client) reasonably necessary to enable Client to timely prepare and file such forms.</w:t>
      </w:r>
    </w:p>
    <w:p>
      <w:pPr>
        <w:spacing w:after="0" w:line="68" w:lineRule="exact"/>
        <w:rPr>
          <w:sz w:val="20"/>
          <w:szCs w:val="20"/>
          <w:color w:val="auto"/>
        </w:rPr>
      </w:pPr>
    </w:p>
    <w:p>
      <w:pPr>
        <w:ind w:left="948" w:right="100" w:hanging="530"/>
        <w:spacing w:after="0" w:line="264" w:lineRule="auto"/>
        <w:tabs>
          <w:tab w:leader="none" w:pos="948"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 of Tax</w:t>
      </w:r>
      <w:r>
        <w:rPr>
          <w:rFonts w:ascii="Times New Roman" w:cs="Times New Roman" w:eastAsia="Times New Roman" w:hAnsi="Times New Roman"/>
          <w:sz w:val="17"/>
          <w:szCs w:val="17"/>
          <w:color w:val="auto"/>
        </w:rPr>
        <w:t>. Tempus will pay any and all Taxes levied on any payment received pursuant to this Agreement except as provided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(Fees and Invoices; [***]). If Client is required by Applicable Law to make a payment to Tempus subject to a deduction or withholding of Tax, Client may deduct or withhold the applicable Tax without increase of the amount of payment to Tempus and will</w:t>
      </w:r>
    </w:p>
    <w:p>
      <w:pPr>
        <w:spacing w:after="0" w:line="2" w:lineRule="exact"/>
        <w:rPr>
          <w:rFonts w:ascii="Times New Roman" w:cs="Times New Roman" w:eastAsia="Times New Roman" w:hAnsi="Times New Roman"/>
          <w:sz w:val="17"/>
          <w:szCs w:val="17"/>
          <w:color w:val="auto"/>
        </w:rPr>
      </w:pPr>
    </w:p>
    <w:p>
      <w:pPr>
        <w:jc w:val="both"/>
        <w:ind w:left="948" w:right="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deduct those Taxes from the payment; (b) pay the Taxes to the proper taxing authority; and (c) send evidence of the obligation together with proof of payment to Tempus within [***] days following that payment. If Client is required by the proper taxing authority to make a payment of withholding tax, Tempus will collaborate to seek a refund under the tax treaty.</w:t>
      </w:r>
    </w:p>
    <w:p>
      <w:pPr>
        <w:spacing w:after="0" w:line="312"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Privacy, Confidentiality, and Intellectual Property.</w:t>
      </w:r>
    </w:p>
    <w:p>
      <w:pPr>
        <w:spacing w:after="0" w:line="131" w:lineRule="exact"/>
        <w:rPr>
          <w:rFonts w:ascii="Times New Roman" w:cs="Times New Roman" w:eastAsia="Times New Roman" w:hAnsi="Times New Roman"/>
          <w:sz w:val="17"/>
          <w:szCs w:val="17"/>
          <w:b w:val="1"/>
          <w:bCs w:val="1"/>
          <w:color w:val="auto"/>
        </w:rPr>
      </w:pPr>
    </w:p>
    <w:p>
      <w:pPr>
        <w:ind w:left="948" w:hanging="530"/>
        <w:spacing w:after="0"/>
        <w:tabs>
          <w:tab w:leader="none" w:pos="948"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Privacy. </w:t>
      </w:r>
      <w:r>
        <w:rPr>
          <w:rFonts w:ascii="Times New Roman" w:cs="Times New Roman" w:eastAsia="Times New Roman" w:hAnsi="Times New Roman"/>
          <w:sz w:val="17"/>
          <w:szCs w:val="17"/>
          <w:color w:val="auto"/>
        </w:rPr>
        <w:t>The Licensed Data will be de-identified in accordance with the HIPAA before provision.</w:t>
      </w:r>
    </w:p>
    <w:p>
      <w:pPr>
        <w:spacing w:after="0" w:line="131" w:lineRule="exact"/>
        <w:rPr>
          <w:rFonts w:ascii="Times New Roman" w:cs="Times New Roman" w:eastAsia="Times New Roman" w:hAnsi="Times New Roman"/>
          <w:sz w:val="17"/>
          <w:szCs w:val="17"/>
          <w:color w:val="auto"/>
        </w:rPr>
      </w:pPr>
    </w:p>
    <w:p>
      <w:pPr>
        <w:ind w:left="948" w:hanging="530"/>
        <w:spacing w:after="0" w:line="259" w:lineRule="auto"/>
        <w:tabs>
          <w:tab w:leader="none" w:pos="948"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Non-disclosure. </w:t>
      </w:r>
      <w:r>
        <w:rPr>
          <w:rFonts w:ascii="Times New Roman" w:cs="Times New Roman" w:eastAsia="Times New Roman" w:hAnsi="Times New Roman"/>
          <w:sz w:val="17"/>
          <w:szCs w:val="17"/>
          <w:color w:val="auto"/>
        </w:rPr>
        <w:t>Any non-public information provided by a Party (the “</w:t>
      </w:r>
      <w:r>
        <w:rPr>
          <w:rFonts w:ascii="Times New Roman" w:cs="Times New Roman" w:eastAsia="Times New Roman" w:hAnsi="Times New Roman"/>
          <w:sz w:val="17"/>
          <w:szCs w:val="17"/>
          <w:u w:val="single" w:color="auto"/>
          <w:color w:val="auto"/>
        </w:rPr>
        <w:t>Disclosing Party</w:t>
      </w:r>
      <w:r>
        <w:rPr>
          <w:rFonts w:ascii="Times New Roman" w:cs="Times New Roman" w:eastAsia="Times New Roman" w:hAnsi="Times New Roman"/>
          <w:sz w:val="17"/>
          <w:szCs w:val="17"/>
          <w:color w:val="auto"/>
        </w:rPr>
        <w:t>”) to the other Party (the “</w:t>
      </w:r>
      <w:r>
        <w:rPr>
          <w:rFonts w:ascii="Times New Roman" w:cs="Times New Roman" w:eastAsia="Times New Roman" w:hAnsi="Times New Roman"/>
          <w:sz w:val="17"/>
          <w:szCs w:val="17"/>
          <w:u w:val="single" w:color="auto"/>
          <w:color w:val="auto"/>
        </w:rPr>
        <w:t>Receiving Party</w:t>
      </w:r>
      <w:r>
        <w:rPr>
          <w:rFonts w:ascii="Times New Roman" w:cs="Times New Roman" w:eastAsia="Times New Roman" w:hAnsi="Times New Roman"/>
          <w:sz w:val="17"/>
          <w:szCs w:val="17"/>
          <w:color w:val="auto"/>
        </w:rPr>
        <w: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this Agreement, including the specific terms and pricing is the Disclosing Party’s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During the Term and the subsequent three (3) year period, the Receiving Party will maintain all Confidential Information in confidence and use it only as reasonably necessary to perform its obligations and exercise its rights under this Agreement. Confidential Information excludes information that (i) is publicly available through no fault of the Receiving Party; (ii) was lawfully obtained by the Receiving Party on a non-confidential basis from a third-party; (iii) the Receiving Party can conclusively demonstrate was legally in the Receiving Party’s possession before the Disclosing Party provided it to the Receiving Party; (iv) was independently developed by the Receiving Party or on the Receiving Party’s behalf without the use of any information provided to the Receiving Party by the Disclosing Party; or (v) was released from the restrictions set forth in this </w:t>
      </w:r>
      <w:r>
        <w:rPr>
          <w:rFonts w:ascii="Times New Roman" w:cs="Times New Roman" w:eastAsia="Times New Roman" w:hAnsi="Times New Roman"/>
          <w:sz w:val="17"/>
          <w:szCs w:val="17"/>
          <w:u w:val="single" w:color="auto"/>
          <w:color w:val="auto"/>
        </w:rPr>
        <w:t>Section 7.b</w:t>
      </w:r>
      <w:r>
        <w:rPr>
          <w:rFonts w:ascii="Times New Roman" w:cs="Times New Roman" w:eastAsia="Times New Roman" w:hAnsi="Times New Roman"/>
          <w:sz w:val="17"/>
          <w:szCs w:val="17"/>
          <w:color w:val="auto"/>
        </w:rPr>
        <w:t xml:space="preserve"> (Non-disclosure) by express prior written consent of the Disclosing Party. Notwithstanding the foregoing, a Receiving Party may use and disclose the Confidential Information of the Disclosing Party for the following instances: (a) to comply with Applicable Laws provided that, where legally permissible, the Receiving Party will promptly notify the Disclosing Party of such obligation sufficiently before making such disclosure, so as to allow the Disclosing Party adequate time to take whatever action it may deem appropriate to protect the confidentiality of the information to be disclosed, and fully cooperate with the Disclosing Party, if so requested, in maintaining the confidentiality of such information by applying for a protective order or any similar legal instrument; and (b) bona fide potential investors and potential acquirers, provided, however that such third-party is then subject to written obligations of confidentiality and limitations on use of such Confidential Information substantially similar to those contained herein. For clarity, the Disclosing Party will continue to treat any Confidential Information disclosed as permitted hereunder pursuant to the foregoing as Confidential Information for all other purposes under this Agreement.</w:t>
      </w:r>
    </w:p>
    <w:p>
      <w:pPr>
        <w:spacing w:after="0" w:line="84" w:lineRule="exact"/>
        <w:rPr>
          <w:rFonts w:ascii="Times New Roman" w:cs="Times New Roman" w:eastAsia="Times New Roman" w:hAnsi="Times New Roman"/>
          <w:sz w:val="17"/>
          <w:szCs w:val="17"/>
          <w:color w:val="auto"/>
        </w:rPr>
      </w:pPr>
    </w:p>
    <w:p>
      <w:pPr>
        <w:ind w:left="948" w:right="300" w:hanging="530"/>
        <w:spacing w:after="0" w:line="270" w:lineRule="auto"/>
        <w:tabs>
          <w:tab w:leader="none" w:pos="948"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 Subject to the limited rights expressly granted to Client in this Agreement, Tempus reserves all right, title,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(including all intellectual property rights) in and to the Licensed Data. All improvements, updates, enhancements, derivative works, and other modifications to the Licensed Data (the “</w:t>
      </w:r>
      <w:r>
        <w:rPr>
          <w:rFonts w:ascii="Times New Roman" w:cs="Times New Roman" w:eastAsia="Times New Roman" w:hAnsi="Times New Roman"/>
          <w:sz w:val="17"/>
          <w:szCs w:val="17"/>
          <w:u w:val="single" w:color="auto"/>
          <w:color w:val="auto"/>
        </w:rPr>
        <w:t>Licensed Data Improvements</w:t>
      </w:r>
      <w:r>
        <w:rPr>
          <w:rFonts w:ascii="Times New Roman" w:cs="Times New Roman" w:eastAsia="Times New Roman" w:hAnsi="Times New Roman"/>
          <w:sz w:val="17"/>
          <w:szCs w:val="17"/>
          <w:color w:val="auto"/>
        </w:rPr>
        <w:t>”) made or conceived solely by or on behalf of Tempus or its Affiliates will be owned by Tempus. Subject to the first sentence</w:t>
      </w:r>
    </w:p>
    <w:p>
      <w:pPr>
        <w:spacing w:after="0" w:line="10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628"/>
          </w:cols>
          <w:pgMar w:left="612" w:top="264" w:right="659" w:bottom="1440" w:gutter="0" w:footer="0" w:header="0"/>
        </w:sectPr>
      </w:pPr>
    </w:p>
    <w:bookmarkStart w:id="527" w:name="page528"/>
    <w:bookmarkEnd w:id="527"/>
    <w:p>
      <w:pPr>
        <w:ind w:left="948" w:right="20"/>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of this </w:t>
      </w:r>
      <w:r>
        <w:rPr>
          <w:rFonts w:ascii="Times New Roman" w:cs="Times New Roman" w:eastAsia="Times New Roman" w:hAnsi="Times New Roman"/>
          <w:sz w:val="17"/>
          <w:szCs w:val="17"/>
          <w:u w:val="single" w:color="auto"/>
          <w:color w:val="auto"/>
        </w:rPr>
        <w:t>Section 7.c</w:t>
      </w:r>
      <w:r>
        <w:rPr>
          <w:rFonts w:ascii="Times New Roman" w:cs="Times New Roman" w:eastAsia="Times New Roman" w:hAnsi="Times New Roman"/>
          <w:sz w:val="17"/>
          <w:szCs w:val="17"/>
          <w:color w:val="auto"/>
        </w:rPr>
        <w:t xml:space="preserve"> (Intellectual Property) any Licensed Data Improvements made or conceived solely by or on behalf of Client or its Affiliates will be owned by Client. Subject to the terms and conditions of this Agreement, Client grants to Tempus a [***] non-exclusive license under Client-owned Licensed Data Improvements solely to the extent necessary or reasonably useful for Tempus to use or otherwise exploit any Licensed Data. Client will have no obligation under this Agreement to share any Client-owned Licensed Data Improvements with Tempus, provided that, upon Tempus’s request, the Parties will use good faith efforts to negotiate a separate agreement pursuant to which Client may share Client-owned Licensed Data Improvements with Tempus. No rights, by implication, estoppel or otherwise, are granted to Client in this Agreement other than those expressly granted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(License Grants and Acknowledgements).</w:t>
      </w:r>
    </w:p>
    <w:p>
      <w:pPr>
        <w:spacing w:after="0" w:line="200" w:lineRule="exact"/>
        <w:rPr>
          <w:sz w:val="20"/>
          <w:szCs w:val="20"/>
          <w:color w:val="auto"/>
        </w:rPr>
      </w:pPr>
    </w:p>
    <w:p>
      <w:pPr>
        <w:spacing w:after="0" w:line="330" w:lineRule="exact"/>
        <w:rPr>
          <w:sz w:val="20"/>
          <w:szCs w:val="20"/>
          <w:color w:val="auto"/>
        </w:rPr>
      </w:pPr>
    </w:p>
    <w:p>
      <w:pPr>
        <w:ind w:left="428" w:hanging="428"/>
        <w:spacing w:after="0"/>
        <w:tabs>
          <w:tab w:leader="none" w:pos="428" w:val="left"/>
        </w:tabs>
        <w:numPr>
          <w:ilvl w:val="0"/>
          <w:numId w:val="2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w:t>
      </w:r>
    </w:p>
    <w:p>
      <w:pPr>
        <w:spacing w:after="0" w:line="131" w:lineRule="exact"/>
        <w:rPr>
          <w:rFonts w:ascii="Times New Roman" w:cs="Times New Roman" w:eastAsia="Times New Roman" w:hAnsi="Times New Roman"/>
          <w:sz w:val="17"/>
          <w:szCs w:val="17"/>
          <w:b w:val="1"/>
          <w:bCs w:val="1"/>
          <w:color w:val="auto"/>
        </w:rPr>
      </w:pPr>
    </w:p>
    <w:p>
      <w:pPr>
        <w:ind w:left="948" w:hanging="530"/>
        <w:spacing w:after="0" w:line="261" w:lineRule="auto"/>
        <w:tabs>
          <w:tab w:leader="none" w:pos="948"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by Client</w:t>
      </w:r>
      <w:r>
        <w:rPr>
          <w:rFonts w:ascii="Times New Roman" w:cs="Times New Roman" w:eastAsia="Times New Roman" w:hAnsi="Times New Roman"/>
          <w:sz w:val="17"/>
          <w:szCs w:val="17"/>
          <w:color w:val="auto"/>
        </w:rPr>
        <w:t>. Client will indemnify, defend and hold harmless Tempus, its Affiliates, and their directors, officers,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agents (individually and collectively, the “</w:t>
      </w:r>
      <w:r>
        <w:rPr>
          <w:rFonts w:ascii="Times New Roman" w:cs="Times New Roman" w:eastAsia="Times New Roman" w:hAnsi="Times New Roman"/>
          <w:sz w:val="17"/>
          <w:szCs w:val="17"/>
          <w:u w:val="single" w:color="auto"/>
          <w:color w:val="auto"/>
        </w:rPr>
        <w:t>Tempus Indemnitee(s)</w:t>
      </w:r>
      <w:r>
        <w:rPr>
          <w:rFonts w:ascii="Times New Roman" w:cs="Times New Roman" w:eastAsia="Times New Roman" w:hAnsi="Times New Roman"/>
          <w:sz w:val="17"/>
          <w:szCs w:val="17"/>
          <w:color w:val="auto"/>
        </w:rPr>
        <w:t>”) from and against all losses, liabilities, damages and expenses (including reasonable attorneys’ fees and costs) incurred in connection with any claims, demands, actions or other proceedings by any third-party (individually and collectively,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xml:space="preserve">”) to the extent arising from: (a) any breach of this Agreement by Client (including by any Authorized User, Affiliate, sublicensee of Licensed Data or transferee of Licensed Data), (b) Client’s grossly negligent performance or willful misconduct under this Agreement, or (c) any use or other exploitation of the Licensed Data by Client or any of its Authorized Users, Affiliates, sublicensees or transferees of Licensed Data, except in each case (a)-(c), to the extent such Losses arise out of the willful misconduct or breach of this Agreement by any Tempus Indemnitee or are subject to an indemnity pursuant to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color w:val="auto"/>
        </w:rPr>
        <w:t xml:space="preserve"> (Indemnification by Tempus).</w:t>
      </w:r>
    </w:p>
    <w:p>
      <w:pPr>
        <w:spacing w:after="0" w:line="86" w:lineRule="exact"/>
        <w:rPr>
          <w:rFonts w:ascii="Times New Roman" w:cs="Times New Roman" w:eastAsia="Times New Roman" w:hAnsi="Times New Roman"/>
          <w:sz w:val="17"/>
          <w:szCs w:val="17"/>
          <w:color w:val="auto"/>
        </w:rPr>
      </w:pPr>
    </w:p>
    <w:p>
      <w:pPr>
        <w:ind w:left="948" w:right="40" w:hanging="530"/>
        <w:spacing w:after="0" w:line="260" w:lineRule="auto"/>
        <w:tabs>
          <w:tab w:leader="none" w:pos="948"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by Tempus</w:t>
      </w:r>
      <w:r>
        <w:rPr>
          <w:rFonts w:ascii="Times New Roman" w:cs="Times New Roman" w:eastAsia="Times New Roman" w:hAnsi="Times New Roman"/>
          <w:sz w:val="17"/>
          <w:szCs w:val="17"/>
          <w:color w:val="auto"/>
        </w:rPr>
        <w:t>. Tempus will indemnify, defend and hold harmless Client, its Affiliates, and their directors, officers,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agents (individually and collectively, the “</w:t>
      </w:r>
      <w:r>
        <w:rPr>
          <w:rFonts w:ascii="Times New Roman" w:cs="Times New Roman" w:eastAsia="Times New Roman" w:hAnsi="Times New Roman"/>
          <w:sz w:val="17"/>
          <w:szCs w:val="17"/>
          <w:u w:val="single" w:color="auto"/>
          <w:color w:val="auto"/>
        </w:rPr>
        <w:t>Client Indemnitee(s)</w:t>
      </w:r>
      <w:r>
        <w:rPr>
          <w:rFonts w:ascii="Times New Roman" w:cs="Times New Roman" w:eastAsia="Times New Roman" w:hAnsi="Times New Roman"/>
          <w:sz w:val="17"/>
          <w:szCs w:val="17"/>
          <w:color w:val="auto"/>
        </w:rPr>
        <w:t xml:space="preserve">”) from and against all Losses to the extent arising from: (a) any breach of this Agreement by Tempus, (b) Tempus’ grossly negligent performance or willful misconduct under this Agreement, (c) a claim that Client’s use of the Licensed Data in the Field and in the Territory in accordance with this Agreement and in the form delivered by Tempus to Client infringes a copyright, a U.S. patent, or a third-party trademark or other proprietary right, or misappropriates a third-party trade secret or (d) a claim that Client’s use of the Licensed Data in the Field in the Territory in accordance with this Agreement and in the form delivered by Tempus to Client infringes a Japanese patent, [***], except in each case (a)-(d), to the extent such Losses arise out of the willful misconduct or breach of this Agreement by any Client Indemnitee or is subject to an indemnity pursuant to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xml:space="preserve"> (Indemnification by Client). The obligation set forth in clauses (c) and (d) will not apply to the extent of Losses that arise out of (i) any Licensed Data modified without Tempus’ approval; (ii) the use of any Licensed Data in combination with materials not provided by Tempus; or (iii) the use of any Licensed Data other than as permitted under this Agreement or the Business Plan (as defined in the JV Agreement).</w:t>
      </w:r>
    </w:p>
    <w:p>
      <w:pPr>
        <w:spacing w:after="0" w:line="297" w:lineRule="exact"/>
        <w:rPr>
          <w:rFonts w:ascii="Times New Roman" w:cs="Times New Roman" w:eastAsia="Times New Roman" w:hAnsi="Times New Roman"/>
          <w:sz w:val="17"/>
          <w:szCs w:val="17"/>
          <w:color w:val="auto"/>
        </w:rPr>
      </w:pPr>
    </w:p>
    <w:p>
      <w:pPr>
        <w:ind w:left="948" w:right="40" w:hanging="530"/>
        <w:spacing w:after="0" w:line="267" w:lineRule="auto"/>
        <w:tabs>
          <w:tab w:leader="none" w:pos="948"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Procedure</w:t>
      </w:r>
      <w:r>
        <w:rPr>
          <w:rFonts w:ascii="Times New Roman" w:cs="Times New Roman" w:eastAsia="Times New Roman" w:hAnsi="Times New Roman"/>
          <w:sz w:val="17"/>
          <w:szCs w:val="17"/>
          <w:color w:val="auto"/>
        </w:rPr>
        <w:t>. If either Party is seeking indemnification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 Indemnification Obligations)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(Tempus Indemnification Obligations) (the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it will inform the other Party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of the claim giving rise to the obligation to indemnify promptly given the circumstances after receiving notice of the claim (it being understood and agreed, however, that the failure or delay by an Indemnified Party to give such notice of a claim will not affect the indemnification provided hereunder except to the</w:t>
      </w:r>
    </w:p>
    <w:p>
      <w:pPr>
        <w:spacing w:after="0" w:line="1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48"/>
          </w:cols>
          <w:pgMar w:left="612" w:top="264" w:right="639" w:bottom="1440" w:gutter="0" w:footer="0" w:header="0"/>
        </w:sectPr>
      </w:pPr>
    </w:p>
    <w:bookmarkStart w:id="528" w:name="page529"/>
    <w:bookmarkEnd w:id="528"/>
    <w:p>
      <w:pPr>
        <w:ind w:left="948" w:right="120"/>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extent the Indemnifying Party will have been actually and materially prejudiced as a result of such failure or delay to give notice). The Indemnifying Party will have the sole right to assume and control the defense of any such claim for which it is obligated to indemnify the Indemnified Party. The Indemnified Party will cooperate with the Indemnifying Party and the Indemnifying Party’s insurer as the Indemnifying Party may reasonably request, and at the Indemnifying Party’s cost and expense. The Indemnified Party will have the right to participate, at its own expense and with counsel of its choice, in the defense of any claim that has been assumed by the Indemnifying Party. Neither Party will have the obligation to indemnify the other Party in connection with any settlement made without the Indemnifying Party’s written consent, which consent will not be unreasonably withheld or delayed.</w:t>
      </w:r>
    </w:p>
    <w:p>
      <w:pPr>
        <w:spacing w:after="0" w:line="80" w:lineRule="exact"/>
        <w:rPr>
          <w:sz w:val="20"/>
          <w:szCs w:val="20"/>
          <w:color w:val="auto"/>
        </w:rPr>
      </w:pPr>
    </w:p>
    <w:p>
      <w:pPr>
        <w:ind w:left="948" w:right="60" w:hanging="530"/>
        <w:spacing w:after="0" w:line="270" w:lineRule="auto"/>
        <w:tabs>
          <w:tab w:leader="none" w:pos="948"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Mitigation of Loss</w:t>
      </w:r>
      <w:r>
        <w:rPr>
          <w:rFonts w:ascii="Times New Roman" w:cs="Times New Roman" w:eastAsia="Times New Roman" w:hAnsi="Times New Roman"/>
          <w:sz w:val="17"/>
          <w:szCs w:val="17"/>
          <w:color w:val="auto"/>
        </w:rPr>
        <w:t>. Each Indemnified Party will take and will procure that its Affiliates take all such reasonable steps and action as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reasonably necessary or as the Indemnifying Party may reasonably require in order to mitigate any claims (or potential losses or damages) under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(Indemnification). Nothing in this Agreement will or will be deemed to relieve any Party of any common law or other duty to mitigate any losses incurred by it.</w:t>
      </w:r>
    </w:p>
    <w:p>
      <w:pPr>
        <w:spacing w:after="0" w:line="74" w:lineRule="exact"/>
        <w:rPr>
          <w:rFonts w:ascii="Times New Roman" w:cs="Times New Roman" w:eastAsia="Times New Roman" w:hAnsi="Times New Roman"/>
          <w:sz w:val="17"/>
          <w:szCs w:val="17"/>
          <w:color w:val="auto"/>
        </w:rPr>
      </w:pPr>
    </w:p>
    <w:p>
      <w:pPr>
        <w:ind w:left="428" w:right="60" w:hanging="428"/>
        <w:spacing w:after="0" w:line="260" w:lineRule="auto"/>
        <w:tabs>
          <w:tab w:leader="none" w:pos="428" w:val="left"/>
        </w:tabs>
        <w:numPr>
          <w:ilvl w:val="0"/>
          <w:numId w:val="2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Disclaimers; Limitation of Liability. </w:t>
      </w:r>
      <w:r>
        <w:rPr>
          <w:rFonts w:ascii="Times New Roman" w:cs="Times New Roman" w:eastAsia="Times New Roman" w:hAnsi="Times New Roman"/>
          <w:sz w:val="17"/>
          <w:szCs w:val="17"/>
          <w:color w:val="auto"/>
        </w:rPr>
        <w:t>IN NO EVENT WILL EITHER PARTY BE LIABLE FOR ANY LOST REVENUES OR PROFITS,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 INDIRECT, SPECIAL, INCIDENTAL, CONSEQUENTIAL, PUNITIVE OR EXEMPLARY DAMAGES ARISING OUT OF OR RELATING TO THIS AGREEMENT OR THE SERVICES PERFORMED UNDER THIS AGREEMENT, EVEN IF THAT PARTY HAS BEEN ADVISED OF THE POSSIBILITY OF SUCH DAMAGES. THE TOTAL CUMULATIVE LIABILITY OF EACH PARTY FOR ALL CLAIMS ARISING FROM OR RELATING TO THIS AGREEMENT, INCLUDING WITHOUT LIMITATION ANY CAUSE OF ACTION ARISING IN CONTRACT, TORT, OR STRICT LIABILITY, WILL NOT EXCEED THE TOTAL AMOUNT PAID TO TEMPUS UNDER THIS AGREEMENT. THE ABOVE LIMITATIONS, DISCLAIMERS AND EXCLUSIONS DO NOT APPLY TO (A) ANY VIOLATION OF THE CONFIDENTIALITY OR PAYMENT OBLIGATIONS UNDER THIS AGREEMENT, (B) INDEMNIFICATION OBLIGATIONS ARISING UNDER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xml:space="preserve"> (CLIENT INDEMNIFICATION OBLIGATIONS) AND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color w:val="auto"/>
        </w:rPr>
        <w:t xml:space="preserve"> (TEMPUS INDEMNIFICATION OBLIGATIONS) OR (C) ATTRIBUTABLE TO A PARTY’S FRAUD, GROSS NEGLIGENCE, WILFUL MISCONDUCT (INCLUDING IN THE CASE OF CLIENT, WITH RESPECT TO ITS USE OF THE LICENSED DATA).</w:t>
      </w:r>
    </w:p>
    <w:p>
      <w:pPr>
        <w:spacing w:after="0" w:line="323" w:lineRule="exact"/>
        <w:rPr>
          <w:rFonts w:ascii="Times New Roman" w:cs="Times New Roman" w:eastAsia="Times New Roman" w:hAnsi="Times New Roman"/>
          <w:sz w:val="17"/>
          <w:szCs w:val="17"/>
          <w:b w:val="1"/>
          <w:bCs w:val="1"/>
          <w:color w:val="auto"/>
        </w:rPr>
      </w:pPr>
    </w:p>
    <w:p>
      <w:pPr>
        <w:ind w:left="428" w:hanging="428"/>
        <w:spacing w:after="0"/>
        <w:tabs>
          <w:tab w:leader="none" w:pos="428" w:val="left"/>
        </w:tabs>
        <w:numPr>
          <w:ilvl w:val="0"/>
          <w:numId w:val="2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p>
    <w:p>
      <w:pPr>
        <w:spacing w:after="0" w:line="131" w:lineRule="exact"/>
        <w:rPr>
          <w:rFonts w:ascii="Times New Roman" w:cs="Times New Roman" w:eastAsia="Times New Roman" w:hAnsi="Times New Roman"/>
          <w:sz w:val="17"/>
          <w:szCs w:val="17"/>
          <w:b w:val="1"/>
          <w:bCs w:val="1"/>
          <w:color w:val="auto"/>
        </w:rPr>
      </w:pPr>
    </w:p>
    <w:p>
      <w:pPr>
        <w:ind w:left="948" w:right="720" w:hanging="530"/>
        <w:spacing w:after="0" w:line="298" w:lineRule="auto"/>
        <w:tabs>
          <w:tab w:leader="none" w:pos="948"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 This Agreement is effective as of the Effective Date and, unless terminated earlier as set forth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will remain in effect for as long as the JV Agreement is in effect (such time period,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w:t>
      </w:r>
    </w:p>
    <w:p>
      <w:pPr>
        <w:spacing w:after="0" w:line="50" w:lineRule="exact"/>
        <w:rPr>
          <w:rFonts w:ascii="Times New Roman" w:cs="Times New Roman" w:eastAsia="Times New Roman" w:hAnsi="Times New Roman"/>
          <w:sz w:val="17"/>
          <w:szCs w:val="17"/>
          <w:color w:val="auto"/>
        </w:rPr>
      </w:pPr>
    </w:p>
    <w:p>
      <w:pPr>
        <w:ind w:left="948" w:hanging="530"/>
        <w:spacing w:after="0" w:line="262" w:lineRule="auto"/>
        <w:tabs>
          <w:tab w:leader="none" w:pos="948"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Events. </w:t>
      </w:r>
      <w:r>
        <w:rPr>
          <w:rFonts w:ascii="Times New Roman" w:cs="Times New Roman" w:eastAsia="Times New Roman" w:hAnsi="Times New Roman"/>
          <w:sz w:val="17"/>
          <w:szCs w:val="17"/>
          <w:color w:val="auto"/>
        </w:rPr>
        <w:t>Either Party may terminate this Agreement if the other has committed a material breach, and such breach is not cured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to the reasonable satisfaction of the non-breaching Party within [***] days of receipt of written notice from the non-breaching Party. In the case of Client as the breaching party, Tempus may only terminate for material breach if Client has materially breached </w:t>
      </w:r>
      <w:r>
        <w:rPr>
          <w:rFonts w:ascii="Times New Roman" w:cs="Times New Roman" w:eastAsia="Times New Roman" w:hAnsi="Times New Roman"/>
          <w:sz w:val="17"/>
          <w:szCs w:val="17"/>
          <w:u w:val="single" w:color="auto"/>
          <w:color w:val="auto"/>
        </w:rPr>
        <w:t>Sections 3.a.ii</w:t>
      </w:r>
      <w:r>
        <w:rPr>
          <w:rFonts w:ascii="Times New Roman" w:cs="Times New Roman" w:eastAsia="Times New Roman" w:hAnsi="Times New Roman"/>
          <w:sz w:val="17"/>
          <w:szCs w:val="17"/>
          <w:color w:val="auto"/>
        </w:rPr>
        <w:t xml:space="preserve"> (Sub-licensing Conditions), </w:t>
      </w:r>
      <w:r>
        <w:rPr>
          <w:rFonts w:ascii="Times New Roman" w:cs="Times New Roman" w:eastAsia="Times New Roman" w:hAnsi="Times New Roman"/>
          <w:sz w:val="17"/>
          <w:szCs w:val="17"/>
          <w:u w:val="single" w:color="auto"/>
          <w:color w:val="auto"/>
        </w:rPr>
        <w:t>5.a</w:t>
      </w:r>
      <w:r>
        <w:rPr>
          <w:rFonts w:ascii="Times New Roman" w:cs="Times New Roman" w:eastAsia="Times New Roman" w:hAnsi="Times New Roman"/>
          <w:sz w:val="17"/>
          <w:szCs w:val="17"/>
          <w:color w:val="auto"/>
        </w:rPr>
        <w:t xml:space="preserve"> (Restrictions), </w:t>
      </w:r>
      <w:r>
        <w:rPr>
          <w:rFonts w:ascii="Times New Roman" w:cs="Times New Roman" w:eastAsia="Times New Roman" w:hAnsi="Times New Roman"/>
          <w:sz w:val="17"/>
          <w:szCs w:val="17"/>
          <w:u w:val="single" w:color="auto"/>
          <w:color w:val="auto"/>
        </w:rPr>
        <w:t>5.b</w:t>
      </w:r>
      <w:r>
        <w:rPr>
          <w:rFonts w:ascii="Times New Roman" w:cs="Times New Roman" w:eastAsia="Times New Roman" w:hAnsi="Times New Roman"/>
          <w:sz w:val="17"/>
          <w:szCs w:val="17"/>
          <w:color w:val="auto"/>
        </w:rPr>
        <w:t xml:space="preserve"> (Compliance), </w:t>
      </w:r>
      <w:r>
        <w:rPr>
          <w:rFonts w:ascii="Times New Roman" w:cs="Times New Roman" w:eastAsia="Times New Roman" w:hAnsi="Times New Roman"/>
          <w:sz w:val="17"/>
          <w:szCs w:val="17"/>
          <w:u w:val="single" w:color="auto"/>
          <w:color w:val="auto"/>
        </w:rPr>
        <w:t>5.d</w:t>
      </w:r>
      <w:r>
        <w:rPr>
          <w:rFonts w:ascii="Times New Roman" w:cs="Times New Roman" w:eastAsia="Times New Roman" w:hAnsi="Times New Roman"/>
          <w:sz w:val="17"/>
          <w:szCs w:val="17"/>
          <w:color w:val="auto"/>
        </w:rPr>
        <w:t xml:space="preserve"> (Security Incident Report)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6.b</w:t>
      </w:r>
      <w:r>
        <w:rPr>
          <w:rFonts w:ascii="Times New Roman" w:cs="Times New Roman" w:eastAsia="Times New Roman" w:hAnsi="Times New Roman"/>
          <w:sz w:val="17"/>
          <w:szCs w:val="17"/>
          <w:color w:val="auto"/>
        </w:rPr>
        <w:t xml:space="preserve"> (Fees for Licenses to Initial Records Batch), </w:t>
      </w:r>
      <w:r>
        <w:rPr>
          <w:rFonts w:ascii="Times New Roman" w:cs="Times New Roman" w:eastAsia="Times New Roman" w:hAnsi="Times New Roman"/>
          <w:sz w:val="17"/>
          <w:szCs w:val="17"/>
          <w:u w:val="single" w:color="auto"/>
          <w:color w:val="auto"/>
        </w:rPr>
        <w:t>6.c</w:t>
      </w:r>
      <w:r>
        <w:rPr>
          <w:rFonts w:ascii="Times New Roman" w:cs="Times New Roman" w:eastAsia="Times New Roman" w:hAnsi="Times New Roman"/>
          <w:sz w:val="17"/>
          <w:szCs w:val="17"/>
          <w:color w:val="auto"/>
        </w:rPr>
        <w:t xml:space="preserve"> (Fees for Additional Records Batch), </w:t>
      </w:r>
      <w:r>
        <w:rPr>
          <w:rFonts w:ascii="Times New Roman" w:cs="Times New Roman" w:eastAsia="Times New Roman" w:hAnsi="Times New Roman"/>
          <w:sz w:val="17"/>
          <w:szCs w:val="17"/>
          <w:u w:val="single" w:color="auto"/>
          <w:color w:val="auto"/>
        </w:rPr>
        <w:t>6.d</w:t>
      </w:r>
      <w:r>
        <w:rPr>
          <w:rFonts w:ascii="Times New Roman" w:cs="Times New Roman" w:eastAsia="Times New Roman" w:hAnsi="Times New Roman"/>
          <w:sz w:val="17"/>
          <w:szCs w:val="17"/>
          <w:color w:val="auto"/>
        </w:rPr>
        <w:t xml:space="preserve"> (Fees for Records Substitution and Licensed Data Services.), </w:t>
      </w:r>
      <w:r>
        <w:rPr>
          <w:rFonts w:ascii="Times New Roman" w:cs="Times New Roman" w:eastAsia="Times New Roman" w:hAnsi="Times New Roman"/>
          <w:sz w:val="17"/>
          <w:szCs w:val="17"/>
          <w:u w:val="single" w:color="auto"/>
          <w:color w:val="auto"/>
        </w:rPr>
        <w:t>6.e</w:t>
      </w:r>
      <w:r>
        <w:rPr>
          <w:rFonts w:ascii="Times New Roman" w:cs="Times New Roman" w:eastAsia="Times New Roman" w:hAnsi="Times New Roman"/>
          <w:sz w:val="17"/>
          <w:szCs w:val="17"/>
          <w:color w:val="auto"/>
        </w:rPr>
        <w:t xml:space="preserve"> (Fees for Updates to Licensed Data), </w:t>
      </w:r>
      <w:r>
        <w:rPr>
          <w:rFonts w:ascii="Times New Roman" w:cs="Times New Roman" w:eastAsia="Times New Roman" w:hAnsi="Times New Roman"/>
          <w:sz w:val="17"/>
          <w:szCs w:val="17"/>
          <w:u w:val="single" w:color="auto"/>
          <w:color w:val="auto"/>
        </w:rPr>
        <w:t>6.f</w:t>
      </w:r>
      <w:r>
        <w:rPr>
          <w:rFonts w:ascii="Times New Roman" w:cs="Times New Roman" w:eastAsia="Times New Roman" w:hAnsi="Times New Roman"/>
          <w:sz w:val="17"/>
          <w:szCs w:val="17"/>
          <w:color w:val="auto"/>
        </w:rPr>
        <w:t xml:space="preserve"> (Fees for Cloud Infrastructure), </w:t>
      </w:r>
      <w:r>
        <w:rPr>
          <w:rFonts w:ascii="Times New Roman" w:cs="Times New Roman" w:eastAsia="Times New Roman" w:hAnsi="Times New Roman"/>
          <w:sz w:val="17"/>
          <w:szCs w:val="17"/>
          <w:u w:val="single" w:color="auto"/>
          <w:color w:val="auto"/>
        </w:rPr>
        <w:t>6.h</w:t>
      </w:r>
      <w:r>
        <w:rPr>
          <w:rFonts w:ascii="Times New Roman" w:cs="Times New Roman" w:eastAsia="Times New Roman" w:hAnsi="Times New Roman"/>
          <w:sz w:val="17"/>
          <w:szCs w:val="17"/>
          <w:color w:val="auto"/>
        </w:rPr>
        <w:t xml:space="preserve"> (Fees for Sales Agent Records), </w:t>
      </w:r>
      <w:r>
        <w:rPr>
          <w:rFonts w:ascii="Times New Roman" w:cs="Times New Roman" w:eastAsia="Times New Roman" w:hAnsi="Times New Roman"/>
          <w:sz w:val="17"/>
          <w:szCs w:val="17"/>
          <w:u w:val="single" w:color="auto"/>
          <w:color w:val="auto"/>
        </w:rPr>
        <w:t>7.b</w:t>
      </w:r>
      <w:r>
        <w:rPr>
          <w:rFonts w:ascii="Times New Roman" w:cs="Times New Roman" w:eastAsia="Times New Roman" w:hAnsi="Times New Roman"/>
          <w:sz w:val="17"/>
          <w:szCs w:val="17"/>
          <w:color w:val="auto"/>
        </w:rPr>
        <w:t xml:space="preserve"> (Non-disclosure) or </w:t>
      </w:r>
      <w:r>
        <w:rPr>
          <w:rFonts w:ascii="Times New Roman" w:cs="Times New Roman" w:eastAsia="Times New Roman" w:hAnsi="Times New Roman"/>
          <w:sz w:val="17"/>
          <w:szCs w:val="17"/>
          <w:u w:val="single" w:color="auto"/>
          <w:color w:val="auto"/>
        </w:rPr>
        <w:t>8.a</w:t>
      </w:r>
      <w:r>
        <w:rPr>
          <w:rFonts w:ascii="Times New Roman" w:cs="Times New Roman" w:eastAsia="Times New Roman" w:hAnsi="Times New Roman"/>
          <w:sz w:val="17"/>
          <w:szCs w:val="17"/>
          <w:color w:val="auto"/>
        </w:rPr>
        <w:t xml:space="preserve"> (Client Indemnification Obligations) and such breach is not cured to the reasonable satisfaction of Tempus within [***] days of receipt of written notice from Tempus. Such termination under this </w:t>
      </w:r>
      <w:r>
        <w:rPr>
          <w:rFonts w:ascii="Times New Roman" w:cs="Times New Roman" w:eastAsia="Times New Roman" w:hAnsi="Times New Roman"/>
          <w:sz w:val="17"/>
          <w:szCs w:val="17"/>
          <w:u w:val="single" w:color="auto"/>
          <w:color w:val="auto"/>
        </w:rPr>
        <w:t>Section 10.b</w:t>
      </w:r>
      <w:r>
        <w:rPr>
          <w:rFonts w:ascii="Times New Roman" w:cs="Times New Roman" w:eastAsia="Times New Roman" w:hAnsi="Times New Roman"/>
          <w:sz w:val="17"/>
          <w:szCs w:val="17"/>
          <w:color w:val="auto"/>
        </w:rPr>
        <w:t xml:space="preserve"> (Termination Events) will terminate all licenses</w:t>
      </w:r>
    </w:p>
    <w:p>
      <w:pPr>
        <w:spacing w:after="0" w:line="11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648"/>
          </w:cols>
          <w:pgMar w:left="612" w:top="265" w:right="639" w:bottom="1440" w:gutter="0" w:footer="0" w:header="0"/>
        </w:sectPr>
      </w:pPr>
    </w:p>
    <w:bookmarkStart w:id="529" w:name="page530"/>
    <w:bookmarkEnd w:id="529"/>
    <w:p>
      <w:pPr>
        <w:ind w:left="948" w:right="60"/>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under this Agreement and all Order Forms, but not payment obligations that have accrued through the date of termination. Nonpayment of fees will be a material breach.</w:t>
      </w:r>
    </w:p>
    <w:p>
      <w:pPr>
        <w:spacing w:after="0" w:line="53" w:lineRule="exact"/>
        <w:rPr>
          <w:sz w:val="20"/>
          <w:szCs w:val="20"/>
          <w:color w:val="auto"/>
        </w:rPr>
      </w:pPr>
    </w:p>
    <w:p>
      <w:pPr>
        <w:ind w:left="948" w:right="260" w:hanging="530"/>
        <w:spacing w:after="0" w:line="270" w:lineRule="auto"/>
        <w:tabs>
          <w:tab w:leader="none" w:pos="948"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Convenience. </w:t>
      </w:r>
      <w:r>
        <w:rPr>
          <w:rFonts w:ascii="Times New Roman" w:cs="Times New Roman" w:eastAsia="Times New Roman" w:hAnsi="Times New Roman"/>
          <w:sz w:val="17"/>
          <w:szCs w:val="17"/>
          <w:color w:val="auto"/>
        </w:rPr>
        <w:t>Client may terminate this Agreement for convenience with [***] days advanced written notice. A termination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convenience will not affect any in progress Order Forms, and every applicable provision of this Agreement will remain in full force and effect until an existing Order Form expires or terminates. Termination for convenience under this Section will not impact Client’s obligation to pay any fees accrued through the date of termination.</w:t>
      </w:r>
    </w:p>
    <w:p>
      <w:pPr>
        <w:spacing w:after="0" w:line="74"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Automatic Termination. </w:t>
      </w:r>
      <w:r>
        <w:rPr>
          <w:rFonts w:ascii="Times New Roman" w:cs="Times New Roman" w:eastAsia="Times New Roman" w:hAnsi="Times New Roman"/>
          <w:sz w:val="17"/>
          <w:szCs w:val="17"/>
          <w:color w:val="auto"/>
        </w:rPr>
        <w:t>This Agreement will terminate automatically upon the termination of the JV Agreement pursuant to</w:t>
      </w:r>
    </w:p>
    <w:p>
      <w:pPr>
        <w:spacing w:after="0" w:line="33" w:lineRule="exact"/>
        <w:rPr>
          <w:rFonts w:ascii="Times New Roman" w:cs="Times New Roman" w:eastAsia="Times New Roman" w:hAnsi="Times New Roman"/>
          <w:sz w:val="17"/>
          <w:szCs w:val="17"/>
          <w:color w:val="auto"/>
        </w:rPr>
      </w:pPr>
    </w:p>
    <w:p>
      <w:pPr>
        <w:ind w:left="948" w:right="8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13.2(b) of the JV Agreement. Upon such termination, Client will be required to pay all Data Access and Preparation Services Fees incurred by Client as of such termination date (but, for clarity, will have no obligation to pay the License Fee).</w:t>
      </w:r>
    </w:p>
    <w:p>
      <w:pPr>
        <w:spacing w:after="0" w:line="70" w:lineRule="exact"/>
        <w:rPr>
          <w:rFonts w:ascii="Times New Roman" w:cs="Times New Roman" w:eastAsia="Times New Roman" w:hAnsi="Times New Roman"/>
          <w:sz w:val="17"/>
          <w:szCs w:val="17"/>
          <w:color w:val="auto"/>
        </w:rPr>
      </w:pPr>
    </w:p>
    <w:p>
      <w:pPr>
        <w:ind w:left="948" w:right="80" w:hanging="530"/>
        <w:spacing w:after="0" w:line="277" w:lineRule="auto"/>
        <w:tabs>
          <w:tab w:leader="none" w:pos="948"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Changes. </w:t>
      </w:r>
      <w:r>
        <w:rPr>
          <w:rFonts w:ascii="Times New Roman" w:cs="Times New Roman" w:eastAsia="Times New Roman" w:hAnsi="Times New Roman"/>
          <w:sz w:val="17"/>
          <w:szCs w:val="17"/>
          <w:color w:val="auto"/>
        </w:rPr>
        <w:t>If either Party (the “</w:t>
      </w:r>
      <w:r>
        <w:rPr>
          <w:rFonts w:ascii="Times New Roman" w:cs="Times New Roman" w:eastAsia="Times New Roman" w:hAnsi="Times New Roman"/>
          <w:sz w:val="17"/>
          <w:szCs w:val="17"/>
          <w:u w:val="single" w:color="auto"/>
          <w:color w:val="auto"/>
        </w:rPr>
        <w:t>Noticing Party</w:t>
      </w:r>
      <w:r>
        <w:rPr>
          <w:rFonts w:ascii="Times New Roman" w:cs="Times New Roman" w:eastAsia="Times New Roman" w:hAnsi="Times New Roman"/>
          <w:sz w:val="17"/>
          <w:szCs w:val="17"/>
          <w:color w:val="auto"/>
        </w:rPr>
        <w:t>”) determines in good faith that a change in Applicable Law, or a change in how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current Applicable Law is interpreted, makes this Agreement illegal, then the Parties will work in good faith to amend the Agreement to ensure compliance.</w:t>
      </w:r>
    </w:p>
    <w:p>
      <w:pPr>
        <w:spacing w:after="0" w:line="68" w:lineRule="exact"/>
        <w:rPr>
          <w:rFonts w:ascii="Times New Roman" w:cs="Times New Roman" w:eastAsia="Times New Roman" w:hAnsi="Times New Roman"/>
          <w:sz w:val="17"/>
          <w:szCs w:val="17"/>
          <w:color w:val="auto"/>
        </w:rPr>
      </w:pPr>
    </w:p>
    <w:p>
      <w:pPr>
        <w:ind w:left="948" w:hanging="530"/>
        <w:spacing w:after="0" w:line="261" w:lineRule="auto"/>
        <w:tabs>
          <w:tab w:leader="none" w:pos="948" w:val="left"/>
        </w:tabs>
        <w:numPr>
          <w:ilvl w:val="1"/>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Effect of Termination; Survival.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(Definitions),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(License Grants and Acknowledgements),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 if Licensed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Data Services),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 xml:space="preserve"> (Fees and Invoices; [***]) through </w:t>
      </w:r>
      <w:r>
        <w:rPr>
          <w:rFonts w:ascii="Times New Roman" w:cs="Times New Roman" w:eastAsia="Times New Roman" w:hAnsi="Times New Roman"/>
          <w:sz w:val="17"/>
          <w:szCs w:val="17"/>
          <w:u w:val="single" w:color="auto"/>
          <w:color w:val="auto"/>
        </w:rPr>
        <w:t>Section 6.j</w:t>
      </w:r>
      <w:r>
        <w:rPr>
          <w:rFonts w:ascii="Times New Roman" w:cs="Times New Roman" w:eastAsia="Times New Roman" w:hAnsi="Times New Roman"/>
          <w:sz w:val="17"/>
          <w:szCs w:val="17"/>
          <w:color w:val="auto"/>
        </w:rPr>
        <w:t xml:space="preserve"> (Fees and Invoices; [***]),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(Privacy, Confidentiality, and Intellectual Property),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(Indemnification),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(Disclaimers; Limitation of Liability),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(Term and Termination) and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(Miscellaneous) will survive the expiration or termination of this Agreement. Unless this Agreement was terminated by Tempus due to Client’s uncured material breach pursuant to </w:t>
      </w:r>
      <w:r>
        <w:rPr>
          <w:rFonts w:ascii="Times New Roman" w:cs="Times New Roman" w:eastAsia="Times New Roman" w:hAnsi="Times New Roman"/>
          <w:sz w:val="17"/>
          <w:szCs w:val="17"/>
          <w:u w:val="single" w:color="auto"/>
          <w:color w:val="auto"/>
        </w:rPr>
        <w:t>Section 10.b</w:t>
      </w:r>
      <w:r>
        <w:rPr>
          <w:rFonts w:ascii="Times New Roman" w:cs="Times New Roman" w:eastAsia="Times New Roman" w:hAnsi="Times New Roman"/>
          <w:sz w:val="17"/>
          <w:szCs w:val="17"/>
          <w:color w:val="auto"/>
        </w:rPr>
        <w:t xml:space="preserve"> (Termination Events), upon termination or expiration of this Agreement, all licenses to Client will expire, except for any perpetual licenses to Licensed Data, provided that, (a) the terms of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3.a.ii</w:t>
      </w:r>
      <w:r>
        <w:rPr>
          <w:rFonts w:ascii="Times New Roman" w:cs="Times New Roman" w:eastAsia="Times New Roman" w:hAnsi="Times New Roman"/>
          <w:sz w:val="17"/>
          <w:szCs w:val="17"/>
          <w:color w:val="auto"/>
        </w:rPr>
        <w:t xml:space="preserve"> (Sub-Licensing Conditions) and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(Restrictions) will continue in effect solely with respect to such surviving perpetual licenses, and (b) </w:t>
      </w:r>
      <w:r>
        <w:rPr>
          <w:rFonts w:ascii="Times New Roman" w:cs="Times New Roman" w:eastAsia="Times New Roman" w:hAnsi="Times New Roman"/>
          <w:sz w:val="17"/>
          <w:szCs w:val="17"/>
          <w:u w:val="single" w:color="auto"/>
          <w:color w:val="auto"/>
        </w:rPr>
        <w:t>Section 10.b</w:t>
      </w:r>
      <w:r>
        <w:rPr>
          <w:rFonts w:ascii="Times New Roman" w:cs="Times New Roman" w:eastAsia="Times New Roman" w:hAnsi="Times New Roman"/>
          <w:sz w:val="17"/>
          <w:szCs w:val="17"/>
          <w:color w:val="auto"/>
        </w:rPr>
        <w:t xml:space="preserve"> (Termination Events) will apply with respect to any such surviving perpetual license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Upon expiration or termination of this Agreement, except to the extent permitted by any surviving licenses, Client will cease use of any Licensed Data and will return or destroy, at Tempus’ option, all Licensed Data and provide written certification of destruction (if applicable).</w:t>
      </w:r>
    </w:p>
    <w:p>
      <w:pPr>
        <w:spacing w:after="0" w:line="317"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131" w:lineRule="exact"/>
        <w:rPr>
          <w:rFonts w:ascii="Times New Roman" w:cs="Times New Roman" w:eastAsia="Times New Roman" w:hAnsi="Times New Roman"/>
          <w:sz w:val="17"/>
          <w:szCs w:val="17"/>
          <w:b w:val="1"/>
          <w:bCs w:val="1"/>
          <w:color w:val="auto"/>
        </w:rPr>
      </w:pPr>
    </w:p>
    <w:p>
      <w:pPr>
        <w:ind w:left="948" w:right="160" w:hanging="530"/>
        <w:spacing w:after="0" w:line="267" w:lineRule="auto"/>
        <w:tabs>
          <w:tab w:leader="none" w:pos="948"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Governing Law and Disputes</w:t>
      </w:r>
      <w:r>
        <w:rPr>
          <w:rFonts w:ascii="Times New Roman" w:cs="Times New Roman" w:eastAsia="Times New Roman" w:hAnsi="Times New Roman"/>
          <w:sz w:val="17"/>
          <w:szCs w:val="17"/>
          <w:color w:val="auto"/>
        </w:rPr>
        <w:t>. This Agreement will be governed exclusively by the laws of Delaware, United States, without regard to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conflict of law principles. Any dispute under this Agreement will be finally settled under confidential arbitration as provided in Section 14.3 (Dispute Resolution) of the JV Agreement, except that the choice of law will be as set forth in the immediately preceding sentence. The Parties will use good faith efforts to work together to resolve disputes related to this Agreement, using mutually escalating discussions as needed.</w:t>
      </w:r>
    </w:p>
    <w:p>
      <w:pPr>
        <w:spacing w:after="0" w:line="75" w:lineRule="exact"/>
        <w:rPr>
          <w:rFonts w:ascii="Times New Roman" w:cs="Times New Roman" w:eastAsia="Times New Roman" w:hAnsi="Times New Roman"/>
          <w:sz w:val="17"/>
          <w:szCs w:val="17"/>
          <w:color w:val="auto"/>
        </w:rPr>
      </w:pPr>
    </w:p>
    <w:p>
      <w:pPr>
        <w:ind w:left="948" w:right="520" w:hanging="530"/>
        <w:spacing w:after="0" w:line="298" w:lineRule="auto"/>
        <w:tabs>
          <w:tab w:leader="none" w:pos="948"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Force Majeure. </w:t>
      </w:r>
      <w:r>
        <w:rPr>
          <w:rFonts w:ascii="Times New Roman" w:cs="Times New Roman" w:eastAsia="Times New Roman" w:hAnsi="Times New Roman"/>
          <w:sz w:val="17"/>
          <w:szCs w:val="17"/>
          <w:color w:val="auto"/>
        </w:rPr>
        <w:t>Neither Party will be liable for any failure or delay of performance to the extent resulting from a cause outside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reasonable control, such as natural disaster, strike, fire, governmental action, terrorism, or war.</w:t>
      </w:r>
    </w:p>
    <w:p>
      <w:pPr>
        <w:spacing w:after="0" w:line="50" w:lineRule="exact"/>
        <w:rPr>
          <w:rFonts w:ascii="Times New Roman" w:cs="Times New Roman" w:eastAsia="Times New Roman" w:hAnsi="Times New Roman"/>
          <w:sz w:val="17"/>
          <w:szCs w:val="17"/>
          <w:color w:val="auto"/>
        </w:rPr>
      </w:pPr>
    </w:p>
    <w:p>
      <w:pPr>
        <w:ind w:left="5248" w:right="260" w:hanging="4830"/>
        <w:spacing w:after="0" w:line="357" w:lineRule="auto"/>
        <w:tabs>
          <w:tab w:leader="none" w:pos="944"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 </w:t>
      </w:r>
      <w:r>
        <w:rPr>
          <w:rFonts w:ascii="Times New Roman" w:cs="Times New Roman" w:eastAsia="Times New Roman" w:hAnsi="Times New Roman"/>
          <w:sz w:val="17"/>
          <w:szCs w:val="17"/>
          <w:color w:val="auto"/>
        </w:rPr>
        <w:t>Any notices required in this Agreement will be delivered to the address for each Party listed at the beginning of this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19</w:t>
      </w:r>
    </w:p>
    <w:p>
      <w:pPr>
        <w:sectPr>
          <w:pgSz w:w="11900" w:h="16838" w:orient="portrait"/>
          <w:cols w:equalWidth="0" w:num="1">
            <w:col w:w="10668"/>
          </w:cols>
          <w:pgMar w:left="612" w:top="264" w:right="619" w:bottom="1440" w:gutter="0" w:footer="0" w:header="0"/>
        </w:sectPr>
      </w:pPr>
    </w:p>
    <w:bookmarkStart w:id="530" w:name="page531"/>
    <w:bookmarkEnd w:id="530"/>
    <w:p>
      <w:pPr>
        <w:ind w:left="530" w:right="80" w:hanging="530"/>
        <w:spacing w:after="0" w:line="270" w:lineRule="auto"/>
        <w:tabs>
          <w:tab w:leader="none" w:pos="53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Binding Effect; Assignment</w:t>
      </w:r>
      <w:r>
        <w:rPr>
          <w:rFonts w:ascii="Times New Roman" w:cs="Times New Roman" w:eastAsia="Times New Roman" w:hAnsi="Times New Roman"/>
          <w:sz w:val="17"/>
          <w:szCs w:val="17"/>
          <w:color w:val="auto"/>
        </w:rPr>
        <w:t>. This Agreement is binding upon, and will inure to the benefit of, the successors and permitted assigns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Parties. Either Party may assign its rights and responsibilities under this Agreement (i) to any of its Affiliates for so long as such entity continues to be an Affiliate or (ii) in connection with a merger, acquisition, corporate reorganization or sale of all or substantially all of its assets. Any other purported assignment is void.</w:t>
      </w:r>
    </w:p>
    <w:p>
      <w:pPr>
        <w:spacing w:after="0" w:line="74" w:lineRule="exact"/>
        <w:rPr>
          <w:rFonts w:ascii="Times New Roman" w:cs="Times New Roman" w:eastAsia="Times New Roman" w:hAnsi="Times New Roman"/>
          <w:sz w:val="17"/>
          <w:szCs w:val="17"/>
          <w:color w:val="auto"/>
        </w:rPr>
      </w:pPr>
    </w:p>
    <w:p>
      <w:pPr>
        <w:ind w:left="530" w:hanging="530"/>
        <w:spacing w:after="0" w:line="298" w:lineRule="auto"/>
        <w:tabs>
          <w:tab w:leader="none" w:pos="53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Use of Name and Marks</w:t>
      </w:r>
      <w:r>
        <w:rPr>
          <w:rFonts w:ascii="Times New Roman" w:cs="Times New Roman" w:eastAsia="Times New Roman" w:hAnsi="Times New Roman"/>
          <w:sz w:val="17"/>
          <w:szCs w:val="17"/>
          <w:color w:val="auto"/>
        </w:rPr>
        <w:t>. Except to the extent set forth in the IP License Agreement, neither Party may use the other Party’s name or marks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any purpose without the other Party’s advance written consent.</w:t>
      </w:r>
    </w:p>
    <w:p>
      <w:pPr>
        <w:spacing w:after="0" w:line="50" w:lineRule="exact"/>
        <w:rPr>
          <w:rFonts w:ascii="Times New Roman" w:cs="Times New Roman" w:eastAsia="Times New Roman" w:hAnsi="Times New Roman"/>
          <w:sz w:val="17"/>
          <w:szCs w:val="17"/>
          <w:color w:val="auto"/>
        </w:rPr>
      </w:pPr>
    </w:p>
    <w:p>
      <w:pPr>
        <w:ind w:left="530" w:right="460" w:hanging="530"/>
        <w:spacing w:after="0" w:line="298" w:lineRule="auto"/>
        <w:tabs>
          <w:tab w:leader="none" w:pos="53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Relationship of the Parties</w:t>
      </w:r>
      <w:r>
        <w:rPr>
          <w:rFonts w:ascii="Times New Roman" w:cs="Times New Roman" w:eastAsia="Times New Roman" w:hAnsi="Times New Roman"/>
          <w:sz w:val="17"/>
          <w:szCs w:val="17"/>
          <w:color w:val="auto"/>
        </w:rPr>
        <w:t>. This Agreement does not create a partnership, franchise, joint venture, agency, fiduciary, or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relationship between the Parties.</w:t>
      </w:r>
    </w:p>
    <w:p>
      <w:pPr>
        <w:spacing w:after="0" w:line="50" w:lineRule="exact"/>
        <w:rPr>
          <w:rFonts w:ascii="Times New Roman" w:cs="Times New Roman" w:eastAsia="Times New Roman" w:hAnsi="Times New Roman"/>
          <w:sz w:val="17"/>
          <w:szCs w:val="17"/>
          <w:color w:val="auto"/>
        </w:rPr>
      </w:pPr>
    </w:p>
    <w:p>
      <w:pPr>
        <w:ind w:left="530" w:right="740" w:hanging="530"/>
        <w:spacing w:after="0" w:line="298" w:lineRule="auto"/>
        <w:tabs>
          <w:tab w:leader="none" w:pos="53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Costs</w:t>
      </w:r>
      <w:r>
        <w:rPr>
          <w:rFonts w:ascii="Times New Roman" w:cs="Times New Roman" w:eastAsia="Times New Roman" w:hAnsi="Times New Roman"/>
          <w:sz w:val="17"/>
          <w:szCs w:val="17"/>
          <w:color w:val="auto"/>
        </w:rPr>
        <w:t>. Except where expressly set forth otherwise in this Agreement, each Party will bear its own costs and expenses incurred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this Agreement and the other activities and responsibilities assigned to it under this Agreement.</w:t>
      </w:r>
    </w:p>
    <w:p>
      <w:pPr>
        <w:spacing w:after="0" w:line="50" w:lineRule="exact"/>
        <w:rPr>
          <w:rFonts w:ascii="Times New Roman" w:cs="Times New Roman" w:eastAsia="Times New Roman" w:hAnsi="Times New Roman"/>
          <w:sz w:val="17"/>
          <w:szCs w:val="17"/>
          <w:color w:val="auto"/>
        </w:rPr>
      </w:pPr>
    </w:p>
    <w:p>
      <w:pPr>
        <w:ind w:left="530" w:hanging="530"/>
        <w:spacing w:after="0" w:line="270" w:lineRule="auto"/>
        <w:tabs>
          <w:tab w:leader="none" w:pos="53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Entire Agreement; Amendments and Waivers. </w:t>
      </w:r>
      <w:r>
        <w:rPr>
          <w:rFonts w:ascii="Times New Roman" w:cs="Times New Roman" w:eastAsia="Times New Roman" w:hAnsi="Times New Roman"/>
          <w:sz w:val="17"/>
          <w:szCs w:val="17"/>
          <w:color w:val="auto"/>
        </w:rPr>
        <w:t>This Agreement is the entire understanding between the Parties on its subject matter. There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 third-party beneficiaries to this Agreement. If any provision is held invalid or unenforceable, the remainder of the Agreement will remain enforceable to the fullest extent permitted by Applicable Law, so long as such change does not materially change the cost or benefit of the Agreement to a Party. Failure to enforce any term of this Agreement is not a waiver.</w:t>
      </w:r>
    </w:p>
    <w:p>
      <w:pPr>
        <w:spacing w:after="0" w:line="102"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210"/>
          </w:cols>
          <w:pgMar w:left="1030" w:top="263" w:right="65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7"/>
          <w:szCs w:val="17"/>
          <w:b w:val="1"/>
          <w:bCs w:val="1"/>
          <w:color w:val="auto"/>
        </w:rPr>
        <w:t>Pegasos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Ippei Mimura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316992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5">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1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Name:</w:t>
        <w:tab/>
        <w:t>Ippei Mimura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20320</wp:posOffset>
            </wp:positionV>
            <wp:extent cx="277177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6">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spacing w:after="0" w:line="1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Title:</w:t>
        <w:tab/>
        <w:t>Representative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20320</wp:posOffset>
            </wp:positionV>
            <wp:extent cx="277177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7">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spacing w:after="0" w:line="1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Date:</w:t>
        <w:tab/>
        <w:t>18-May-2024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20320</wp:posOffset>
            </wp:positionV>
            <wp:extent cx="277177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8">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-201295</wp:posOffset>
            </wp:positionV>
            <wp:extent cx="7178675" cy="374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9">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 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20320</wp:posOffset>
            </wp:positionV>
            <wp:extent cx="316992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0">
                      <a:extLst>
                        <a:ext uri="{28A0092B-C50C-407E-A947-70E740481C1C}"/>
                      </a:extLst>
                    </a:blip>
                    <a:srcRect/>
                    <a:stretch>
                      <a:fillRect/>
                    </a:stretch>
                  </pic:blipFill>
                  <pic:spPr bwMode="auto">
                    <a:xfrm>
                      <a:off x="0" y="0"/>
                      <a:ext cx="3169920" cy="8255"/>
                    </a:xfrm>
                    <a:prstGeom prst="rect">
                      <a:avLst/>
                    </a:prstGeom>
                    <a:noFill/>
                  </pic:spPr>
                </pic:pic>
              </a:graphicData>
            </a:graphic>
          </wp:anchor>
        </w:drawing>
      </w:r>
    </w:p>
    <w:p>
      <w:pPr>
        <w:spacing w:after="0" w:line="124"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7"/>
          <w:szCs w:val="17"/>
          <w:color w:val="auto"/>
        </w:rPr>
        <w:t>Name:</w:t>
        <w:tab/>
        <w:t>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20320</wp:posOffset>
            </wp:positionV>
            <wp:extent cx="277177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1">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spacing w:after="0" w:line="124"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7"/>
          <w:szCs w:val="17"/>
          <w:color w:val="auto"/>
        </w:rPr>
        <w:t>Title:</w:t>
        <w:tab/>
        <w:t>Treasurer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20320</wp:posOffset>
            </wp:positionV>
            <wp:extent cx="277177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2">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spacing w:after="0" w:line="124"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7"/>
          <w:szCs w:val="17"/>
          <w:color w:val="auto"/>
        </w:rPr>
        <w:t>Date:</w:t>
        <w:tab/>
        <w:t>18-May-2024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20320</wp:posOffset>
            </wp:positionV>
            <wp:extent cx="277177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3">
                      <a:extLst>
                        <a:ext uri="{28A0092B-C50C-407E-A947-70E740481C1C}"/>
                      </a:extLst>
                    </a:blip>
                    <a:srcRect/>
                    <a:stretch>
                      <a:fillRect/>
                    </a:stretch>
                  </pic:blipFill>
                  <pic:spPr bwMode="auto">
                    <a:xfrm>
                      <a:off x="0" y="0"/>
                      <a:ext cx="277177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2">
            <w:col w:w="4520" w:space="720"/>
            <w:col w:w="4599"/>
          </w:cols>
          <w:pgMar w:left="620" w:top="262" w:right="1440" w:bottom="1440" w:gutter="0" w:footer="0" w:header="0"/>
        </w:sectPr>
      </w:pPr>
    </w:p>
    <w:bookmarkStart w:id="532" w:name="page533"/>
    <w:bookmarkEnd w:id="53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EXECUTION VERSION</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CONFIDENTIAL</w:t>
      </w:r>
    </w:p>
    <w:p>
      <w:pPr>
        <w:spacing w:after="0" w:line="200" w:lineRule="exact"/>
        <w:rPr>
          <w:sz w:val="20"/>
          <w:szCs w:val="20"/>
          <w:color w:val="auto"/>
        </w:rPr>
      </w:pP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Tempus Licensed Data</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Order Form</w:t>
      </w:r>
    </w:p>
    <w:p>
      <w:pPr>
        <w:spacing w:after="0" w:line="118" w:lineRule="exact"/>
        <w:rPr>
          <w:sz w:val="20"/>
          <w:szCs w:val="20"/>
          <w:color w:val="auto"/>
        </w:rPr>
      </w:pPr>
    </w:p>
    <w:p>
      <w:pPr>
        <w:ind w:left="8" w:right="120"/>
        <w:spacing w:after="0" w:line="270" w:lineRule="auto"/>
        <w:rPr>
          <w:sz w:val="20"/>
          <w:szCs w:val="20"/>
          <w:color w:val="auto"/>
        </w:rPr>
      </w:pPr>
      <w:r>
        <w:rPr>
          <w:rFonts w:ascii="Times New Roman" w:cs="Times New Roman" w:eastAsia="Times New Roman" w:hAnsi="Times New Roman"/>
          <w:sz w:val="17"/>
          <w:szCs w:val="17"/>
          <w:color w:val="auto"/>
        </w:rPr>
        <w:t xml:space="preserve">This Order Form is made part of and incorporated by reference into that certain Data License Agreement by and between </w:t>
      </w:r>
      <w:r>
        <w:rPr>
          <w:rFonts w:ascii="Times New Roman" w:cs="Times New Roman" w:eastAsia="Times New Roman" w:hAnsi="Times New Roman"/>
          <w:sz w:val="17"/>
          <w:szCs w:val="17"/>
          <w:b w:val="1"/>
          <w:bCs w:val="1"/>
          <w:color w:val="auto"/>
        </w:rPr>
        <w:t>Tempus AI, Inc.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Tempus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Pegasos Corp.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Client</w:t>
      </w:r>
      <w:r>
        <w:rPr>
          <w:rFonts w:ascii="Times New Roman" w:cs="Times New Roman" w:eastAsia="Times New Roman" w:hAnsi="Times New Roman"/>
          <w:sz w:val="17"/>
          <w:szCs w:val="17"/>
          <w:color w:val="auto"/>
        </w:rPr>
        <w:t>”), as amended from time to time. Client would like to license a cohort of Customary De-Identified Data Records or Unrestricted De-Identified Data Records and/or receive certain services from Tempus pursuant to this Order Form and subject to the terms of the Agreement. Capitalized terms that are used but not defined below have the meanings assigned in the Agreement.</w:t>
      </w:r>
    </w:p>
    <w:p>
      <w:pPr>
        <w:spacing w:after="0" w:line="192" w:lineRule="exact"/>
        <w:rPr>
          <w:sz w:val="20"/>
          <w:szCs w:val="20"/>
          <w:color w:val="auto"/>
        </w:rPr>
      </w:pPr>
    </w:p>
    <w:p>
      <w:pPr>
        <w:ind w:left="428" w:hanging="428"/>
        <w:spacing w:after="0"/>
        <w:tabs>
          <w:tab w:leader="none" w:pos="428" w:val="left"/>
        </w:tabs>
        <w:numPr>
          <w:ilvl w:val="0"/>
          <w:numId w:val="2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Licensed Data.</w:t>
      </w:r>
    </w:p>
    <w:p>
      <w:pPr>
        <w:spacing w:after="0" w:line="131" w:lineRule="exact"/>
        <w:rPr>
          <w:rFonts w:ascii="Times New Roman" w:cs="Times New Roman" w:eastAsia="Times New Roman" w:hAnsi="Times New Roman"/>
          <w:sz w:val="17"/>
          <w:szCs w:val="17"/>
          <w:b w:val="1"/>
          <w:bCs w:val="1"/>
          <w:color w:val="auto"/>
        </w:rPr>
      </w:pPr>
    </w:p>
    <w:p>
      <w:pPr>
        <w:ind w:left="948" w:hanging="530"/>
        <w:spacing w:after="0"/>
        <w:tabs>
          <w:tab w:leader="none" w:pos="948"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Licensed Data Description. </w:t>
      </w:r>
      <w:r>
        <w:rPr>
          <w:rFonts w:ascii="Times New Roman" w:cs="Times New Roman" w:eastAsia="Times New Roman" w:hAnsi="Times New Roman"/>
          <w:sz w:val="17"/>
          <w:szCs w:val="17"/>
          <w:color w:val="auto"/>
        </w:rPr>
        <w:t>[***].</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Permitted Purpose</w:t>
      </w:r>
      <w:r>
        <w:rPr>
          <w:rFonts w:ascii="Times New Roman" w:cs="Times New Roman" w:eastAsia="Times New Roman" w:hAnsi="Times New Roman"/>
          <w:sz w:val="17"/>
          <w:szCs w:val="17"/>
          <w:color w:val="auto"/>
        </w:rPr>
        <w:t>. [purpose]</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License Term</w:t>
      </w:r>
      <w:r>
        <w:rPr>
          <w:rFonts w:ascii="Times New Roman" w:cs="Times New Roman" w:eastAsia="Times New Roman" w:hAnsi="Times New Roman"/>
          <w:sz w:val="17"/>
          <w:szCs w:val="17"/>
          <w:color w:val="auto"/>
        </w:rPr>
        <w:t>. [term].</w:t>
      </w:r>
    </w:p>
    <w:p>
      <w:pPr>
        <w:spacing w:after="0" w:line="131" w:lineRule="exact"/>
        <w:rPr>
          <w:rFonts w:ascii="Times New Roman" w:cs="Times New Roman" w:eastAsia="Times New Roman" w:hAnsi="Times New Roman"/>
          <w:sz w:val="17"/>
          <w:szCs w:val="17"/>
          <w:color w:val="auto"/>
        </w:rPr>
      </w:pPr>
    </w:p>
    <w:p>
      <w:pPr>
        <w:ind w:left="948" w:hanging="530"/>
        <w:spacing w:after="0"/>
        <w:tabs>
          <w:tab w:leader="none" w:pos="948"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Delivery Schedule</w:t>
      </w:r>
      <w:r>
        <w:rPr>
          <w:rFonts w:ascii="Times New Roman" w:cs="Times New Roman" w:eastAsia="Times New Roman" w:hAnsi="Times New Roman"/>
          <w:sz w:val="17"/>
          <w:szCs w:val="17"/>
          <w:color w:val="auto"/>
        </w:rPr>
        <w:t>. [schedule].</w:t>
      </w:r>
    </w:p>
    <w:p>
      <w:pPr>
        <w:spacing w:after="0" w:line="131" w:lineRule="exact"/>
        <w:rPr>
          <w:rFonts w:ascii="Times New Roman" w:cs="Times New Roman" w:eastAsia="Times New Roman" w:hAnsi="Times New Roman"/>
          <w:sz w:val="17"/>
          <w:szCs w:val="17"/>
          <w:color w:val="auto"/>
        </w:rPr>
      </w:pPr>
    </w:p>
    <w:p>
      <w:pPr>
        <w:ind w:left="428" w:right="100" w:hanging="428"/>
        <w:spacing w:after="0" w:line="298" w:lineRule="auto"/>
        <w:tabs>
          <w:tab w:leader="none" w:pos="428" w:val="left"/>
        </w:tabs>
        <w:numPr>
          <w:ilvl w:val="0"/>
          <w:numId w:val="2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Services</w:t>
      </w:r>
      <w:r>
        <w:rPr>
          <w:rFonts w:ascii="Times New Roman" w:cs="Times New Roman" w:eastAsia="Times New Roman" w:hAnsi="Times New Roman"/>
          <w:sz w:val="17"/>
          <w:szCs w:val="17"/>
          <w:color w:val="auto"/>
        </w:rPr>
        <w:t>. As part of the Fees set forth below, Tempus will provide [XX] hours of [***]. The Parties will agree in advance on the services Tempus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provide, the authorized number of hours for each service, and the contents of any report Tempus provides at the conclusion of the services.</w:t>
      </w:r>
    </w:p>
    <w:p>
      <w:pPr>
        <w:spacing w:after="0" w:line="50" w:lineRule="exact"/>
        <w:rPr>
          <w:rFonts w:ascii="Times New Roman" w:cs="Times New Roman" w:eastAsia="Times New Roman" w:hAnsi="Times New Roman"/>
          <w:sz w:val="17"/>
          <w:szCs w:val="17"/>
          <w:b w:val="1"/>
          <w:bCs w:val="1"/>
          <w:color w:val="auto"/>
        </w:rPr>
      </w:pPr>
    </w:p>
    <w:p>
      <w:pPr>
        <w:ind w:left="428" w:hanging="428"/>
        <w:spacing w:after="0"/>
        <w:tabs>
          <w:tab w:leader="none" w:pos="428" w:val="left"/>
        </w:tabs>
        <w:numPr>
          <w:ilvl w:val="0"/>
          <w:numId w:val="2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Fees and Expenses. </w:t>
      </w:r>
      <w:r>
        <w:rPr>
          <w:rFonts w:ascii="Times New Roman" w:cs="Times New Roman" w:eastAsia="Times New Roman" w:hAnsi="Times New Roman"/>
          <w:sz w:val="17"/>
          <w:szCs w:val="17"/>
          <w:color w:val="auto"/>
        </w:rPr>
        <w:t>[fees and payment schedule].</w:t>
      </w:r>
    </w:p>
    <w:p>
      <w:pPr>
        <w:spacing w:after="0" w:line="225" w:lineRule="exact"/>
        <w:rPr>
          <w:sz w:val="20"/>
          <w:szCs w:val="20"/>
          <w:color w:val="auto"/>
        </w:rPr>
      </w:pPr>
    </w:p>
    <w:p>
      <w:pPr>
        <w:ind w:left="8" w:right="220"/>
        <w:spacing w:after="0" w:line="295" w:lineRule="auto"/>
        <w:rPr>
          <w:sz w:val="20"/>
          <w:szCs w:val="20"/>
          <w:color w:val="auto"/>
        </w:rPr>
      </w:pPr>
      <w:r>
        <w:rPr>
          <w:rFonts w:ascii="Times New Roman" w:cs="Times New Roman" w:eastAsia="Times New Roman" w:hAnsi="Times New Roman"/>
          <w:sz w:val="17"/>
          <w:szCs w:val="17"/>
          <w:color w:val="auto"/>
        </w:rPr>
        <w:t>In the event of a conflict between this Order Form and the Agreement, this Order Form will supersede the Agreement solely to the extent necessary to resolve the conflict.</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This Order Form is effective as of the later date of signature below (the “</w:t>
      </w:r>
      <w:r>
        <w:rPr>
          <w:rFonts w:ascii="Times New Roman" w:cs="Times New Roman" w:eastAsia="Times New Roman" w:hAnsi="Times New Roman"/>
          <w:sz w:val="17"/>
          <w:szCs w:val="17"/>
          <w:u w:val="single" w:color="auto"/>
          <w:color w:val="auto"/>
        </w:rPr>
        <w:t>Order Form Effective Date</w:t>
      </w:r>
      <w:r>
        <w:rPr>
          <w:rFonts w:ascii="Times New Roman" w:cs="Times New Roman" w:eastAsia="Times New Roman" w:hAnsi="Times New Roman"/>
          <w:sz w:val="17"/>
          <w:szCs w:val="17"/>
          <w:color w:val="auto"/>
        </w:rPr>
        <w:t>”).</w:t>
      </w:r>
    </w:p>
    <w:p>
      <w:pPr>
        <w:spacing w:after="0" w:line="247" w:lineRule="exact"/>
        <w:rPr>
          <w:sz w:val="20"/>
          <w:szCs w:val="20"/>
          <w:color w:val="auto"/>
        </w:rPr>
      </w:pPr>
    </w:p>
    <w:tbl>
      <w:tblPr>
        <w:tblLayout w:type="fixed"/>
        <w:tblInd w:w="8" w:type="dxa"/>
        <w:tblCellMar>
          <w:top w:w="0" w:type="dxa"/>
          <w:left w:w="0" w:type="dxa"/>
          <w:bottom w:w="0" w:type="dxa"/>
          <w:right w:w="0" w:type="dxa"/>
        </w:tblCellMar>
      </w:tblPr>
      <w:tr>
        <w:trPr>
          <w:trHeight w:val="229"/>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Pegasos Corp.</w:t>
            </w:r>
          </w:p>
        </w:tc>
        <w:tc>
          <w:tcPr>
            <w:tcW w:w="68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Tempus AI, Inc.</w:t>
            </w:r>
          </w:p>
        </w:tc>
      </w:tr>
      <w:tr>
        <w:trPr>
          <w:trHeight w:val="418"/>
        </w:trPr>
        <w:tc>
          <w:tcPr>
            <w:tcW w:w="6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r>
        <w:trPr>
          <w:trHeight w:val="320"/>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Ippei Mimura</w:t>
            </w:r>
          </w:p>
        </w:tc>
        <w:tc>
          <w:tcPr>
            <w:tcW w:w="6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360" w:type="dxa"/>
            <w:vAlign w:val="bottom"/>
            <w:tcBorders>
              <w:bottom w:val="single" w:sz="8" w:color="auto"/>
            </w:tcBorders>
          </w:tcPr>
          <w:p>
            <w:pPr>
              <w:spacing w:after="0"/>
              <w:rPr>
                <w:sz w:val="24"/>
                <w:szCs w:val="24"/>
                <w:color w:val="auto"/>
              </w:rPr>
            </w:pPr>
          </w:p>
        </w:tc>
      </w:tr>
      <w:tr>
        <w:trPr>
          <w:trHeight w:val="320"/>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Representative Director</w:t>
            </w:r>
          </w:p>
        </w:tc>
        <w:tc>
          <w:tcPr>
            <w:tcW w:w="6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360" w:type="dxa"/>
            <w:vAlign w:val="bottom"/>
            <w:tcBorders>
              <w:bottom w:val="single" w:sz="8" w:color="auto"/>
            </w:tcBorders>
          </w:tcPr>
          <w:p>
            <w:pPr>
              <w:spacing w:after="0"/>
              <w:rPr>
                <w:sz w:val="24"/>
                <w:szCs w:val="24"/>
                <w:color w:val="auto"/>
              </w:rPr>
            </w:pPr>
          </w:p>
        </w:tc>
      </w:tr>
      <w:tr>
        <w:trPr>
          <w:trHeight w:val="320"/>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3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0668"/>
          </w:cols>
          <w:pgMar w:left="612" w:top="263" w:right="619" w:bottom="1440" w:gutter="0" w:footer="0" w:header="0"/>
        </w:sectPr>
      </w:pPr>
    </w:p>
    <w:bookmarkStart w:id="533" w:name="page534"/>
    <w:bookmarkEnd w:id="533"/>
    <w:p>
      <w:pPr>
        <w:ind w:left="9660"/>
        <w:spacing w:after="0"/>
        <w:rPr>
          <w:sz w:val="20"/>
          <w:szCs w:val="20"/>
          <w:color w:val="auto"/>
        </w:rPr>
      </w:pPr>
      <w:r>
        <w:rPr>
          <w:rFonts w:ascii="Times New Roman" w:cs="Times New Roman" w:eastAsia="Times New Roman" w:hAnsi="Times New Roman"/>
          <w:sz w:val="17"/>
          <w:szCs w:val="17"/>
          <w:b w:val="1"/>
          <w:bCs w:val="1"/>
          <w:color w:val="auto"/>
        </w:rPr>
        <w:t>Exhibit 10.29</w:t>
      </w:r>
    </w:p>
    <w:p>
      <w:pPr>
        <w:spacing w:after="0" w:line="223"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7"/>
          <w:szCs w:val="17"/>
          <w:b w:val="1"/>
          <w:bCs w:val="1"/>
          <w:color w:val="auto"/>
        </w:rPr>
        <w:t>CERTAIN CONFIDENTIAL INFORMATION CONTAINED IN THIS DOCUMENT, MARKED BY [***], HAS BEEN OMITTED BECAUSE TEMPUS AI, INC. HAS DETERMINED THE INFORMATION (I) IS NOT MATERIAL AND (II) WOULD LIKELY CAUSE COMPETITIVE HARM TO TEMPUS AI, INC. IF PUBLICLY DISCLOSED.</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INTELLECTUAL PROPERTY LICENSE AGREEMENT</w:t>
      </w:r>
    </w:p>
    <w:p>
      <w:pPr>
        <w:spacing w:after="0" w:line="223" w:lineRule="exact"/>
        <w:rPr>
          <w:sz w:val="20"/>
          <w:szCs w:val="20"/>
          <w:color w:val="auto"/>
        </w:rPr>
      </w:pPr>
    </w:p>
    <w:p>
      <w:pPr>
        <w:ind w:right="80" w:firstLine="426"/>
        <w:spacing w:after="0" w:line="270"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4"/>
          <w:szCs w:val="14"/>
          <w:b w:val="1"/>
          <w:bCs w:val="1"/>
          <w:color w:val="auto"/>
        </w:rPr>
        <w:t>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is made and entered into as of May 18, 2024, by and between </w:t>
      </w:r>
      <w:r>
        <w:rPr>
          <w:rFonts w:ascii="Times New Roman" w:cs="Times New Roman" w:eastAsia="Times New Roman" w:hAnsi="Times New Roman"/>
          <w:sz w:val="17"/>
          <w:szCs w:val="17"/>
          <w:b w:val="1"/>
          <w:bCs w:val="1"/>
          <w:color w:val="auto"/>
        </w:rPr>
        <w:t>Pegasos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Corp.</w:t>
      </w:r>
      <w:r>
        <w:rPr>
          <w:rFonts w:ascii="Times New Roman" w:cs="Times New Roman" w:eastAsia="Times New Roman" w:hAnsi="Times New Roman"/>
          <w:sz w:val="17"/>
          <w:szCs w:val="17"/>
          <w:color w:val="auto"/>
        </w:rPr>
        <w:t>, organized and existing under the laws of Japan (“</w:t>
      </w:r>
      <w:r>
        <w:rPr>
          <w:rFonts w:ascii="Times New Roman" w:cs="Times New Roman" w:eastAsia="Times New Roman" w:hAnsi="Times New Roman"/>
          <w:sz w:val="17"/>
          <w:szCs w:val="17"/>
          <w:b w:val="1"/>
          <w:bCs w:val="1"/>
          <w:color w:val="auto"/>
        </w:rPr>
        <w:t>KK</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Tempus AI, Inc.</w:t>
      </w:r>
      <w:r>
        <w:rPr>
          <w:rFonts w:ascii="Times New Roman" w:cs="Times New Roman" w:eastAsia="Times New Roman" w:hAnsi="Times New Roman"/>
          <w:sz w:val="17"/>
          <w:szCs w:val="17"/>
          <w:color w:val="auto"/>
        </w:rPr>
        <w:t>, a corporation organized and existing under the laws of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United States with a principal place of business at 600 West Chicago Avenue, Suite 510 Chicago, Illinois 60654 (“</w:t>
      </w:r>
      <w:r>
        <w:rPr>
          <w:rFonts w:ascii="Times New Roman" w:cs="Times New Roman" w:eastAsia="Times New Roman" w:hAnsi="Times New Roman"/>
          <w:sz w:val="17"/>
          <w:szCs w:val="17"/>
          <w:b w:val="1"/>
          <w:bCs w:val="1"/>
          <w:color w:val="auto"/>
        </w:rPr>
        <w:t>Tempus</w:t>
      </w:r>
      <w:r>
        <w:rPr>
          <w:rFonts w:ascii="Times New Roman" w:cs="Times New Roman" w:eastAsia="Times New Roman" w:hAnsi="Times New Roman"/>
          <w:sz w:val="17"/>
          <w:szCs w:val="17"/>
          <w:color w:val="auto"/>
        </w:rPr>
        <w:t>”). KK and Tempus are sometimes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4"/>
          <w:szCs w:val="14"/>
          <w:b w:val="1"/>
          <w:bCs w:val="1"/>
          <w:color w:val="auto"/>
        </w:rPr>
        <w:t>ACKGROUND</w:t>
      </w:r>
    </w:p>
    <w:p>
      <w:pPr>
        <w:spacing w:after="0" w:line="223"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concurrent with this Agreement, Softbank Group Corp. (“</w:t>
      </w:r>
      <w:r>
        <w:rPr>
          <w:rFonts w:ascii="Times New Roman" w:cs="Times New Roman" w:eastAsia="Times New Roman" w:hAnsi="Times New Roman"/>
          <w:sz w:val="17"/>
          <w:szCs w:val="17"/>
          <w:b w:val="1"/>
          <w:bCs w:val="1"/>
          <w:color w:val="auto"/>
        </w:rPr>
        <w:t>SBG</w:t>
      </w:r>
      <w:r>
        <w:rPr>
          <w:rFonts w:ascii="Times New Roman" w:cs="Times New Roman" w:eastAsia="Times New Roman" w:hAnsi="Times New Roman"/>
          <w:sz w:val="17"/>
          <w:szCs w:val="17"/>
          <w:color w:val="auto"/>
        </w:rPr>
        <w:t>”) and Tempus are entering into that certain Joint Venture Agreement dated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even date herewith (the “</w:t>
      </w:r>
      <w:r>
        <w:rPr>
          <w:rFonts w:ascii="Times New Roman" w:cs="Times New Roman" w:eastAsia="Times New Roman" w:hAnsi="Times New Roman"/>
          <w:sz w:val="17"/>
          <w:szCs w:val="17"/>
          <w:b w:val="1"/>
          <w:bCs w:val="1"/>
          <w:color w:val="auto"/>
        </w:rPr>
        <w:t>JVA</w:t>
      </w:r>
      <w:r>
        <w:rPr>
          <w:rFonts w:ascii="Times New Roman" w:cs="Times New Roman" w:eastAsia="Times New Roman" w:hAnsi="Times New Roman"/>
          <w:sz w:val="17"/>
          <w:szCs w:val="17"/>
          <w:color w:val="auto"/>
        </w:rPr>
        <w:t>”) to organize and form KK to conduct the Business (as defined in the JVA) solely for and within the KK Territory (as defined below) and within the Field (as defined below) (the “</w:t>
      </w:r>
      <w:r>
        <w:rPr>
          <w:rFonts w:ascii="Times New Roman" w:cs="Times New Roman" w:eastAsia="Times New Roman" w:hAnsi="Times New Roman"/>
          <w:sz w:val="17"/>
          <w:szCs w:val="17"/>
          <w:b w:val="1"/>
          <w:bCs w:val="1"/>
          <w:color w:val="auto"/>
        </w:rPr>
        <w:t>Licensed Business</w:t>
      </w:r>
      <w:r>
        <w:rPr>
          <w:rFonts w:ascii="Times New Roman" w:cs="Times New Roman" w:eastAsia="Times New Roman" w:hAnsi="Times New Roman"/>
          <w:sz w:val="17"/>
          <w:szCs w:val="17"/>
          <w:color w:val="auto"/>
        </w:rPr>
        <w:t>”); and</w:t>
      </w:r>
    </w:p>
    <w:p>
      <w:pPr>
        <w:spacing w:after="0" w:line="16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to enable KK to operate and conduct the Licensed Business, KK desires to receive from Tempus, and Tempus desires to provide to KK,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certain licenses under the Tempus Technology (as defined below) and certain services (as detailed further in this Agreement), each pursuant to the terms of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the Parties, for consideration as provided herein, agree as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05"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Capitalized terms used in this Agreement, whether used in the singular or plural, shall have the meanings set forth below, unless otherwise specifically indicated herein.</w:t>
      </w:r>
    </w:p>
    <w:p>
      <w:pPr>
        <w:spacing w:after="0" w:line="14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xml:space="preserve">” means any entity that, directly or indirectly (through one or more intermediaries) controls, is controlled by, or is under common control with a Party. For purposes of this </w:t>
      </w:r>
      <w:r>
        <w:rPr>
          <w:rFonts w:ascii="Times New Roman" w:cs="Times New Roman" w:eastAsia="Times New Roman" w:hAnsi="Times New Roman"/>
          <w:sz w:val="17"/>
          <w:szCs w:val="17"/>
          <w:u w:val="single" w:color="auto"/>
          <w:color w:val="auto"/>
        </w:rPr>
        <w:t>Section 1.1 (“Affiliate”)</w:t>
      </w:r>
      <w:r>
        <w:rPr>
          <w:rFonts w:ascii="Times New Roman" w:cs="Times New Roman" w:eastAsia="Times New Roman" w:hAnsi="Times New Roman"/>
          <w:sz w:val="17"/>
          <w:szCs w:val="17"/>
          <w:color w:val="auto"/>
        </w:rPr>
        <w:t>, “control” means (a) the direct or indirect ownership of greater than fifty percent (50%) of the voting stock or other voting interests or interest in the profits of the Party or (b) the ability to otherwise control or direct the decisions of board of directors or equivalent governing body thereof. For purposes of this Agreement, KK shall not be considered an Affiliate of Tempus (or any of its subsidiaries) or an Affiliate of SBG (or any of its subsidiaries).</w:t>
      </w:r>
    </w:p>
    <w:p>
      <w:pPr>
        <w:sectPr>
          <w:pgSz w:w="11900" w:h="16838" w:orient="portrait"/>
          <w:cols w:equalWidth="0" w:num="1">
            <w:col w:w="10660"/>
          </w:cols>
          <w:pgMar w:left="620" w:top="118" w:right="619" w:bottom="1440" w:gutter="0" w:footer="0" w:header="0"/>
        </w:sectPr>
      </w:pPr>
    </w:p>
    <w:bookmarkStart w:id="534" w:name="page535"/>
    <w:bookmarkEnd w:id="534"/>
    <w:p>
      <w:pPr>
        <w:ind w:right="1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1.2  “</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means any federal, state, local, national, and supra-national laws, statutes, rules, and/or regulations, including any rules, regulations, guidance, guidelines, or requirements of Regulatory Authorities, national securities exchanges, or securities listing organizations, that may be in effect from time to time during the Term and apply to a particular activity hereunder.</w:t>
      </w:r>
    </w:p>
    <w:p>
      <w:pPr>
        <w:spacing w:after="0" w:line="16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 day other than Saturday, Sunday or any day on which banks located in Chicago, U.S., or Tokyo, Japan are authorized or obligated to close. Whenever this Agreement refers to a number of days, such number shall refer to calendar days unless Business Days are specified.</w:t>
      </w:r>
    </w:p>
    <w:p>
      <w:pPr>
        <w:spacing w:after="0" w:line="14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b w:val="1"/>
          <w:bCs w:val="1"/>
          <w:color w:val="auto"/>
        </w:rPr>
        <w:t>Calendar Quarter</w:t>
      </w:r>
      <w:r>
        <w:rPr>
          <w:rFonts w:ascii="Times New Roman" w:cs="Times New Roman" w:eastAsia="Times New Roman" w:hAnsi="Times New Roman"/>
          <w:sz w:val="17"/>
          <w:szCs w:val="17"/>
          <w:color w:val="auto"/>
        </w:rPr>
        <w:t>” means each successive period of three (3) consecutive calendar months ending on March 31, June 30, September 30, or December 31; provided, however that (a) the first Calendar Quarter of the Term shall extend from the Effective Date to the first to occur of March 31, June 30, September 30, or December 31 of the calendar quarter in which the Effective Date falls; and (b) the last Calendar Quarter of the Term shall end upon the expiration or termination of this Agreement.</w:t>
      </w:r>
    </w:p>
    <w:p>
      <w:pPr>
        <w:spacing w:after="0" w:line="16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b w:val="1"/>
          <w:bCs w:val="1"/>
          <w:color w:val="auto"/>
        </w:rPr>
        <w:t>Calendar Year</w:t>
      </w:r>
      <w:r>
        <w:rPr>
          <w:rFonts w:ascii="Times New Roman" w:cs="Times New Roman" w:eastAsia="Times New Roman" w:hAnsi="Times New Roman"/>
          <w:sz w:val="17"/>
          <w:szCs w:val="17"/>
          <w:color w:val="auto"/>
        </w:rPr>
        <w:t>” means each successive period of twelve (12) calendar months commencing on January 1 and ending on December 31; provided however, that (a) the first Calendar Year of the Term shall extend from the Effective Date to the first December 31 of the calendar year in which the Effective Date falls; and (b) the last Calendar Year of the Term shall end upon the expiration or termination of this Agreement.</w:t>
      </w:r>
    </w:p>
    <w:p>
      <w:pPr>
        <w:spacing w:after="0" w:line="16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b w:val="1"/>
          <w:bCs w:val="1"/>
          <w:color w:val="auto"/>
        </w:rPr>
        <w:t>Commercially Reasonable Efforts</w:t>
      </w:r>
      <w:r>
        <w:rPr>
          <w:rFonts w:ascii="Times New Roman" w:cs="Times New Roman" w:eastAsia="Times New Roman" w:hAnsi="Times New Roman"/>
          <w:sz w:val="17"/>
          <w:szCs w:val="17"/>
          <w:color w:val="auto"/>
        </w:rPr>
        <w:t>” means in relation to an obligation of a Party under this Agreement, the level of efforts and resources consistent with the efforts and resources that an entity similarly situated to such Party, including with similar size and resources, for a similar obligation or task in light of the relative value and importance associated with the performance of such obligations or tasks in the respective Territory.</w:t>
      </w:r>
    </w:p>
    <w:p>
      <w:pPr>
        <w:spacing w:after="0" w:line="16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xml:space="preserve">” means proprietary information (of whatever kind and in whatever form or medium, including copies thereof), tangible materials or other deliverables that are identified as “confidential” or that should be considered confidential given the nature and circumstances of disclosure by a reasonable person working in the industry, and disclosed or made available by or on behalf of a Party in connection with this Agreement, whether prior to or during the Term and whether disclosed orally, electronically, by observation or in writing, but excluding such information set forth in </w:t>
      </w:r>
      <w:r>
        <w:rPr>
          <w:rFonts w:ascii="Times New Roman" w:cs="Times New Roman" w:eastAsia="Times New Roman" w:hAnsi="Times New Roman"/>
          <w:sz w:val="17"/>
          <w:szCs w:val="17"/>
          <w:u w:val="single" w:color="auto"/>
          <w:color w:val="auto"/>
        </w:rPr>
        <w:t>Section 6.2 (Exclusions Regarding Confidential Information)</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6.2 (Exclusions Regarding Confidential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the Tempus Technology is Confidential Information of Tempus. [***].</w:t>
      </w:r>
    </w:p>
    <w:p>
      <w:pPr>
        <w:spacing w:after="0" w:line="17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xml:space="preserve">” means, subject to </w:t>
      </w:r>
      <w:r>
        <w:rPr>
          <w:rFonts w:ascii="Times New Roman" w:cs="Times New Roman" w:eastAsia="Times New Roman" w:hAnsi="Times New Roman"/>
          <w:sz w:val="17"/>
          <w:szCs w:val="17"/>
          <w:u w:val="single" w:color="auto"/>
          <w:color w:val="auto"/>
        </w:rPr>
        <w:t>Section 12.5.2 (Assignment)</w:t>
      </w:r>
      <w:r>
        <w:rPr>
          <w:rFonts w:ascii="Times New Roman" w:cs="Times New Roman" w:eastAsia="Times New Roman" w:hAnsi="Times New Roman"/>
          <w:sz w:val="17"/>
          <w:szCs w:val="17"/>
          <w:color w:val="auto"/>
        </w:rPr>
        <w:t>, with respect to any intellectual property (including any Patent, Know-How, or other data, information or materials), possession of the ability by a Party (whether by sole or joint ownership, license or otherwise, other than pursuant to this Agreement) to grant a license, sublicense, access or other right in, to or under such intellectual property (collectively, “</w:t>
      </w:r>
      <w:r>
        <w:rPr>
          <w:rFonts w:ascii="Times New Roman" w:cs="Times New Roman" w:eastAsia="Times New Roman" w:hAnsi="Times New Roman"/>
          <w:sz w:val="17"/>
          <w:szCs w:val="17"/>
          <w:b w:val="1"/>
          <w:bCs w:val="1"/>
          <w:color w:val="auto"/>
        </w:rPr>
        <w:t>Sublicense</w:t>
      </w:r>
      <w:r>
        <w:rPr>
          <w:rFonts w:ascii="Times New Roman" w:cs="Times New Roman" w:eastAsia="Times New Roman" w:hAnsi="Times New Roman"/>
          <w:sz w:val="17"/>
          <w:szCs w:val="17"/>
          <w:color w:val="auto"/>
        </w:rPr>
        <w:t>”), without violating the terms of any agreement with a Third Party, violating any Applicable Law, or resulting in a payment obligation to any Third Party (other than current or former employees or contractors of such Party or its Affiliates); unless the Party obtaining such Sublicense agrees to reimburse the other Party for such payment made to such unaffiliated Third Party and agrees in writing to comply with the applicable terms required for such Sublicense, in a form acceptable to the Party granting such Sublicense.</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00"/>
          </w:cols>
          <w:pgMar w:left="620" w:top="263" w:right="67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1.9 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the Closing Date (as defined in the JVA).</w:t>
      </w:r>
    </w:p>
    <w:p>
      <w:pPr>
        <w:spacing w:after="0" w:line="223"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7"/>
          <w:szCs w:val="17"/>
          <w:color w:val="auto"/>
        </w:rPr>
        <w:t>1.10  “</w:t>
      </w:r>
      <w:r>
        <w:rPr>
          <w:rFonts w:ascii="Times New Roman" w:cs="Times New Roman" w:eastAsia="Times New Roman" w:hAnsi="Times New Roman"/>
          <w:sz w:val="17"/>
          <w:szCs w:val="17"/>
          <w:b w:val="1"/>
          <w:bCs w:val="1"/>
          <w:color w:val="auto"/>
        </w:rPr>
        <w:t>Exchange Rate</w:t>
      </w:r>
      <w:r>
        <w:rPr>
          <w:rFonts w:ascii="Times New Roman" w:cs="Times New Roman" w:eastAsia="Times New Roman" w:hAnsi="Times New Roman"/>
          <w:sz w:val="17"/>
          <w:szCs w:val="17"/>
          <w:color w:val="auto"/>
        </w:rPr>
        <w:t>” means, for any payment under this Agreement the exchange rate published by Mizuho Bank, Ltd. under the heading “TTS” at https://www.mizuhobank.co.jp/market/quote.html as of the applicable payment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b w:val="1"/>
          <w:bCs w:val="1"/>
          <w:color w:val="auto"/>
        </w:rPr>
        <w:t>Executive Officers</w:t>
      </w:r>
      <w:r>
        <w:rPr>
          <w:rFonts w:ascii="Times New Roman" w:cs="Times New Roman" w:eastAsia="Times New Roman" w:hAnsi="Times New Roman"/>
          <w:sz w:val="17"/>
          <w:szCs w:val="17"/>
          <w:color w:val="auto"/>
        </w:rPr>
        <w:t>” means each Party’s respective Chief Executive Officer or his or her designee.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1.12   “</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U.S. Food and Drug Administration.</w:t>
      </w:r>
    </w:p>
    <w:p>
      <w:pPr>
        <w:spacing w:after="0" w:line="223"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7"/>
          <w:szCs w:val="17"/>
          <w:color w:val="auto"/>
        </w:rPr>
        <w:t>1.13  “</w:t>
      </w:r>
      <w:r>
        <w:rPr>
          <w:rFonts w:ascii="Times New Roman" w:cs="Times New Roman" w:eastAsia="Times New Roman" w:hAnsi="Times New Roman"/>
          <w:sz w:val="17"/>
          <w:szCs w:val="17"/>
          <w:b w:val="1"/>
          <w:bCs w:val="1"/>
          <w:color w:val="auto"/>
        </w:rPr>
        <w:t>Field</w:t>
      </w:r>
      <w:r>
        <w:rPr>
          <w:rFonts w:ascii="Times New Roman" w:cs="Times New Roman" w:eastAsia="Times New Roman" w:hAnsi="Times New Roman"/>
          <w:sz w:val="17"/>
          <w:szCs w:val="17"/>
          <w:color w:val="auto"/>
        </w:rPr>
        <w:t>” means the diagnosis, prevention, treatment, prophylaxis, management or cure of disease or disability in humans or other healthcare-related initiatives, including the development, commercialization and sale of data and other AI-based products and services related to the foregoing.</w:t>
      </w:r>
    </w:p>
    <w:p>
      <w:pPr>
        <w:spacing w:after="0" w:line="142" w:lineRule="exact"/>
        <w:rPr>
          <w:sz w:val="20"/>
          <w:szCs w:val="20"/>
          <w:color w:val="auto"/>
        </w:rPr>
      </w:pPr>
    </w:p>
    <w:p>
      <w:pPr>
        <w:jc w:val="both"/>
        <w:ind w:right="80"/>
        <w:spacing w:after="0" w:line="298" w:lineRule="auto"/>
        <w:rPr>
          <w:sz w:val="20"/>
          <w:szCs w:val="20"/>
          <w:color w:val="auto"/>
        </w:rPr>
      </w:pPr>
      <w:r>
        <w:rPr>
          <w:rFonts w:ascii="Times New Roman" w:cs="Times New Roman" w:eastAsia="Times New Roman" w:hAnsi="Times New Roman"/>
          <w:sz w:val="17"/>
          <w:szCs w:val="17"/>
          <w:color w:val="auto"/>
        </w:rPr>
        <w:t>1.14  “</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means any court, commission, authority, department, ministry, official or other instrumentality of, or being vested with public authority under any law of, any country, region, state or local authority or any political subdivision thereof, or any association of countries.</w:t>
      </w:r>
    </w:p>
    <w:p>
      <w:pPr>
        <w:spacing w:after="0" w:line="142"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7"/>
          <w:szCs w:val="17"/>
          <w:color w:val="auto"/>
        </w:rPr>
        <w:t>1.15  “</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inventions, discoveries, Patents, patent applications, trademarks, trademark applications, designs, Know-How, copyrights, and trade secrets.</w:t>
      </w:r>
    </w:p>
    <w:p>
      <w:pPr>
        <w:spacing w:after="0" w:line="142" w:lineRule="exact"/>
        <w:rPr>
          <w:sz w:val="20"/>
          <w:szCs w:val="20"/>
          <w:color w:val="auto"/>
        </w:rPr>
      </w:pPr>
    </w:p>
    <w:p>
      <w:pPr>
        <w:ind w:right="740"/>
        <w:spacing w:after="0" w:line="298" w:lineRule="auto"/>
        <w:rPr>
          <w:sz w:val="20"/>
          <w:szCs w:val="20"/>
          <w:color w:val="auto"/>
        </w:rPr>
      </w:pPr>
      <w:r>
        <w:rPr>
          <w:rFonts w:ascii="Times New Roman" w:cs="Times New Roman" w:eastAsia="Times New Roman" w:hAnsi="Times New Roman"/>
          <w:sz w:val="17"/>
          <w:szCs w:val="17"/>
          <w:color w:val="auto"/>
        </w:rPr>
        <w:t>1.16  “</w:t>
      </w:r>
      <w:r>
        <w:rPr>
          <w:rFonts w:ascii="Times New Roman" w:cs="Times New Roman" w:eastAsia="Times New Roman" w:hAnsi="Times New Roman"/>
          <w:sz w:val="17"/>
          <w:szCs w:val="17"/>
          <w:b w:val="1"/>
          <w:bCs w:val="1"/>
          <w:color w:val="auto"/>
        </w:rPr>
        <w:t>Knowledge</w:t>
      </w:r>
      <w:r>
        <w:rPr>
          <w:rFonts w:ascii="Times New Roman" w:cs="Times New Roman" w:eastAsia="Times New Roman" w:hAnsi="Times New Roman"/>
          <w:sz w:val="17"/>
          <w:szCs w:val="17"/>
          <w:color w:val="auto"/>
        </w:rPr>
        <w:t>” means, when referring to the “knowledge” of Tempus, or similar phrase or qualification based on knowledge, the actual knowledge, after reasonable inquiry, of Tempus’s [***].</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1.17   “</w:t>
      </w:r>
      <w:r>
        <w:rPr>
          <w:rFonts w:ascii="Times New Roman" w:cs="Times New Roman" w:eastAsia="Times New Roman" w:hAnsi="Times New Roman"/>
          <w:sz w:val="17"/>
          <w:szCs w:val="17"/>
          <w:b w:val="1"/>
          <w:bCs w:val="1"/>
          <w:color w:val="auto"/>
        </w:rPr>
        <w:t>Know-How</w:t>
      </w:r>
      <w:r>
        <w:rPr>
          <w:rFonts w:ascii="Times New Roman" w:cs="Times New Roman" w:eastAsia="Times New Roman" w:hAnsi="Times New Roman"/>
          <w:sz w:val="17"/>
          <w:szCs w:val="17"/>
          <w:color w:val="auto"/>
        </w:rPr>
        <w:t>” means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1.18   “</w:t>
      </w:r>
      <w:r>
        <w:rPr>
          <w:rFonts w:ascii="Times New Roman" w:cs="Times New Roman" w:eastAsia="Times New Roman" w:hAnsi="Times New Roman"/>
          <w:sz w:val="17"/>
          <w:szCs w:val="17"/>
          <w:b w:val="1"/>
          <w:bCs w:val="1"/>
          <w:color w:val="auto"/>
        </w:rPr>
        <w:t>KK Know-How</w:t>
      </w:r>
      <w:r>
        <w:rPr>
          <w:rFonts w:ascii="Times New Roman" w:cs="Times New Roman" w:eastAsia="Times New Roman" w:hAnsi="Times New Roman"/>
          <w:sz w:val="17"/>
          <w:szCs w:val="17"/>
          <w:color w:val="auto"/>
        </w:rPr>
        <w:t>” means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1.19   “</w:t>
      </w:r>
      <w:r>
        <w:rPr>
          <w:rFonts w:ascii="Times New Roman" w:cs="Times New Roman" w:eastAsia="Times New Roman" w:hAnsi="Times New Roman"/>
          <w:sz w:val="17"/>
          <w:szCs w:val="17"/>
          <w:b w:val="1"/>
          <w:bCs w:val="1"/>
          <w:color w:val="auto"/>
        </w:rPr>
        <w:t>KK Patents</w:t>
      </w:r>
      <w:r>
        <w:rPr>
          <w:rFonts w:ascii="Times New Roman" w:cs="Times New Roman" w:eastAsia="Times New Roman" w:hAnsi="Times New Roman"/>
          <w:sz w:val="17"/>
          <w:szCs w:val="17"/>
          <w:color w:val="auto"/>
        </w:rPr>
        <w:t>” means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1.20   “</w:t>
      </w:r>
      <w:r>
        <w:rPr>
          <w:rFonts w:ascii="Times New Roman" w:cs="Times New Roman" w:eastAsia="Times New Roman" w:hAnsi="Times New Roman"/>
          <w:sz w:val="17"/>
          <w:szCs w:val="17"/>
          <w:b w:val="1"/>
          <w:bCs w:val="1"/>
          <w:color w:val="auto"/>
        </w:rPr>
        <w:t>KK Technology</w:t>
      </w:r>
      <w:r>
        <w:rPr>
          <w:rFonts w:ascii="Times New Roman" w:cs="Times New Roman" w:eastAsia="Times New Roman" w:hAnsi="Times New Roman"/>
          <w:sz w:val="17"/>
          <w:szCs w:val="17"/>
          <w:color w:val="auto"/>
        </w:rPr>
        <w:t>” means KK Patents and KK Know-How.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1.21   “</w:t>
      </w:r>
      <w:r>
        <w:rPr>
          <w:rFonts w:ascii="Times New Roman" w:cs="Times New Roman" w:eastAsia="Times New Roman" w:hAnsi="Times New Roman"/>
          <w:sz w:val="17"/>
          <w:szCs w:val="17"/>
          <w:b w:val="1"/>
          <w:bCs w:val="1"/>
          <w:color w:val="auto"/>
        </w:rPr>
        <w:t>KK Territory</w:t>
      </w:r>
      <w:r>
        <w:rPr>
          <w:rFonts w:ascii="Times New Roman" w:cs="Times New Roman" w:eastAsia="Times New Roman" w:hAnsi="Times New Roman"/>
          <w:sz w:val="17"/>
          <w:szCs w:val="17"/>
          <w:color w:val="auto"/>
        </w:rPr>
        <w:t>” means Japan.</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1.22  “</w:t>
      </w:r>
      <w:r>
        <w:rPr>
          <w:rFonts w:ascii="Times New Roman" w:cs="Times New Roman" w:eastAsia="Times New Roman" w:hAnsi="Times New Roman"/>
          <w:sz w:val="17"/>
          <w:szCs w:val="17"/>
          <w:b w:val="1"/>
          <w:bCs w:val="1"/>
          <w:color w:val="auto"/>
        </w:rPr>
        <w:t>Patent(s)</w:t>
      </w:r>
      <w:r>
        <w:rPr>
          <w:rFonts w:ascii="Times New Roman" w:cs="Times New Roman" w:eastAsia="Times New Roman" w:hAnsi="Times New Roman"/>
          <w:sz w:val="17"/>
          <w:szCs w:val="17"/>
          <w:color w:val="auto"/>
        </w:rPr>
        <w:t>” means any and all patents and patent applications, including any patents issuing therefrom or claiming priority thereto, anywhere in the world, together with any extensions (including patent term extensions and supplementary protection certificates) and renewals thereof, reissues, re-examinations, substitutions, confirmation patents, registration patents, invention certificates, patents of addition, renewals, divisionals, continuations, and continuations-in-part of any of the foregoing.</w:t>
      </w:r>
    </w:p>
    <w:p>
      <w:pPr>
        <w:spacing w:after="0" w:line="1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80"/>
          </w:cols>
          <w:pgMar w:left="620" w:top="263" w:right="699" w:bottom="1440" w:gutter="0" w:footer="0" w:header="0"/>
        </w:sectPr>
      </w:pPr>
    </w:p>
    <w:bookmarkStart w:id="536" w:name="page537"/>
    <w:bookmarkEnd w:id="536"/>
    <w:p>
      <w:pPr>
        <w:ind w:right="2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7">
                      <a:extLst>
                        <a:ext uri="{28A0092B-C50C-407E-A947-70E740481C1C}"/>
                      </a:extLst>
                    </a:blip>
                    <a:srcRect/>
                    <a:stretch>
                      <a:fillRect/>
                    </a:stretch>
                  </pic:blipFill>
                  <pic:spPr bwMode="auto">
                    <a:xfrm>
                      <a:off x="0" y="0"/>
                      <a:ext cx="7178675" cy="36830"/>
                    </a:xfrm>
                    <a:prstGeom prst="rect">
                      <a:avLst/>
                    </a:prstGeom>
                    <a:noFill/>
                  </pic:spPr>
                </pic:pic>
              </a:graphicData>
            </a:graphic>
          </wp:anchor>
        </w:drawing>
        <w:t>1.23 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association, partnership (general or limited), joint venture, trust, estate, limited liability company, limited liability partnership, unincorporated organization, government (or any agency or political subdivision thereof) or other legal entity or organization.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1.24   “</w:t>
      </w:r>
      <w:r>
        <w:rPr>
          <w:rFonts w:ascii="Times New Roman" w:cs="Times New Roman" w:eastAsia="Times New Roman" w:hAnsi="Times New Roman"/>
          <w:sz w:val="17"/>
          <w:szCs w:val="17"/>
          <w:b w:val="1"/>
          <w:bCs w:val="1"/>
          <w:color w:val="auto"/>
        </w:rPr>
        <w:t>PMDA</w:t>
      </w:r>
      <w:r>
        <w:rPr>
          <w:rFonts w:ascii="Times New Roman" w:cs="Times New Roman" w:eastAsia="Times New Roman" w:hAnsi="Times New Roman"/>
          <w:sz w:val="17"/>
          <w:szCs w:val="17"/>
          <w:color w:val="auto"/>
        </w:rPr>
        <w:t>” means the Japanese Pharmaceuticals and Medical Devices Agency, or any successor agency thereto.</w:t>
      </w:r>
    </w:p>
    <w:p>
      <w:pPr>
        <w:spacing w:after="0" w:line="223"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color w:val="auto"/>
        </w:rPr>
        <w:t>1.25  “</w:t>
      </w:r>
      <w:r>
        <w:rPr>
          <w:rFonts w:ascii="Times New Roman" w:cs="Times New Roman" w:eastAsia="Times New Roman" w:hAnsi="Times New Roman"/>
          <w:sz w:val="17"/>
          <w:szCs w:val="17"/>
          <w:b w:val="1"/>
          <w:bCs w:val="1"/>
          <w:color w:val="auto"/>
        </w:rPr>
        <w:t>Pricing Approval</w:t>
      </w:r>
      <w:r>
        <w:rPr>
          <w:rFonts w:ascii="Times New Roman" w:cs="Times New Roman" w:eastAsia="Times New Roman" w:hAnsi="Times New Roman"/>
          <w:sz w:val="17"/>
          <w:szCs w:val="17"/>
          <w:color w:val="auto"/>
        </w:rPr>
        <w:t>” means the approval, agreement, determination or governmental decision establishing the list price for a product to be paid by the applicable insurance provider and the individual end-consumer or patient.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1.26   “</w:t>
      </w:r>
      <w:r>
        <w:rPr>
          <w:rFonts w:ascii="Times New Roman" w:cs="Times New Roman" w:eastAsia="Times New Roman" w:hAnsi="Times New Roman"/>
          <w:sz w:val="17"/>
          <w:szCs w:val="17"/>
          <w:b w:val="1"/>
          <w:bCs w:val="1"/>
          <w:color w:val="auto"/>
        </w:rPr>
        <w:t>Prime Rate</w:t>
      </w:r>
      <w:r>
        <w:rPr>
          <w:rFonts w:ascii="Times New Roman" w:cs="Times New Roman" w:eastAsia="Times New Roman" w:hAnsi="Times New Roman"/>
          <w:sz w:val="17"/>
          <w:szCs w:val="17"/>
          <w:color w:val="auto"/>
        </w:rPr>
        <w:t>” means the rate published in the print edition of the Wall Street Journal on that date on which such rate applies.</w:t>
      </w:r>
    </w:p>
    <w:p>
      <w:pPr>
        <w:spacing w:after="0" w:line="223"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7"/>
          <w:szCs w:val="17"/>
          <w:color w:val="auto"/>
        </w:rPr>
        <w:t>1.27  “</w:t>
      </w:r>
      <w:r>
        <w:rPr>
          <w:rFonts w:ascii="Times New Roman" w:cs="Times New Roman" w:eastAsia="Times New Roman" w:hAnsi="Times New Roman"/>
          <w:sz w:val="17"/>
          <w:szCs w:val="17"/>
          <w:b w:val="1"/>
          <w:bCs w:val="1"/>
          <w:color w:val="auto"/>
        </w:rPr>
        <w:t>Regulatory Approval</w:t>
      </w:r>
      <w:r>
        <w:rPr>
          <w:rFonts w:ascii="Times New Roman" w:cs="Times New Roman" w:eastAsia="Times New Roman" w:hAnsi="Times New Roman"/>
          <w:sz w:val="17"/>
          <w:szCs w:val="17"/>
          <w:color w:val="auto"/>
        </w:rPr>
        <w:t>” means any approval, product and establishment license, registration, or authorization of any Regulatory Authority required for the manufacture, use, storage, import, transport, or commercialization of a product in accordance with Applicable Laws.</w:t>
      </w:r>
    </w:p>
    <w:p>
      <w:pPr>
        <w:spacing w:after="0" w:line="14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7"/>
          <w:szCs w:val="17"/>
          <w:color w:val="auto"/>
        </w:rPr>
        <w:t>1.28  “</w:t>
      </w:r>
      <w:r>
        <w:rPr>
          <w:rFonts w:ascii="Times New Roman" w:cs="Times New Roman" w:eastAsia="Times New Roman" w:hAnsi="Times New Roman"/>
          <w:sz w:val="17"/>
          <w:szCs w:val="17"/>
          <w:b w:val="1"/>
          <w:bCs w:val="1"/>
          <w:color w:val="auto"/>
        </w:rPr>
        <w:t>Regulatory Authority</w:t>
      </w:r>
      <w:r>
        <w:rPr>
          <w:rFonts w:ascii="Times New Roman" w:cs="Times New Roman" w:eastAsia="Times New Roman" w:hAnsi="Times New Roman"/>
          <w:sz w:val="17"/>
          <w:szCs w:val="17"/>
          <w:color w:val="auto"/>
        </w:rPr>
        <w:t>” means any applicable Governmental Authority responsible for granting Regulatory Approvals or Pricing Approvals for any products, including FDA, PMDA, and like authorities in other countries.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1.29   “</w:t>
      </w:r>
      <w:r>
        <w:rPr>
          <w:rFonts w:ascii="Times New Roman" w:cs="Times New Roman" w:eastAsia="Times New Roman" w:hAnsi="Times New Roman"/>
          <w:sz w:val="17"/>
          <w:szCs w:val="17"/>
          <w:b w:val="1"/>
          <w:bCs w:val="1"/>
          <w:color w:val="auto"/>
        </w:rPr>
        <w:t>Sublicensee</w:t>
      </w:r>
      <w:r>
        <w:rPr>
          <w:rFonts w:ascii="Times New Roman" w:cs="Times New Roman" w:eastAsia="Times New Roman" w:hAnsi="Times New Roman"/>
          <w:sz w:val="17"/>
          <w:szCs w:val="17"/>
          <w:color w:val="auto"/>
        </w:rPr>
        <w:t xml:space="preserve">” means a Third Party that is granted a sublicense by KK to any of the Tempus Technology pursuant to </w:t>
      </w:r>
      <w:r>
        <w:rPr>
          <w:rFonts w:ascii="Times New Roman" w:cs="Times New Roman" w:eastAsia="Times New Roman" w:hAnsi="Times New Roman"/>
          <w:sz w:val="17"/>
          <w:szCs w:val="17"/>
          <w:u w:val="single" w:color="auto"/>
          <w:color w:val="auto"/>
        </w:rPr>
        <w:t>Section 2.2 (Sublicensing)</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1.30   “</w:t>
      </w:r>
      <w:r>
        <w:rPr>
          <w:rFonts w:ascii="Times New Roman" w:cs="Times New Roman" w:eastAsia="Times New Roman" w:hAnsi="Times New Roman"/>
          <w:sz w:val="17"/>
          <w:szCs w:val="17"/>
          <w:b w:val="1"/>
          <w:bCs w:val="1"/>
          <w:color w:val="auto"/>
        </w:rPr>
        <w:t>Tempus Know-How</w:t>
      </w:r>
      <w:r>
        <w:rPr>
          <w:rFonts w:ascii="Times New Roman" w:cs="Times New Roman" w:eastAsia="Times New Roman" w:hAnsi="Times New Roman"/>
          <w:sz w:val="17"/>
          <w:szCs w:val="17"/>
          <w:color w:val="auto"/>
        </w:rPr>
        <w:t>” means,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1.31   “</w:t>
      </w:r>
      <w:r>
        <w:rPr>
          <w:rFonts w:ascii="Times New Roman" w:cs="Times New Roman" w:eastAsia="Times New Roman" w:hAnsi="Times New Roman"/>
          <w:sz w:val="17"/>
          <w:szCs w:val="17"/>
          <w:b w:val="1"/>
          <w:bCs w:val="1"/>
          <w:color w:val="auto"/>
        </w:rPr>
        <w:t>Tempus Patent</w:t>
      </w:r>
      <w:r>
        <w:rPr>
          <w:rFonts w:ascii="Times New Roman" w:cs="Times New Roman" w:eastAsia="Times New Roman" w:hAnsi="Times New Roman"/>
          <w:sz w:val="17"/>
          <w:szCs w:val="17"/>
          <w:color w:val="auto"/>
        </w:rPr>
        <w:t>” means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1.32   “</w:t>
      </w:r>
      <w:r>
        <w:rPr>
          <w:rFonts w:ascii="Times New Roman" w:cs="Times New Roman" w:eastAsia="Times New Roman" w:hAnsi="Times New Roman"/>
          <w:sz w:val="17"/>
          <w:szCs w:val="17"/>
          <w:b w:val="1"/>
          <w:bCs w:val="1"/>
          <w:color w:val="auto"/>
        </w:rPr>
        <w:t>Tempus Technology</w:t>
      </w:r>
      <w:r>
        <w:rPr>
          <w:rFonts w:ascii="Times New Roman" w:cs="Times New Roman" w:eastAsia="Times New Roman" w:hAnsi="Times New Roman"/>
          <w:sz w:val="17"/>
          <w:szCs w:val="17"/>
          <w:color w:val="auto"/>
        </w:rPr>
        <w:t>” means Tempus Patents and Tempus Know-How.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1.33   “</w:t>
      </w:r>
      <w:r>
        <w:rPr>
          <w:rFonts w:ascii="Times New Roman" w:cs="Times New Roman" w:eastAsia="Times New Roman" w:hAnsi="Times New Roman"/>
          <w:sz w:val="17"/>
          <w:szCs w:val="17"/>
          <w:b w:val="1"/>
          <w:bCs w:val="1"/>
          <w:color w:val="auto"/>
        </w:rPr>
        <w:t>Tempus Territory</w:t>
      </w:r>
      <w:r>
        <w:rPr>
          <w:rFonts w:ascii="Times New Roman" w:cs="Times New Roman" w:eastAsia="Times New Roman" w:hAnsi="Times New Roman"/>
          <w:sz w:val="17"/>
          <w:szCs w:val="17"/>
          <w:color w:val="auto"/>
        </w:rPr>
        <w:t>” means (a) during the Term, any country or region other than the KK Territory, and (b) after the Term, any country or region.</w:t>
      </w:r>
    </w:p>
    <w:p>
      <w:pPr>
        <w:spacing w:after="0" w:line="22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1.34  “</w:t>
      </w:r>
      <w:r>
        <w:rPr>
          <w:rFonts w:ascii="Times New Roman" w:cs="Times New Roman" w:eastAsia="Times New Roman" w:hAnsi="Times New Roman"/>
          <w:sz w:val="17"/>
          <w:szCs w:val="17"/>
          <w:b w:val="1"/>
          <w:bCs w:val="1"/>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means (a) any taxes, assessments, fees, including income, profits, gross receipts, net proceeds, sales, alternative or add on minimum, ad valorem, turnover, property, personal property (tangible and intangible), environmental, stamp, leasing, lease, user, duty, franchise, capital stock, transfer, registration, license, withholding, social security (or similar), unemployment, disability, payroll, employment, social contributions, fuel, excess profits, occupational, premium, windfall profit, severance, estimated, or other charge of any kind whatsoever, including any interest, penalty, or addition thereto, whether disputed or not and (b) any liability for the payment of any amounts of the type described in clause (a) as a result of the operation of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1.35   “</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the Tempus Territory or the KK Territory, as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1.36   “</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 Person other than KK, Tempus or their respective Affiliates.</w:t>
      </w:r>
    </w:p>
    <w:p>
      <w:pPr>
        <w:spacing w:after="0" w:line="1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20"/>
          </w:cols>
          <w:pgMar w:left="620" w:top="262" w:right="659" w:bottom="1440" w:gutter="0" w:footer="0" w:header="0"/>
        </w:sectPr>
      </w:pPr>
    </w:p>
    <w:bookmarkStart w:id="537" w:name="page538"/>
    <w:bookmarkEnd w:id="537"/>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2</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LICENSES</w:t>
      </w:r>
    </w:p>
    <w:p>
      <w:pPr>
        <w:spacing w:after="0" w:line="20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b w:val="1"/>
          <w:bCs w:val="1"/>
          <w:color w:val="auto"/>
        </w:rPr>
        <w:t>License Grant to KK</w:t>
      </w:r>
      <w:r>
        <w:rPr>
          <w:rFonts w:ascii="Times New Roman" w:cs="Times New Roman" w:eastAsia="Times New Roman" w:hAnsi="Times New Roman"/>
          <w:sz w:val="17"/>
          <w:szCs w:val="17"/>
          <w:color w:val="auto"/>
        </w:rPr>
        <w:t xml:space="preserve">. Subject to the terms and conditions of this Agreement, and in particular </w:t>
      </w:r>
      <w:r>
        <w:rPr>
          <w:rFonts w:ascii="Times New Roman" w:cs="Times New Roman" w:eastAsia="Times New Roman" w:hAnsi="Times New Roman"/>
          <w:sz w:val="17"/>
          <w:szCs w:val="17"/>
          <w:u w:val="single" w:color="auto"/>
          <w:color w:val="auto"/>
        </w:rPr>
        <w:t>Section 2.4 (Reservation of Rights)</w:t>
      </w:r>
      <w:r>
        <w:rPr>
          <w:rFonts w:ascii="Times New Roman" w:cs="Times New Roman" w:eastAsia="Times New Roman" w:hAnsi="Times New Roman"/>
          <w:sz w:val="17"/>
          <w:szCs w:val="17"/>
          <w:color w:val="auto"/>
        </w:rPr>
        <w:t>, Tempus grants to KK [***] non-exclusive license under the Tempus Technology transferred to KK pursuant to any Technology Transfer during the Term solely to conduct the Licensed Business in the Field in the KK Territory.</w:t>
      </w:r>
    </w:p>
    <w:p>
      <w:pPr>
        <w:spacing w:after="0" w:line="16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b w:val="1"/>
          <w:bCs w:val="1"/>
          <w:color w:val="auto"/>
        </w:rPr>
        <w:t>Sublicenses</w:t>
      </w:r>
      <w:r>
        <w:rPr>
          <w:rFonts w:ascii="Times New Roman" w:cs="Times New Roman" w:eastAsia="Times New Roman" w:hAnsi="Times New Roman"/>
          <w:sz w:val="17"/>
          <w:szCs w:val="17"/>
          <w:color w:val="auto"/>
        </w:rPr>
        <w:t xml:space="preserve">. KK shall have the right to sublicense the license rights granted in </w:t>
      </w:r>
      <w:r>
        <w:rPr>
          <w:rFonts w:ascii="Times New Roman" w:cs="Times New Roman" w:eastAsia="Times New Roman" w:hAnsi="Times New Roman"/>
          <w:sz w:val="17"/>
          <w:szCs w:val="17"/>
          <w:u w:val="single" w:color="auto"/>
          <w:color w:val="auto"/>
        </w:rPr>
        <w:t>Section 2.1 (License Grant to KK)</w:t>
      </w:r>
      <w:r>
        <w:rPr>
          <w:rFonts w:ascii="Times New Roman" w:cs="Times New Roman" w:eastAsia="Times New Roman" w:hAnsi="Times New Roman"/>
          <w:sz w:val="17"/>
          <w:szCs w:val="17"/>
          <w:color w:val="auto"/>
        </w:rPr>
        <w:t xml:space="preserve"> to any Third Party [***] solely to conduct the Licensed Business in the Field in the KK Territory, provided that, (a) such Third Party shall agree in writing to comply with the terms and conditions of this Agreement, (b) KK shall remain fully liable to Tempus for the acts and omissions of such Third Party in connection with this Agreement, and any breach by such Third Party of its applicable sublicense agreement shall be a breach by KK of this Agreement; and (c) KK shall provide Tempus with a copy of each sublicense agreement with any Third Party pursuant to which a sublicense is granted under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(Sublicenses)</w:t>
      </w:r>
      <w:r>
        <w:rPr>
          <w:rFonts w:ascii="Times New Roman" w:cs="Times New Roman" w:eastAsia="Times New Roman" w:hAnsi="Times New Roman"/>
          <w:sz w:val="17"/>
          <w:szCs w:val="17"/>
          <w:color w:val="auto"/>
        </w:rPr>
        <w:t xml:space="preserve"> promptly after execution, from which KK may redact any terms unrelated to this Agreement. All other sublicenses by KK shall require the prior written consent of Tempus.</w:t>
      </w:r>
    </w:p>
    <w:p>
      <w:pPr>
        <w:spacing w:after="0" w:line="17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b w:val="1"/>
          <w:bCs w:val="1"/>
          <w:color w:val="auto"/>
        </w:rPr>
        <w:t>KK Covenants</w:t>
      </w:r>
      <w:r>
        <w:rPr>
          <w:rFonts w:ascii="Times New Roman" w:cs="Times New Roman" w:eastAsia="Times New Roman" w:hAnsi="Times New Roman"/>
          <w:sz w:val="17"/>
          <w:szCs w:val="17"/>
          <w:color w:val="auto"/>
        </w:rPr>
        <w:t>. KK shall not exploit the Tempus Technology for any purpose other than to conduct the Licensed Business in the Field in the KK Territory, and shall not exploit the Tempus Technology outside of the Field or outside of the KK Territory. KK shall not practice the Tempus Technology other than as expressly licensed and permitted under this Agreement or otherwise agreed by the Parties in writing.</w:t>
      </w:r>
    </w:p>
    <w:p>
      <w:pPr>
        <w:spacing w:after="0" w:line="160"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b w:val="1"/>
          <w:bCs w:val="1"/>
          <w:color w:val="auto"/>
        </w:rPr>
        <w:t>Reservation of Rights</w:t>
      </w:r>
      <w:r>
        <w:rPr>
          <w:rFonts w:ascii="Times New Roman" w:cs="Times New Roman" w:eastAsia="Times New Roman" w:hAnsi="Times New Roman"/>
          <w:sz w:val="17"/>
          <w:szCs w:val="17"/>
          <w:color w:val="auto"/>
        </w:rPr>
        <w:t xml:space="preserve">. Tempus reserves all rights to Tempus Technology not specifically granted under </w:t>
      </w:r>
      <w:r>
        <w:rPr>
          <w:rFonts w:ascii="Times New Roman" w:cs="Times New Roman" w:eastAsia="Times New Roman" w:hAnsi="Times New Roman"/>
          <w:sz w:val="17"/>
          <w:szCs w:val="17"/>
          <w:u w:val="single" w:color="auto"/>
          <w:color w:val="auto"/>
        </w:rPr>
        <w:t>Section 2.1 (License Grant to KK)</w:t>
      </w:r>
      <w:r>
        <w:rPr>
          <w:rFonts w:ascii="Times New Roman" w:cs="Times New Roman" w:eastAsia="Times New Roman" w:hAnsi="Times New Roman"/>
          <w:sz w:val="17"/>
          <w:szCs w:val="17"/>
          <w:color w:val="auto"/>
        </w:rPr>
        <w:t>, and no further licenses, either by implication or estoppel, are contemplated or granted hereunder.</w:t>
      </w:r>
    </w:p>
    <w:p>
      <w:pPr>
        <w:spacing w:after="0" w:line="14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b w:val="1"/>
          <w:bCs w:val="1"/>
          <w:color w:val="auto"/>
        </w:rPr>
        <w:t>License Grants to Tempus</w:t>
      </w:r>
      <w:r>
        <w:rPr>
          <w:rFonts w:ascii="Times New Roman" w:cs="Times New Roman" w:eastAsia="Times New Roman" w:hAnsi="Times New Roman"/>
          <w:sz w:val="17"/>
          <w:szCs w:val="17"/>
          <w:color w:val="auto"/>
        </w:rPr>
        <w:t xml:space="preserve">. Subject to the terms and conditions of this Agreement, KK shall and hereby does grant to Tempus [***] and non-exclusive license under the KK Technology [***]. KK shall have no obligation under this Agreement to disclose any other KK Technology to Tempus. KK acknowledges that Tempus or its Affiliates may currently or in the future be developing internally, or receiving from other parties, concepts, techniques, information, materials, products, services, or other technology, that are similar to the concepts, techniques, information, materials, products, services, or other technology developed by KK pursuant to this Agreement, including the KK Technology. For the avoidance of doubt, this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shall not limit Tempus’ rights with respect to any Joint Technology, including the right to exploit any Joint Technology without consent or a duty of accounting.</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b w:val="1"/>
          <w:bCs w:val="1"/>
          <w:color w:val="auto"/>
        </w:rPr>
        <w:t>Technology Transfer</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426"/>
        <w:spacing w:after="0" w:line="270" w:lineRule="auto"/>
        <w:rPr>
          <w:sz w:val="20"/>
          <w:szCs w:val="20"/>
          <w:color w:val="auto"/>
        </w:rPr>
      </w:pPr>
      <w:r>
        <w:rPr>
          <w:rFonts w:ascii="Times New Roman" w:cs="Times New Roman" w:eastAsia="Times New Roman" w:hAnsi="Times New Roman"/>
          <w:sz w:val="17"/>
          <w:szCs w:val="17"/>
          <w:color w:val="auto"/>
        </w:rPr>
        <w:t xml:space="preserve">2.6.1  </w:t>
      </w:r>
      <w:r>
        <w:rPr>
          <w:rFonts w:ascii="Times New Roman" w:cs="Times New Roman" w:eastAsia="Times New Roman" w:hAnsi="Times New Roman"/>
          <w:sz w:val="17"/>
          <w:szCs w:val="17"/>
          <w:b w:val="1"/>
          <w:bCs w:val="1"/>
          <w:color w:val="auto"/>
        </w:rPr>
        <w:t>Initial Technology Transfer</w:t>
      </w:r>
      <w:r>
        <w:rPr>
          <w:rFonts w:ascii="Times New Roman" w:cs="Times New Roman" w:eastAsia="Times New Roman" w:hAnsi="Times New Roman"/>
          <w:sz w:val="17"/>
          <w:szCs w:val="17"/>
          <w:color w:val="auto"/>
        </w:rPr>
        <w:t xml:space="preserve">. As soon as reasonably practicable (and in any event within [***] Days) after the Closing Date, Tempus shall make available and/or transfer to KK electronic copies of appropriate documents, data, software, manuals, instructions, specifications, documentation, or other Know-How, in each case, in its possession and included within the Tempus Know-How existing as of the Effective Date, including any of the foregoing related to the technologies set forth on </w:t>
      </w:r>
      <w:r>
        <w:rPr>
          <w:rFonts w:ascii="Times New Roman" w:cs="Times New Roman" w:eastAsia="Times New Roman" w:hAnsi="Times New Roman"/>
          <w:sz w:val="17"/>
          <w:szCs w:val="17"/>
          <w:u w:val="single" w:color="auto"/>
          <w:color w:val="auto"/>
        </w:rPr>
        <w:t>Schedule 1.34 (Tempus Know-How)</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Initial Technology Transfer</w:t>
      </w:r>
      <w:r>
        <w:rPr>
          <w:rFonts w:ascii="Times New Roman" w:cs="Times New Roman" w:eastAsia="Times New Roman" w:hAnsi="Times New Roman"/>
          <w:sz w:val="17"/>
          <w:szCs w:val="17"/>
          <w:color w:val="auto"/>
        </w:rPr>
        <w: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60"/>
          </w:cols>
          <w:pgMar w:left="620" w:top="262" w:right="619" w:bottom="1440" w:gutter="0" w:footer="0" w:header="0"/>
        </w:sectPr>
      </w:pPr>
    </w:p>
    <w:bookmarkStart w:id="538" w:name="page539"/>
    <w:bookmarkEnd w:id="538"/>
    <w:p>
      <w:pPr>
        <w:ind w:left="8" w:firstLine="426"/>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9">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2.6.2  </w:t>
      </w:r>
      <w:r>
        <w:rPr>
          <w:rFonts w:ascii="Times New Roman" w:cs="Times New Roman" w:eastAsia="Times New Roman" w:hAnsi="Times New Roman"/>
          <w:sz w:val="17"/>
          <w:szCs w:val="17"/>
          <w:b w:val="1"/>
          <w:bCs w:val="1"/>
          <w:color w:val="auto"/>
        </w:rPr>
        <w:t>Continuing Technology Transfer</w:t>
      </w:r>
      <w:r>
        <w:rPr>
          <w:rFonts w:ascii="Times New Roman" w:cs="Times New Roman" w:eastAsia="Times New Roman" w:hAnsi="Times New Roman"/>
          <w:sz w:val="17"/>
          <w:szCs w:val="17"/>
          <w:color w:val="auto"/>
        </w:rPr>
        <w:t xml:space="preserve">. After the completion of the Initial Technology Transfer, during the Term but subject to </w:t>
      </w:r>
      <w:r>
        <w:rPr>
          <w:rFonts w:ascii="Times New Roman" w:cs="Times New Roman" w:eastAsia="Times New Roman" w:hAnsi="Times New Roman"/>
          <w:sz w:val="17"/>
          <w:szCs w:val="17"/>
          <w:u w:val="single" w:color="auto"/>
          <w:color w:val="auto"/>
        </w:rPr>
        <w:t>Section 2.6.3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(Tempus Withdrawal from KK)</w:t>
      </w:r>
      <w:r>
        <w:rPr>
          <w:rFonts w:ascii="Times New Roman" w:cs="Times New Roman" w:eastAsia="Times New Roman" w:hAnsi="Times New Roman"/>
          <w:sz w:val="17"/>
          <w:szCs w:val="17"/>
          <w:color w:val="auto"/>
        </w:rPr>
        <w:t>, and upon the cadence set forth in the following sentence, Tempus will make available and/or transfer to KK electronic copies of any additional documents, data, software, manuals, instructions, specifications, documentation, or other Tempus Know-How (including updates, derivatives, improvements, and enhancements to, related to, or based on any Tempus Know-How previously transferred to KK), in each case, in its possession and included within the Tempus Know-How that have not been previously transferred to KK (the “</w:t>
      </w:r>
      <w:r>
        <w:rPr>
          <w:rFonts w:ascii="Times New Roman" w:cs="Times New Roman" w:eastAsia="Times New Roman" w:hAnsi="Times New Roman"/>
          <w:sz w:val="17"/>
          <w:szCs w:val="17"/>
          <w:b w:val="1"/>
          <w:bCs w:val="1"/>
          <w:color w:val="auto"/>
        </w:rPr>
        <w:t>Continuing Technology Transfer</w:t>
      </w:r>
      <w:r>
        <w:rPr>
          <w:rFonts w:ascii="Times New Roman" w:cs="Times New Roman" w:eastAsia="Times New Roman" w:hAnsi="Times New Roman"/>
          <w:sz w:val="17"/>
          <w:szCs w:val="17"/>
          <w:color w:val="auto"/>
        </w:rPr>
        <w:t>,” and together with the Initial Technology Transfer and all Continuing Technology Transfers, the “</w:t>
      </w:r>
      <w:r>
        <w:rPr>
          <w:rFonts w:ascii="Times New Roman" w:cs="Times New Roman" w:eastAsia="Times New Roman" w:hAnsi="Times New Roman"/>
          <w:sz w:val="17"/>
          <w:szCs w:val="17"/>
          <w:b w:val="1"/>
          <w:bCs w:val="1"/>
          <w:color w:val="auto"/>
        </w:rPr>
        <w:t>Technology Transfer</w:t>
      </w:r>
      <w:r>
        <w:rPr>
          <w:rFonts w:ascii="Times New Roman" w:cs="Times New Roman" w:eastAsia="Times New Roman" w:hAnsi="Times New Roman"/>
          <w:sz w:val="17"/>
          <w:szCs w:val="17"/>
          <w:color w:val="auto"/>
        </w:rPr>
        <w:t>”). Tempus will perform the Continuing Technology Transfer no more frequently than once every [***] following in the Initial Technology Transfer unless otherwise mutually agreed, provided that, Tempus will make available and/or transfer to KK (a) any new and critical versions (including material bug fixes and security hotfixes), upgrades, or other material updates to software already provided within the Tempus Technology that are necessary to the operation of such software promptly given the circumstances (which shall be no less frequently than once each Calendar Quarter following the Initial Technology Transfer or, if more frequently, then as such versions, upgrades, or updates are first rolled out within the Tempus Territory) and (b) promptly upon KK’s reasonable request, electronic copies of any Tempus Technology (including any upgrades or updates to software already provided within Tempus Technology) that is specifically requested, required by or otherwise essential for a KK customer in order to avoid negatively impacting such KK customer.</w:t>
      </w:r>
    </w:p>
    <w:p>
      <w:pPr>
        <w:spacing w:after="0" w:line="383" w:lineRule="exact"/>
        <w:rPr>
          <w:sz w:val="20"/>
          <w:szCs w:val="20"/>
          <w:color w:val="auto"/>
        </w:rPr>
      </w:pPr>
    </w:p>
    <w:p>
      <w:pPr>
        <w:ind w:left="8" w:right="220" w:firstLine="426"/>
        <w:spacing w:after="0" w:line="277" w:lineRule="auto"/>
        <w:rPr>
          <w:sz w:val="20"/>
          <w:szCs w:val="20"/>
          <w:color w:val="auto"/>
        </w:rPr>
      </w:pPr>
      <w:r>
        <w:rPr>
          <w:rFonts w:ascii="Times New Roman" w:cs="Times New Roman" w:eastAsia="Times New Roman" w:hAnsi="Times New Roman"/>
          <w:sz w:val="17"/>
          <w:szCs w:val="17"/>
          <w:color w:val="auto"/>
        </w:rPr>
        <w:t xml:space="preserve">2.6.3  </w:t>
      </w:r>
      <w:r>
        <w:rPr>
          <w:rFonts w:ascii="Times New Roman" w:cs="Times New Roman" w:eastAsia="Times New Roman" w:hAnsi="Times New Roman"/>
          <w:sz w:val="17"/>
          <w:szCs w:val="17"/>
          <w:b w:val="1"/>
          <w:bCs w:val="1"/>
          <w:color w:val="auto"/>
        </w:rPr>
        <w:t>Tempus Withdrawal from KK</w:t>
      </w:r>
      <w:r>
        <w:rPr>
          <w:rFonts w:ascii="Times New Roman" w:cs="Times New Roman" w:eastAsia="Times New Roman" w:hAnsi="Times New Roman"/>
          <w:sz w:val="17"/>
          <w:szCs w:val="17"/>
          <w:color w:val="auto"/>
        </w:rPr>
        <w:t>. If at any time during the Term, Tempus is no longer a shareholder in KK, then from such date and thereafter, Tempus shall (a) have no further obligation to provide any Technology Transfer to KK; and (b) upon written request from KK, negotiate in good faith a license (which may be royalty-bearing) and technology transfer regarding Tempus Technology that is developed after such date.</w:t>
      </w:r>
    </w:p>
    <w:p>
      <w:pPr>
        <w:spacing w:after="0" w:line="160" w:lineRule="exact"/>
        <w:rPr>
          <w:sz w:val="20"/>
          <w:szCs w:val="20"/>
          <w:color w:val="auto"/>
        </w:rPr>
      </w:pPr>
    </w:p>
    <w:p>
      <w:pPr>
        <w:ind w:left="8" w:firstLine="426"/>
        <w:spacing w:after="0" w:line="270" w:lineRule="auto"/>
        <w:rPr>
          <w:sz w:val="20"/>
          <w:szCs w:val="20"/>
          <w:color w:val="auto"/>
        </w:rPr>
      </w:pPr>
      <w:r>
        <w:rPr>
          <w:rFonts w:ascii="Times New Roman" w:cs="Times New Roman" w:eastAsia="Times New Roman" w:hAnsi="Times New Roman"/>
          <w:sz w:val="17"/>
          <w:szCs w:val="17"/>
          <w:color w:val="auto"/>
        </w:rPr>
        <w:t xml:space="preserve">2.6.4  </w:t>
      </w:r>
      <w:r>
        <w:rPr>
          <w:rFonts w:ascii="Times New Roman" w:cs="Times New Roman" w:eastAsia="Times New Roman" w:hAnsi="Times New Roman"/>
          <w:sz w:val="17"/>
          <w:szCs w:val="17"/>
          <w:b w:val="1"/>
          <w:bCs w:val="1"/>
          <w:color w:val="auto"/>
        </w:rPr>
        <w:t>Knowledge Transfer and Support</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2.6.3 (Tempus Withdrawal from KK)</w:t>
      </w:r>
      <w:r>
        <w:rPr>
          <w:rFonts w:ascii="Times New Roman" w:cs="Times New Roman" w:eastAsia="Times New Roman" w:hAnsi="Times New Roman"/>
          <w:sz w:val="17"/>
          <w:szCs w:val="17"/>
          <w:color w:val="auto"/>
        </w:rPr>
        <w:t>, Tempus will reasonably cooperate with KK, upon KK’s reasonable request, to facilitate knowledge transfer and technical support regarding the Tempus Technology (“</w:t>
      </w:r>
      <w:r>
        <w:rPr>
          <w:rFonts w:ascii="Times New Roman" w:cs="Times New Roman" w:eastAsia="Times New Roman" w:hAnsi="Times New Roman"/>
          <w:sz w:val="17"/>
          <w:szCs w:val="17"/>
          <w:b w:val="1"/>
          <w:bCs w:val="1"/>
          <w:color w:val="auto"/>
        </w:rPr>
        <w:t>Knowledge Transfer</w:t>
      </w:r>
      <w:r>
        <w:rPr>
          <w:rFonts w:ascii="Times New Roman" w:cs="Times New Roman" w:eastAsia="Times New Roman" w:hAnsi="Times New Roman"/>
          <w:sz w:val="17"/>
          <w:szCs w:val="17"/>
          <w:color w:val="auto"/>
        </w:rPr>
        <w:t>”) during normal [***] operations and during [***]. Knowledge Transfer may include items such as technical support, responses to technical questions, or other demonstrations or training related to the use, implementation, or functionality of the Tempus Technology.</w:t>
      </w:r>
    </w:p>
    <w:p>
      <w:pPr>
        <w:spacing w:after="0" w:line="166" w:lineRule="exact"/>
        <w:rPr>
          <w:sz w:val="20"/>
          <w:szCs w:val="20"/>
          <w:color w:val="auto"/>
        </w:rPr>
      </w:pPr>
    </w:p>
    <w:p>
      <w:pPr>
        <w:ind w:left="8" w:right="120" w:firstLine="426"/>
        <w:spacing w:after="0" w:line="264" w:lineRule="auto"/>
        <w:rPr>
          <w:sz w:val="20"/>
          <w:szCs w:val="20"/>
          <w:color w:val="auto"/>
        </w:rPr>
      </w:pPr>
      <w:r>
        <w:rPr>
          <w:rFonts w:ascii="Times New Roman" w:cs="Times New Roman" w:eastAsia="Times New Roman" w:hAnsi="Times New Roman"/>
          <w:sz w:val="17"/>
          <w:szCs w:val="17"/>
          <w:color w:val="auto"/>
        </w:rPr>
        <w:t xml:space="preserve">2.6.5  </w:t>
      </w:r>
      <w:r>
        <w:rPr>
          <w:rFonts w:ascii="Times New Roman" w:cs="Times New Roman" w:eastAsia="Times New Roman" w:hAnsi="Times New Roman"/>
          <w:sz w:val="17"/>
          <w:szCs w:val="17"/>
          <w:b w:val="1"/>
          <w:bCs w:val="1"/>
          <w:color w:val="auto"/>
        </w:rPr>
        <w:t>Specific Performance</w:t>
      </w:r>
      <w:r>
        <w:rPr>
          <w:rFonts w:ascii="Times New Roman" w:cs="Times New Roman" w:eastAsia="Times New Roman" w:hAnsi="Times New Roman"/>
          <w:sz w:val="17"/>
          <w:szCs w:val="17"/>
          <w:color w:val="auto"/>
        </w:rPr>
        <w:t xml:space="preserve">. If Tempus and KK, each acting in good faith, are unable to come to a decision in respect of any dispute regarding this </w:t>
      </w:r>
      <w:r>
        <w:rPr>
          <w:rFonts w:ascii="Times New Roman" w:cs="Times New Roman" w:eastAsia="Times New Roman" w:hAnsi="Times New Roman"/>
          <w:sz w:val="17"/>
          <w:szCs w:val="17"/>
          <w:u w:val="single" w:color="auto"/>
          <w:color w:val="auto"/>
        </w:rPr>
        <w:t>Section 2.6 (Technology Transfer)</w:t>
      </w:r>
      <w:r>
        <w:rPr>
          <w:rFonts w:ascii="Times New Roman" w:cs="Times New Roman" w:eastAsia="Times New Roman" w:hAnsi="Times New Roman"/>
          <w:sz w:val="17"/>
          <w:szCs w:val="17"/>
          <w:color w:val="auto"/>
        </w:rPr>
        <w:t xml:space="preserve"> within [***] Days of such matter first being raised, and such matter may materially affect the ability of KK to engage in the Business or to conduct the Business in an efficient manner, then (a) such matter will first be referred to senior executives of Tempus and</w:t>
      </w:r>
    </w:p>
    <w:p>
      <w:pPr>
        <w:spacing w:after="0" w:line="2" w:lineRule="exact"/>
        <w:rPr>
          <w:sz w:val="20"/>
          <w:szCs w:val="20"/>
          <w:color w:val="auto"/>
        </w:rPr>
      </w:pPr>
    </w:p>
    <w:p>
      <w:pPr>
        <w:ind w:left="8" w:right="80" w:hanging="8"/>
        <w:spacing w:after="0" w:line="260" w:lineRule="auto"/>
        <w:tabs>
          <w:tab w:leader="none" w:pos="255"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senior executives are unable in good faith to resolve the matter on an amicable basis within [***] Days, then solely with respect to a request by KK for specific performance or injunctive relief with respect to the technology transfer provisions of this </w:t>
      </w:r>
      <w:r>
        <w:rPr>
          <w:rFonts w:ascii="Times New Roman" w:cs="Times New Roman" w:eastAsia="Times New Roman" w:hAnsi="Times New Roman"/>
          <w:sz w:val="17"/>
          <w:szCs w:val="17"/>
          <w:u w:val="single" w:color="auto"/>
          <w:color w:val="auto"/>
        </w:rPr>
        <w:t>Section 2.6 (Technology Transfer)</w:t>
      </w:r>
      <w:r>
        <w:rPr>
          <w:rFonts w:ascii="Times New Roman" w:cs="Times New Roman" w:eastAsia="Times New Roman" w:hAnsi="Times New Roman"/>
          <w:sz w:val="17"/>
          <w:szCs w:val="17"/>
          <w:color w:val="auto"/>
        </w:rPr>
        <w:t xml:space="preserve">, and not with respect to any other requested remedy, matter or dispute, Tempus hereby consents to KK making an application to any court of competent jurisdiction seeking such interim measures. All other aspects of any dispute or other remedies sought under this Agreement are subject to the requirements set forth in </w:t>
      </w:r>
      <w:r>
        <w:rPr>
          <w:rFonts w:ascii="Times New Roman" w:cs="Times New Roman" w:eastAsia="Times New Roman" w:hAnsi="Times New Roman"/>
          <w:sz w:val="17"/>
          <w:szCs w:val="17"/>
          <w:u w:val="single" w:color="auto"/>
          <w:color w:val="auto"/>
        </w:rPr>
        <w:t>Article 11 (Dispute Resolution).</w:t>
      </w:r>
    </w:p>
    <w:p>
      <w:pPr>
        <w:spacing w:after="0" w:line="1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648"/>
          </w:cols>
          <w:pgMar w:left="612" w:top="262" w:right="639" w:bottom="1440" w:gutter="0" w:footer="0" w:header="0"/>
        </w:sectPr>
      </w:pPr>
    </w:p>
    <w:bookmarkStart w:id="539" w:name="page540"/>
    <w:bookmarkEnd w:id="539"/>
    <w:p>
      <w:pPr>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2.7  </w:t>
      </w:r>
      <w:r>
        <w:rPr>
          <w:rFonts w:ascii="Times New Roman" w:cs="Times New Roman" w:eastAsia="Times New Roman" w:hAnsi="Times New Roman"/>
          <w:sz w:val="17"/>
          <w:szCs w:val="17"/>
          <w:b w:val="1"/>
          <w:bCs w:val="1"/>
          <w:color w:val="auto"/>
        </w:rPr>
        <w:t>Rights in Bankruptcy</w:t>
      </w:r>
      <w:r>
        <w:rPr>
          <w:rFonts w:ascii="Times New Roman" w:cs="Times New Roman" w:eastAsia="Times New Roman" w:hAnsi="Times New Roman"/>
          <w:sz w:val="17"/>
          <w:szCs w:val="17"/>
          <w:color w:val="auto"/>
        </w:rPr>
        <w:t>. All licenses and similar use rights granted under or pursuant to any Section of this Agreement are and will otherwise be deemed to be for purposes of the bankruptcy law or any other comparable or similar laws or regulations in any relevant country or jurisdiction (collectively, the “</w:t>
      </w:r>
      <w:r>
        <w:rPr>
          <w:rFonts w:ascii="Times New Roman" w:cs="Times New Roman" w:eastAsia="Times New Roman" w:hAnsi="Times New Roman"/>
          <w:sz w:val="17"/>
          <w:szCs w:val="17"/>
          <w:b w:val="1"/>
          <w:bCs w:val="1"/>
          <w:color w:val="auto"/>
        </w:rPr>
        <w:t>Bankruptcy Laws</w:t>
      </w:r>
      <w:r>
        <w:rPr>
          <w:rFonts w:ascii="Times New Roman" w:cs="Times New Roman" w:eastAsia="Times New Roman" w:hAnsi="Times New Roman"/>
          <w:sz w:val="17"/>
          <w:szCs w:val="17"/>
          <w:color w:val="auto"/>
        </w:rPr>
        <w:t>”) and licenses of rights to “intellectual property”. The Parties agree that the applicable Party, as licensees or sublicensees of such rights under this Agreement, will retain and may fully exercise all of its rights and elections under the applicable Bankruptcy Laws. The Parties further agree that, in the event of the commencement of a bankruptcy proceeding by or against a Party under the applicable Bankruptcy Laws, the other Party will be entitled to a complete duplicate of (or complete access to, as appropriate) such intellectual property and all embodiments of such intellectual property (including supporting materials such as files relating to prosecution or enforcement), which, if not already in such other Party’s possession, will be promptly delivered to it upon its written request thereof. Any agreements supplemental to this Agreement will be deemed to be “agreements supplementary to” this Agreement for purposes of the Bankruptcy Laws.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TERMS</w:t>
      </w:r>
    </w:p>
    <w:p>
      <w:pPr>
        <w:spacing w:after="0" w:line="203"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b w:val="1"/>
          <w:bCs w:val="1"/>
          <w:color w:val="auto"/>
        </w:rPr>
        <w:t>Upfront Payment</w:t>
      </w:r>
      <w:r>
        <w:rPr>
          <w:rFonts w:ascii="Times New Roman" w:cs="Times New Roman" w:eastAsia="Times New Roman" w:hAnsi="Times New Roman"/>
          <w:sz w:val="17"/>
          <w:szCs w:val="17"/>
          <w:color w:val="auto"/>
        </w:rPr>
        <w:t>. In consideration of entering into this Agreement and the rights granted to KK under this Agreement, KK shall pay to Tempus a one-time, non-refundable, non-creditable upfront payment of Seven-Billion-Five-Hundred-Million Japanese Yen (¥7,500,000,000), using the Exchange Rate as of the Effective Date, within [***] Days of the Effective Date.</w:t>
      </w:r>
    </w:p>
    <w:p>
      <w:pPr>
        <w:spacing w:after="0" w:line="16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b w:val="1"/>
          <w:bCs w:val="1"/>
          <w:color w:val="auto"/>
        </w:rPr>
        <w:t>Other Reimbursements</w:t>
      </w:r>
      <w:r>
        <w:rPr>
          <w:rFonts w:ascii="Times New Roman" w:cs="Times New Roman" w:eastAsia="Times New Roman" w:hAnsi="Times New Roman"/>
          <w:sz w:val="17"/>
          <w:szCs w:val="17"/>
          <w:color w:val="auto"/>
        </w:rPr>
        <w:t>. To the extent that either Party incurs costs that are subject to reimbursement by the other Party hereunder, the Party incurring such costs shall provide such other Party an invoice therefor in US Dollars, based on the applicable Exchange Rate. The invoicing Party shall provide the other Party with such supporting documentation for such invoice as such other Party may reasonably request.</w:t>
      </w:r>
    </w:p>
    <w:p>
      <w:pPr>
        <w:spacing w:after="0" w:line="16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b w:val="1"/>
          <w:bCs w:val="1"/>
          <w:color w:val="auto"/>
        </w:rPr>
        <w:t>Payment of Invoices; Disputes</w:t>
      </w:r>
      <w:r>
        <w:rPr>
          <w:rFonts w:ascii="Times New Roman" w:cs="Times New Roman" w:eastAsia="Times New Roman" w:hAnsi="Times New Roman"/>
          <w:sz w:val="17"/>
          <w:szCs w:val="17"/>
          <w:color w:val="auto"/>
        </w:rPr>
        <w:t>. Each Party shall pay any undisputed invoice provided by the other Party under this Agreement within [***] days following its receipt thereof. All payments paid under this Agreement shall be made in US Dollars, calculated at the applicable Exchange Rate, through wire transfer of immediately available funds to such bank account as the invoicing Party may designate in writing from time to time. If the Party receiving such invoice disputes any portion thereof in good faith, then it shall give the invoicing Party written notice of such dispute and pay the undisputed portions of such invoice and the Parties shall promptly seek to reasonably resolve the disputed portions.</w:t>
      </w:r>
    </w:p>
    <w:p>
      <w:pPr>
        <w:spacing w:after="0" w:line="16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b w:val="1"/>
          <w:bCs w:val="1"/>
          <w:color w:val="auto"/>
        </w:rPr>
        <w:t>Late Payments</w:t>
      </w:r>
      <w:r>
        <w:rPr>
          <w:rFonts w:ascii="Times New Roman" w:cs="Times New Roman" w:eastAsia="Times New Roman" w:hAnsi="Times New Roman"/>
          <w:sz w:val="17"/>
          <w:szCs w:val="17"/>
          <w:color w:val="auto"/>
        </w:rPr>
        <w:t>. If either Party does not receive payment of any sum due to it on or before the due date, simple interest shall thereafter accrue on the sum due to such Party until the date of payment at the per annum rate of [***] assessed from the day payment was initially due within the regular office hours of the paying Party; provided, however, that in no case shall such interest rate exceed the highest rate permitted by Applicable Laws. The payment of such interest shall not foreclose each Party from exercising any other rights it may have because any payment is overdue.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40"/>
          </w:cols>
          <w:pgMar w:left="620" w:top="263" w:right="63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3.5 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426"/>
        <w:spacing w:after="0" w:line="259" w:lineRule="auto"/>
        <w:rPr>
          <w:sz w:val="20"/>
          <w:szCs w:val="20"/>
          <w:color w:val="auto"/>
        </w:rPr>
      </w:pPr>
      <w:r>
        <w:rPr>
          <w:rFonts w:ascii="Times New Roman" w:cs="Times New Roman" w:eastAsia="Times New Roman" w:hAnsi="Times New Roman"/>
          <w:sz w:val="17"/>
          <w:szCs w:val="17"/>
          <w:color w:val="auto"/>
        </w:rPr>
        <w:t xml:space="preserve">3.5.1  </w:t>
      </w:r>
      <w:r>
        <w:rPr>
          <w:rFonts w:ascii="Times New Roman" w:cs="Times New Roman" w:eastAsia="Times New Roman" w:hAnsi="Times New Roman"/>
          <w:sz w:val="17"/>
          <w:szCs w:val="17"/>
          <w:b w:val="1"/>
          <w:bCs w:val="1"/>
          <w:color w:val="auto"/>
        </w:rPr>
        <w:t>Tax Cooperation and Coordination</w:t>
      </w:r>
      <w:r>
        <w:rPr>
          <w:rFonts w:ascii="Times New Roman" w:cs="Times New Roman" w:eastAsia="Times New Roman" w:hAnsi="Times New Roman"/>
          <w:sz w:val="17"/>
          <w:szCs w:val="17"/>
          <w:color w:val="auto"/>
        </w:rPr>
        <w:t xml:space="preserve">. The Parties acknowledge and agree to cooperate in order to appropriately calculate consistently with Applicable Laws, Taxes payable with respect to their collaborative efforts under this Agreement and any appropriate reductions, credits, or deductions that may lawfully reduce otherwise applicable Taxes. In particular, where any such deduction or withholding in relation to any payment made under this Agreement can be reduced, eliminated or recovered by an application under any income or double tax treaty, the Parties shall cooperate with each other and use Commercially Reasonable Efforts with regards to such application. Tempus shall provide to KK any taxation documents and other documents that may be reasonably necessary in order for KK not to withhold Tax or to withhold Tax at a reduced rate under an appropriate income or double tax treaty. Without limiting the generality of the foregoing, prior to the payment of any amount under this Agreement (including the upfront payment set forth in </w:t>
      </w:r>
      <w:r>
        <w:rPr>
          <w:rFonts w:ascii="Times New Roman" w:cs="Times New Roman" w:eastAsia="Times New Roman" w:hAnsi="Times New Roman"/>
          <w:sz w:val="17"/>
          <w:szCs w:val="17"/>
          <w:u w:val="single" w:color="auto"/>
          <w:color w:val="auto"/>
        </w:rPr>
        <w:t>Section 3.1 (Upfront Payment))</w:t>
      </w:r>
      <w:r>
        <w:rPr>
          <w:rFonts w:ascii="Times New Roman" w:cs="Times New Roman" w:eastAsia="Times New Roman" w:hAnsi="Times New Roman"/>
          <w:sz w:val="17"/>
          <w:szCs w:val="17"/>
          <w:color w:val="auto"/>
        </w:rPr>
        <w:t xml:space="preserve"> and at such other times as reasonably requested by KK: (a) Tempus will provide KK with such information, documentation and authorizations requested by KK as is reasonably necessary for KK to prepare and file on Tempus’s behalf all required forms and applications necessary to establish Tempus’ eligibility for benefits under the income tax treaty between the United States and Japan (the “</w:t>
      </w:r>
      <w:r>
        <w:rPr>
          <w:rFonts w:ascii="Times New Roman" w:cs="Times New Roman" w:eastAsia="Times New Roman" w:hAnsi="Times New Roman"/>
          <w:sz w:val="17"/>
          <w:szCs w:val="17"/>
          <w:b w:val="1"/>
          <w:bCs w:val="1"/>
          <w:color w:val="auto"/>
        </w:rPr>
        <w:t>US-Japan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Income Tax Treaty</w:t>
      </w:r>
      <w:r>
        <w:rPr>
          <w:rFonts w:ascii="Times New Roman" w:cs="Times New Roman" w:eastAsia="Times New Roman" w:hAnsi="Times New Roman"/>
          <w:sz w:val="17"/>
          <w:szCs w:val="17"/>
          <w:color w:val="auto"/>
        </w:rPr>
        <w:t>”) with respect to the upfront payment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3.1 (Upfront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any other applicable payment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for which a reduction in or exemption from withholding tax is available under the US-Japan Income Tax Treaty, and (b) KK shall prepare and file all such forms and applications with the National Tax Agency (Japan) on Tempus’s behalf. Tempus shall provide such cooperation (including the provision of information and the timely execution of relevant forms and certificates requested by KK) reasonably necessary to enable KK to timely prepare and file such forms.</w:t>
      </w:r>
    </w:p>
    <w:p>
      <w:pPr>
        <w:spacing w:after="0" w:line="392" w:lineRule="exact"/>
        <w:rPr>
          <w:sz w:val="20"/>
          <w:szCs w:val="20"/>
          <w:color w:val="auto"/>
        </w:rPr>
      </w:pPr>
    </w:p>
    <w:p>
      <w:pPr>
        <w:ind w:firstLine="426"/>
        <w:spacing w:after="0" w:line="270" w:lineRule="auto"/>
        <w:rPr>
          <w:sz w:val="20"/>
          <w:szCs w:val="20"/>
          <w:color w:val="auto"/>
        </w:rPr>
      </w:pPr>
      <w:r>
        <w:rPr>
          <w:rFonts w:ascii="Times New Roman" w:cs="Times New Roman" w:eastAsia="Times New Roman" w:hAnsi="Times New Roman"/>
          <w:sz w:val="17"/>
          <w:szCs w:val="17"/>
          <w:color w:val="auto"/>
        </w:rPr>
        <w:t xml:space="preserve">3.5.2  </w:t>
      </w:r>
      <w:r>
        <w:rPr>
          <w:rFonts w:ascii="Times New Roman" w:cs="Times New Roman" w:eastAsia="Times New Roman" w:hAnsi="Times New Roman"/>
          <w:sz w:val="17"/>
          <w:szCs w:val="17"/>
          <w:b w:val="1"/>
          <w:bCs w:val="1"/>
          <w:color w:val="auto"/>
        </w:rPr>
        <w:t>Assessment</w:t>
      </w:r>
      <w:r>
        <w:rPr>
          <w:rFonts w:ascii="Times New Roman" w:cs="Times New Roman" w:eastAsia="Times New Roman" w:hAnsi="Times New Roman"/>
          <w:sz w:val="17"/>
          <w:szCs w:val="17"/>
          <w:color w:val="auto"/>
        </w:rPr>
        <w:t>. Either Party may, at its own expense, protest any assessment, proposed assessment, or other claim by any Governmental Authority for any additional amount of taxes, interest or penalties or seek a refund of such amounts paid if permitted to do so by Applicable Laws. The Parties shall cooperate with each other in any protest by providing records and such additional information as may reasonably be necessary for a Party to pursue such protest.</w:t>
      </w:r>
    </w:p>
    <w:p>
      <w:pPr>
        <w:spacing w:after="0" w:line="166" w:lineRule="exact"/>
        <w:rPr>
          <w:sz w:val="20"/>
          <w:szCs w:val="20"/>
          <w:color w:val="auto"/>
        </w:rPr>
      </w:pPr>
    </w:p>
    <w:p>
      <w:pPr>
        <w:ind w:right="60" w:firstLine="426"/>
        <w:spacing w:after="0" w:line="264" w:lineRule="auto"/>
        <w:rPr>
          <w:sz w:val="20"/>
          <w:szCs w:val="20"/>
          <w:color w:val="auto"/>
        </w:rPr>
      </w:pPr>
      <w:r>
        <w:rPr>
          <w:rFonts w:ascii="Times New Roman" w:cs="Times New Roman" w:eastAsia="Times New Roman" w:hAnsi="Times New Roman"/>
          <w:sz w:val="17"/>
          <w:szCs w:val="17"/>
          <w:color w:val="auto"/>
        </w:rPr>
        <w:t xml:space="preserve">3.5.3  </w:t>
      </w:r>
      <w:r>
        <w:rPr>
          <w:rFonts w:ascii="Times New Roman" w:cs="Times New Roman" w:eastAsia="Times New Roman" w:hAnsi="Times New Roman"/>
          <w:sz w:val="17"/>
          <w:szCs w:val="17"/>
          <w:b w:val="1"/>
          <w:bCs w:val="1"/>
          <w:color w:val="auto"/>
        </w:rPr>
        <w:t>Payment of Tax</w:t>
      </w:r>
      <w:r>
        <w:rPr>
          <w:rFonts w:ascii="Times New Roman" w:cs="Times New Roman" w:eastAsia="Times New Roman" w:hAnsi="Times New Roman"/>
          <w:sz w:val="17"/>
          <w:szCs w:val="17"/>
          <w:color w:val="auto"/>
        </w:rPr>
        <w:t xml:space="preserve">. A Party receiving a payment pursuant to this Agreement shall pay any and all Taxes levied on such payment except as provided in this </w:t>
      </w:r>
      <w:r>
        <w:rPr>
          <w:rFonts w:ascii="Times New Roman" w:cs="Times New Roman" w:eastAsia="Times New Roman" w:hAnsi="Times New Roman"/>
          <w:sz w:val="17"/>
          <w:szCs w:val="17"/>
          <w:u w:val="single" w:color="auto"/>
          <w:color w:val="auto"/>
        </w:rPr>
        <w:t>Section 3.5 (Taxes)</w:t>
      </w:r>
      <w:r>
        <w:rPr>
          <w:rFonts w:ascii="Times New Roman" w:cs="Times New Roman" w:eastAsia="Times New Roman" w:hAnsi="Times New Roman"/>
          <w:sz w:val="17"/>
          <w:szCs w:val="17"/>
          <w:color w:val="auto"/>
        </w:rPr>
        <w:t>. If one Party is required by Applicable Laws to make a payment to the other Party subject to a deduction or withholding of Tax, the paying Party may deduct or withhold the applicable Tax without increase of the amount and shall (a) deduct those Taxes from the payment; (b) pay the Taxes to the proper taxing authority; and (c) send evidence of the obligation together with proof of payment to the other Party within [***] days following that payment. If the paying Party is required by the proper taxing authority to make a payment of withholding tax, the other Party shall collaborate to seek a refund under the tax treaty.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40"/>
          </w:cols>
          <w:pgMar w:left="620" w:top="262" w:right="639" w:bottom="1440" w:gutter="0" w:footer="0" w:header="0"/>
        </w:sectPr>
      </w:pPr>
    </w:p>
    <w:bookmarkStart w:id="541" w:name="page542"/>
    <w:bookmarkEnd w:id="541"/>
    <w:p>
      <w:pPr>
        <w:ind w:left="8" w:firstLine="426"/>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3.5.4  </w:t>
      </w:r>
      <w:r>
        <w:rPr>
          <w:rFonts w:ascii="Times New Roman" w:cs="Times New Roman" w:eastAsia="Times New Roman" w:hAnsi="Times New Roman"/>
          <w:sz w:val="17"/>
          <w:szCs w:val="17"/>
          <w:b w:val="1"/>
          <w:bCs w:val="1"/>
          <w:color w:val="auto"/>
        </w:rPr>
        <w:t>Withholding Taxes Resulting from a Party’s Action</w:t>
      </w:r>
      <w:r>
        <w:rPr>
          <w:rFonts w:ascii="Times New Roman" w:cs="Times New Roman" w:eastAsia="Times New Roman" w:hAnsi="Times New Roman"/>
          <w:sz w:val="17"/>
          <w:szCs w:val="17"/>
          <w:color w:val="auto"/>
        </w:rPr>
        <w:t xml:space="preserve">. Without limiting the generality of the foregoing, other than with respect to the upfront payment set forth in </w:t>
      </w:r>
      <w:r>
        <w:rPr>
          <w:rFonts w:ascii="Times New Roman" w:cs="Times New Roman" w:eastAsia="Times New Roman" w:hAnsi="Times New Roman"/>
          <w:sz w:val="17"/>
          <w:szCs w:val="17"/>
          <w:u w:val="single" w:color="auto"/>
          <w:color w:val="auto"/>
        </w:rPr>
        <w:t>Section 3.1 (Upfront Payment)</w:t>
      </w:r>
      <w:r>
        <w:rPr>
          <w:rFonts w:ascii="Times New Roman" w:cs="Times New Roman" w:eastAsia="Times New Roman" w:hAnsi="Times New Roman"/>
          <w:sz w:val="17"/>
          <w:szCs w:val="17"/>
          <w:color w:val="auto"/>
        </w:rPr>
        <w:t xml:space="preserve">, if one Party (or a Party’s assignees or successors) is required to make a payment to the other Party subject to a deduction or withholding of Tax, and if such deduction or withholding of Tax obligation arises as a result of any action taken by such required Party or its Affiliates or successors, including an assignment of this Agreement as permitted under </w:t>
      </w:r>
      <w:r>
        <w:rPr>
          <w:rFonts w:ascii="Times New Roman" w:cs="Times New Roman" w:eastAsia="Times New Roman" w:hAnsi="Times New Roman"/>
          <w:sz w:val="17"/>
          <w:szCs w:val="17"/>
          <w:u w:val="single" w:color="auto"/>
          <w:color w:val="auto"/>
        </w:rPr>
        <w:t>Section 12.5 (Assignment)</w:t>
      </w:r>
      <w:r>
        <w:rPr>
          <w:rFonts w:ascii="Times New Roman" w:cs="Times New Roman" w:eastAsia="Times New Roman" w:hAnsi="Times New Roman"/>
          <w:sz w:val="17"/>
          <w:szCs w:val="17"/>
          <w:color w:val="auto"/>
        </w:rPr>
        <w:t>, as a result of which (a) the payment arises in a territory other than such required Party’s Territory, (b) there is a change in the tax residency of such required Party, or</w:t>
      </w:r>
    </w:p>
    <w:p>
      <w:pPr>
        <w:spacing w:after="0" w:line="3" w:lineRule="exact"/>
        <w:rPr>
          <w:sz w:val="20"/>
          <w:szCs w:val="20"/>
          <w:color w:val="auto"/>
        </w:rPr>
      </w:pPr>
    </w:p>
    <w:p>
      <w:pPr>
        <w:ind w:left="8" w:right="240" w:hanging="8"/>
        <w:spacing w:after="0" w:line="260" w:lineRule="auto"/>
        <w:tabs>
          <w:tab w:leader="none" w:pos="245"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payments arise or are deemed to arise through a branch of such required Party in a territory other than such required Party’s Territory and such action has the effect of increasing the amount of tax deducted or withheld (each, an “</w:t>
      </w:r>
      <w:r>
        <w:rPr>
          <w:rFonts w:ascii="Times New Roman" w:cs="Times New Roman" w:eastAsia="Times New Roman" w:hAnsi="Times New Roman"/>
          <w:sz w:val="17"/>
          <w:szCs w:val="17"/>
          <w:b w:val="1"/>
          <w:bCs w:val="1"/>
          <w:color w:val="auto"/>
        </w:rPr>
        <w:t>Withholding Tax Action</w:t>
      </w:r>
      <w:r>
        <w:rPr>
          <w:rFonts w:ascii="Times New Roman" w:cs="Times New Roman" w:eastAsia="Times New Roman" w:hAnsi="Times New Roman"/>
          <w:sz w:val="17"/>
          <w:szCs w:val="17"/>
          <w:color w:val="auto"/>
        </w:rPr>
        <w:t xml:space="preserve">”), then notwithstanding </w:t>
      </w:r>
      <w:r>
        <w:rPr>
          <w:rFonts w:ascii="Times New Roman" w:cs="Times New Roman" w:eastAsia="Times New Roman" w:hAnsi="Times New Roman"/>
          <w:sz w:val="17"/>
          <w:szCs w:val="17"/>
          <w:u w:val="single" w:color="auto"/>
          <w:color w:val="auto"/>
        </w:rPr>
        <w:t>Section 3.5.3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(Payment of Tax)</w:t>
      </w:r>
      <w:r>
        <w:rPr>
          <w:rFonts w:ascii="Times New Roman" w:cs="Times New Roman" w:eastAsia="Times New Roman" w:hAnsi="Times New Roman"/>
          <w:sz w:val="17"/>
          <w:szCs w:val="17"/>
          <w:color w:val="auto"/>
        </w:rPr>
        <w:t>, the payment by such required Party (in respect of which such deduction or withholding of Tax is required to be made) shall be increased by the amount necessary to ensure that the other Party receives an amount equal to the same amount that it would have received had no Withholding Tax Action occurred.</w:t>
      </w:r>
    </w:p>
    <w:p>
      <w:pPr>
        <w:spacing w:after="0" w:line="3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03" w:lineRule="exact"/>
        <w:rPr>
          <w:sz w:val="20"/>
          <w:szCs w:val="20"/>
          <w:color w:val="auto"/>
        </w:rPr>
      </w:pPr>
    </w:p>
    <w:p>
      <w:pPr>
        <w:ind w:left="8" w:right="820"/>
        <w:spacing w:after="0" w:line="298"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b w:val="1"/>
          <w:bCs w:val="1"/>
          <w:color w:val="auto"/>
        </w:rPr>
        <w:t>Inventorship</w:t>
      </w:r>
      <w:r>
        <w:rPr>
          <w:rFonts w:ascii="Times New Roman" w:cs="Times New Roman" w:eastAsia="Times New Roman" w:hAnsi="Times New Roman"/>
          <w:sz w:val="17"/>
          <w:szCs w:val="17"/>
          <w:color w:val="auto"/>
        </w:rPr>
        <w:t xml:space="preserve">. For purposes of </w:t>
      </w:r>
      <w:r>
        <w:rPr>
          <w:rFonts w:ascii="Times New Roman" w:cs="Times New Roman" w:eastAsia="Times New Roman" w:hAnsi="Times New Roman"/>
          <w:sz w:val="17"/>
          <w:szCs w:val="17"/>
          <w:u w:val="single" w:color="auto"/>
          <w:color w:val="auto"/>
        </w:rPr>
        <w:t>Section 4.2 (Ownership)</w:t>
      </w:r>
      <w:r>
        <w:rPr>
          <w:rFonts w:ascii="Times New Roman" w:cs="Times New Roman" w:eastAsia="Times New Roman" w:hAnsi="Times New Roman"/>
          <w:sz w:val="17"/>
          <w:szCs w:val="17"/>
          <w:color w:val="auto"/>
        </w:rPr>
        <w:t>, inventorship for inventions and discoveries first made during the course of the performance of activities pursuant to this Agreement shall be determined in accordance with U.S. Patent Law.</w:t>
      </w:r>
    </w:p>
    <w:p>
      <w:pPr>
        <w:spacing w:after="0" w:line="2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b w:val="1"/>
          <w:bCs w:val="1"/>
          <w:color w:val="auto"/>
        </w:rPr>
        <w:t>Ownership</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8" w:right="160" w:firstLine="426"/>
        <w:spacing w:after="0" w:line="277" w:lineRule="auto"/>
        <w:rPr>
          <w:sz w:val="20"/>
          <w:szCs w:val="20"/>
          <w:color w:val="auto"/>
        </w:rPr>
      </w:pPr>
      <w:r>
        <w:rPr>
          <w:rFonts w:ascii="Times New Roman" w:cs="Times New Roman" w:eastAsia="Times New Roman" w:hAnsi="Times New Roman"/>
          <w:sz w:val="17"/>
          <w:szCs w:val="17"/>
          <w:color w:val="auto"/>
        </w:rPr>
        <w:t xml:space="preserve">4.2.1  </w:t>
      </w:r>
      <w:r>
        <w:rPr>
          <w:rFonts w:ascii="Times New Roman" w:cs="Times New Roman" w:eastAsia="Times New Roman" w:hAnsi="Times New Roman"/>
          <w:sz w:val="17"/>
          <w:szCs w:val="17"/>
          <w:b w:val="1"/>
          <w:bCs w:val="1"/>
          <w:color w:val="auto"/>
        </w:rPr>
        <w:t>Background Intellectual Property</w:t>
      </w:r>
      <w:r>
        <w:rPr>
          <w:rFonts w:ascii="Times New Roman" w:cs="Times New Roman" w:eastAsia="Times New Roman" w:hAnsi="Times New Roman"/>
          <w:sz w:val="17"/>
          <w:szCs w:val="17"/>
          <w:color w:val="auto"/>
        </w:rPr>
        <w:t>. As between the Parties, and subject to the licenses granted under this Agreement, each Party retains all right, title and interest in and to all intellectual property rights that such Party owns or Controls as of the Effective Date or that it develops or otherwise acquires after the Effective Date and outside the activities conducted pursuant to this Agreement.</w:t>
      </w:r>
    </w:p>
    <w:p>
      <w:pPr>
        <w:spacing w:after="0" w:line="160" w:lineRule="exact"/>
        <w:rPr>
          <w:sz w:val="20"/>
          <w:szCs w:val="20"/>
          <w:color w:val="auto"/>
        </w:rPr>
      </w:pPr>
    </w:p>
    <w:p>
      <w:pPr>
        <w:ind w:left="8" w:right="40" w:firstLine="426"/>
        <w:spacing w:after="0" w:line="274" w:lineRule="auto"/>
        <w:rPr>
          <w:sz w:val="20"/>
          <w:szCs w:val="20"/>
          <w:color w:val="auto"/>
        </w:rPr>
      </w:pPr>
      <w:r>
        <w:rPr>
          <w:rFonts w:ascii="Times New Roman" w:cs="Times New Roman" w:eastAsia="Times New Roman" w:hAnsi="Times New Roman"/>
          <w:sz w:val="17"/>
          <w:szCs w:val="17"/>
          <w:color w:val="auto"/>
        </w:rPr>
        <w:t xml:space="preserve">4.2.2  </w:t>
      </w:r>
      <w:r>
        <w:rPr>
          <w:rFonts w:ascii="Times New Roman" w:cs="Times New Roman" w:eastAsia="Times New Roman" w:hAnsi="Times New Roman"/>
          <w:sz w:val="17"/>
          <w:szCs w:val="17"/>
          <w:b w:val="1"/>
          <w:bCs w:val="1"/>
          <w:color w:val="auto"/>
        </w:rPr>
        <w:t>Tempus Ownership of New Intellectual Property</w:t>
      </w:r>
      <w:r>
        <w:rPr>
          <w:rFonts w:ascii="Times New Roman" w:cs="Times New Roman" w:eastAsia="Times New Roman" w:hAnsi="Times New Roman"/>
          <w:sz w:val="17"/>
          <w:szCs w:val="17"/>
          <w:color w:val="auto"/>
        </w:rPr>
        <w:t xml:space="preserve">. Subject to the terms and conditions set forth in this Agreement, including the licenses granted in </w:t>
      </w:r>
      <w:r>
        <w:rPr>
          <w:rFonts w:ascii="Times New Roman" w:cs="Times New Roman" w:eastAsia="Times New Roman" w:hAnsi="Times New Roman"/>
          <w:sz w:val="17"/>
          <w:szCs w:val="17"/>
          <w:u w:val="single" w:color="auto"/>
          <w:color w:val="auto"/>
        </w:rPr>
        <w:t>Article 2 (Licenses)</w:t>
      </w:r>
      <w:r>
        <w:rPr>
          <w:rFonts w:ascii="Times New Roman" w:cs="Times New Roman" w:eastAsia="Times New Roman" w:hAnsi="Times New Roman"/>
          <w:sz w:val="17"/>
          <w:szCs w:val="17"/>
          <w:color w:val="auto"/>
        </w:rPr>
        <w:t>, the entire right, title and interest in and to all Know-How and Patents arising from the performance of activities or exercise of rights granted pursuant to this Agreement that are made or conceived solely by or on behalf of Tempus or its Affiliates shall be owned by Tempus.</w:t>
      </w:r>
    </w:p>
    <w:p>
      <w:pPr>
        <w:spacing w:after="0" w:line="376" w:lineRule="exact"/>
        <w:rPr>
          <w:sz w:val="20"/>
          <w:szCs w:val="20"/>
          <w:color w:val="auto"/>
        </w:rPr>
      </w:pPr>
    </w:p>
    <w:p>
      <w:pPr>
        <w:ind w:left="8" w:right="240" w:firstLine="426"/>
        <w:spacing w:after="0" w:line="277" w:lineRule="auto"/>
        <w:rPr>
          <w:sz w:val="20"/>
          <w:szCs w:val="20"/>
          <w:color w:val="auto"/>
        </w:rPr>
      </w:pPr>
      <w:r>
        <w:rPr>
          <w:rFonts w:ascii="Times New Roman" w:cs="Times New Roman" w:eastAsia="Times New Roman" w:hAnsi="Times New Roman"/>
          <w:sz w:val="17"/>
          <w:szCs w:val="17"/>
          <w:color w:val="auto"/>
        </w:rPr>
        <w:t xml:space="preserve">4.2.3  </w:t>
      </w:r>
      <w:r>
        <w:rPr>
          <w:rFonts w:ascii="Times New Roman" w:cs="Times New Roman" w:eastAsia="Times New Roman" w:hAnsi="Times New Roman"/>
          <w:sz w:val="17"/>
          <w:szCs w:val="17"/>
          <w:b w:val="1"/>
          <w:bCs w:val="1"/>
          <w:color w:val="auto"/>
        </w:rPr>
        <w:t>KK Ownership of New Intellectual Property</w:t>
      </w:r>
      <w:r>
        <w:rPr>
          <w:rFonts w:ascii="Times New Roman" w:cs="Times New Roman" w:eastAsia="Times New Roman" w:hAnsi="Times New Roman"/>
          <w:sz w:val="17"/>
          <w:szCs w:val="17"/>
          <w:color w:val="auto"/>
        </w:rPr>
        <w:t xml:space="preserve">. Subject to the terms and conditions set forth in this Agreement, including the licenses granted in </w:t>
      </w:r>
      <w:r>
        <w:rPr>
          <w:rFonts w:ascii="Times New Roman" w:cs="Times New Roman" w:eastAsia="Times New Roman" w:hAnsi="Times New Roman"/>
          <w:sz w:val="17"/>
          <w:szCs w:val="17"/>
          <w:u w:val="single" w:color="auto"/>
          <w:color w:val="auto"/>
        </w:rPr>
        <w:t>Article 2 (Licenses)</w:t>
      </w:r>
      <w:r>
        <w:rPr>
          <w:rFonts w:ascii="Times New Roman" w:cs="Times New Roman" w:eastAsia="Times New Roman" w:hAnsi="Times New Roman"/>
          <w:sz w:val="17"/>
          <w:szCs w:val="17"/>
          <w:color w:val="auto"/>
        </w:rPr>
        <w:t>, the entire right, title and interest in and to all Know-How and Patents arising from the performance of activities or exercise of rights granted pursuant to this Agreement that are made or conceived solely by or on behalf of KK or its Affiliates shall be owned by KK.</w:t>
      </w:r>
    </w:p>
    <w:p>
      <w:pPr>
        <w:spacing w:after="0" w:line="160" w:lineRule="exact"/>
        <w:rPr>
          <w:sz w:val="20"/>
          <w:szCs w:val="20"/>
          <w:color w:val="auto"/>
        </w:rPr>
      </w:pPr>
    </w:p>
    <w:p>
      <w:pPr>
        <w:ind w:left="8" w:right="40" w:firstLine="426"/>
        <w:spacing w:after="0" w:line="268" w:lineRule="auto"/>
        <w:rPr>
          <w:sz w:val="20"/>
          <w:szCs w:val="20"/>
          <w:color w:val="auto"/>
        </w:rPr>
      </w:pPr>
      <w:r>
        <w:rPr>
          <w:rFonts w:ascii="Times New Roman" w:cs="Times New Roman" w:eastAsia="Times New Roman" w:hAnsi="Times New Roman"/>
          <w:sz w:val="17"/>
          <w:szCs w:val="17"/>
          <w:color w:val="auto"/>
        </w:rPr>
        <w:t xml:space="preserve">4.2.4  </w:t>
      </w:r>
      <w:r>
        <w:rPr>
          <w:rFonts w:ascii="Times New Roman" w:cs="Times New Roman" w:eastAsia="Times New Roman" w:hAnsi="Times New Roman"/>
          <w:sz w:val="17"/>
          <w:szCs w:val="17"/>
          <w:b w:val="1"/>
          <w:bCs w:val="1"/>
          <w:color w:val="auto"/>
        </w:rPr>
        <w:t>Joint Ownership of New Intellectual Property</w:t>
      </w:r>
      <w:r>
        <w:rPr>
          <w:rFonts w:ascii="Times New Roman" w:cs="Times New Roman" w:eastAsia="Times New Roman" w:hAnsi="Times New Roman"/>
          <w:sz w:val="17"/>
          <w:szCs w:val="17"/>
          <w:color w:val="auto"/>
        </w:rPr>
        <w:t xml:space="preserve">. Subject to the terms and conditions set forth in this Agreement, including the licenses granted in </w:t>
      </w:r>
      <w:r>
        <w:rPr>
          <w:rFonts w:ascii="Times New Roman" w:cs="Times New Roman" w:eastAsia="Times New Roman" w:hAnsi="Times New Roman"/>
          <w:sz w:val="17"/>
          <w:szCs w:val="17"/>
          <w:u w:val="single" w:color="auto"/>
          <w:color w:val="auto"/>
        </w:rPr>
        <w:t>Article 2 (Licenses)</w:t>
      </w:r>
      <w:r>
        <w:rPr>
          <w:rFonts w:ascii="Times New Roman" w:cs="Times New Roman" w:eastAsia="Times New Roman" w:hAnsi="Times New Roman"/>
          <w:sz w:val="17"/>
          <w:szCs w:val="17"/>
          <w:color w:val="auto"/>
        </w:rPr>
        <w:t>, the entire right, title and interest in and to all Know-How and Patents arising from the performance of activities or exercise of rights granted pursuant to this Agreement that are made or conceived jointly by or on behalf of Tempus or its Affiliates and by or on behalf of KK or its Affiliates (“</w:t>
      </w:r>
      <w:r>
        <w:rPr>
          <w:rFonts w:ascii="Times New Roman" w:cs="Times New Roman" w:eastAsia="Times New Roman" w:hAnsi="Times New Roman"/>
          <w:sz w:val="17"/>
          <w:szCs w:val="17"/>
          <w:b w:val="1"/>
          <w:bCs w:val="1"/>
          <w:color w:val="auto"/>
        </w:rPr>
        <w:t>Joint Know-How</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Joint Patents</w:t>
      </w:r>
      <w:r>
        <w:rPr>
          <w:rFonts w:ascii="Times New Roman" w:cs="Times New Roman" w:eastAsia="Times New Roman" w:hAnsi="Times New Roman"/>
          <w:sz w:val="17"/>
          <w:szCs w:val="17"/>
          <w:color w:val="auto"/>
        </w:rPr>
        <w:t>” respectively, and together, “</w:t>
      </w:r>
      <w:r>
        <w:rPr>
          <w:rFonts w:ascii="Times New Roman" w:cs="Times New Roman" w:eastAsia="Times New Roman" w:hAnsi="Times New Roman"/>
          <w:sz w:val="17"/>
          <w:szCs w:val="17"/>
          <w:b w:val="1"/>
          <w:bCs w:val="1"/>
          <w:color w:val="auto"/>
        </w:rPr>
        <w:t>Joint Technology</w:t>
      </w:r>
      <w:r>
        <w:rPr>
          <w:rFonts w:ascii="Times New Roman" w:cs="Times New Roman" w:eastAsia="Times New Roman" w:hAnsi="Times New Roman"/>
          <w:sz w:val="17"/>
          <w:szCs w:val="17"/>
          <w:color w:val="auto"/>
        </w:rPr>
        <w:t>”) shall be owned jointly by Tempus and KK.</w:t>
      </w:r>
    </w:p>
    <w:p>
      <w:pPr>
        <w:spacing w:after="0" w:line="3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48"/>
          </w:cols>
          <w:pgMar w:left="612" w:top="262" w:right="639" w:bottom="1440" w:gutter="0" w:footer="0" w:header="0"/>
        </w:sectPr>
      </w:pPr>
    </w:p>
    <w:bookmarkStart w:id="542" w:name="page543"/>
    <w:bookmarkEnd w:id="542"/>
    <w:p>
      <w:pPr>
        <w:ind w:right="8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4.3  </w:t>
      </w:r>
      <w:r>
        <w:rPr>
          <w:rFonts w:ascii="Times New Roman" w:cs="Times New Roman" w:eastAsia="Times New Roman" w:hAnsi="Times New Roman"/>
          <w:sz w:val="17"/>
          <w:szCs w:val="17"/>
          <w:b w:val="1"/>
          <w:bCs w:val="1"/>
          <w:color w:val="auto"/>
        </w:rPr>
        <w:t>Invention Assignment</w:t>
      </w:r>
      <w:r>
        <w:rPr>
          <w:rFonts w:ascii="Times New Roman" w:cs="Times New Roman" w:eastAsia="Times New Roman" w:hAnsi="Times New Roman"/>
          <w:sz w:val="17"/>
          <w:szCs w:val="17"/>
          <w:color w:val="auto"/>
        </w:rPr>
        <w:t>. Each Party shall ensure that all of its and its Affiliates’ employees and contractors (including subcontractors) acting under its or its Affiliates’ authority in the performance of this Agreement assign to such Party under a binding written agreement all rights, titles and interests in and to all Know-How discovered, made, conceived or reduced to practice by such employee or contractor and any intellectual property rights thereunder. For clarity, each Party shall be solely liable for any compensation required by such written agreement, laws or otherwise to its and its Affiliates’ employee or contractor who is the inventor or creator of such Know-How.</w:t>
      </w:r>
    </w:p>
    <w:p>
      <w:pPr>
        <w:spacing w:after="0" w:line="16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b w:val="1"/>
          <w:bCs w:val="1"/>
          <w:color w:val="auto"/>
        </w:rPr>
        <w:t>Right to Practice Joint Know-How and Joint Patents</w:t>
      </w:r>
      <w:r>
        <w:rPr>
          <w:rFonts w:ascii="Times New Roman" w:cs="Times New Roman" w:eastAsia="Times New Roman" w:hAnsi="Times New Roman"/>
          <w:sz w:val="17"/>
          <w:szCs w:val="17"/>
          <w:color w:val="auto"/>
        </w:rPr>
        <w:t>. Except to the extent either Party is restricted by the express terms of this Agreement, each Party shall have the right to practice and exploit such Joint Patents and Joint Know-How, with full rights to license its interest therein in the respective Territory and without any duty of accounting to or any duty to seek consent from the other Party. Each Party shall have a duty to protect Joint Know-How by taking all reasonable steps to prevent its public disclosure. Upon the reasonable request of either Party, the other Party shall take such further actions reasonably requested by the other Party to evidence or confirm the requesting Party’s right to engage in such activities.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b w:val="1"/>
          <w:bCs w:val="1"/>
          <w:color w:val="auto"/>
        </w:rPr>
        <w:t>Prosecution</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right="80" w:firstLine="426"/>
        <w:spacing w:after="0" w:line="277" w:lineRule="auto"/>
        <w:rPr>
          <w:sz w:val="20"/>
          <w:szCs w:val="20"/>
          <w:color w:val="auto"/>
        </w:rPr>
      </w:pPr>
      <w:r>
        <w:rPr>
          <w:rFonts w:ascii="Times New Roman" w:cs="Times New Roman" w:eastAsia="Times New Roman" w:hAnsi="Times New Roman"/>
          <w:sz w:val="17"/>
          <w:szCs w:val="17"/>
          <w:color w:val="auto"/>
        </w:rPr>
        <w:t xml:space="preserve">4.5.1  </w:t>
      </w:r>
      <w:r>
        <w:rPr>
          <w:rFonts w:ascii="Times New Roman" w:cs="Times New Roman" w:eastAsia="Times New Roman" w:hAnsi="Times New Roman"/>
          <w:sz w:val="17"/>
          <w:szCs w:val="17"/>
          <w:b w:val="1"/>
          <w:bCs w:val="1"/>
          <w:color w:val="auto"/>
        </w:rPr>
        <w:t>Definition of Prosecution</w:t>
      </w:r>
      <w:r>
        <w:rPr>
          <w:rFonts w:ascii="Times New Roman" w:cs="Times New Roman" w:eastAsia="Times New Roman" w:hAnsi="Times New Roman"/>
          <w:sz w:val="17"/>
          <w:szCs w:val="17"/>
          <w:color w:val="auto"/>
        </w:rPr>
        <w:t xml:space="preserve">. As used herein, “prosecution” of Patents shall include all communication and other interaction with any patent office or patent authority having jurisdiction over a Patent application throughout the world in connection with pre-grant proceedings. Post-grant proceedings shall be governed by </w:t>
      </w:r>
      <w:r>
        <w:rPr>
          <w:rFonts w:ascii="Times New Roman" w:cs="Times New Roman" w:eastAsia="Times New Roman" w:hAnsi="Times New Roman"/>
          <w:sz w:val="17"/>
          <w:szCs w:val="17"/>
          <w:u w:val="single" w:color="auto"/>
          <w:color w:val="auto"/>
        </w:rPr>
        <w:t>Section 4.6 (Enforcement Rights for Infringement by Third Parties)</w:t>
      </w:r>
      <w:r>
        <w:rPr>
          <w:rFonts w:ascii="Times New Roman" w:cs="Times New Roman" w:eastAsia="Times New Roman" w:hAnsi="Times New Roman"/>
          <w:sz w:val="17"/>
          <w:szCs w:val="17"/>
          <w:color w:val="auto"/>
        </w:rPr>
        <w:t>.</w:t>
      </w: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4.5.2   </w:t>
      </w:r>
      <w:r>
        <w:rPr>
          <w:rFonts w:ascii="Times New Roman" w:cs="Times New Roman" w:eastAsia="Times New Roman" w:hAnsi="Times New Roman"/>
          <w:sz w:val="17"/>
          <w:szCs w:val="17"/>
          <w:b w:val="1"/>
          <w:bCs w:val="1"/>
          <w:color w:val="auto"/>
        </w:rPr>
        <w:t>Tempus Patents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right="40" w:firstLine="960"/>
        <w:spacing w:after="0" w:line="263" w:lineRule="auto"/>
        <w:rPr>
          <w:sz w:val="20"/>
          <w:szCs w:val="20"/>
          <w:color w:val="auto"/>
        </w:rPr>
      </w:pPr>
      <w:r>
        <w:rPr>
          <w:rFonts w:ascii="Times New Roman" w:cs="Times New Roman" w:eastAsia="Times New Roman" w:hAnsi="Times New Roman"/>
          <w:sz w:val="17"/>
          <w:szCs w:val="17"/>
          <w:color w:val="auto"/>
        </w:rPr>
        <w:t xml:space="preserve">(a)  Tempus shall have the sole right to prepare, file, prosecute and maintain the Tempus Patents in the Tempus Territory at Tempus’s sole expense. Except as otherwise provided in </w:t>
      </w:r>
      <w:r>
        <w:rPr>
          <w:rFonts w:ascii="Times New Roman" w:cs="Times New Roman" w:eastAsia="Times New Roman" w:hAnsi="Times New Roman"/>
          <w:sz w:val="17"/>
          <w:szCs w:val="17"/>
          <w:u w:val="single" w:color="auto"/>
          <w:color w:val="auto"/>
        </w:rPr>
        <w:t>Section 4.5.2(b) (Tempus Patents)</w:t>
      </w:r>
      <w:r>
        <w:rPr>
          <w:rFonts w:ascii="Times New Roman" w:cs="Times New Roman" w:eastAsia="Times New Roman" w:hAnsi="Times New Roman"/>
          <w:sz w:val="17"/>
          <w:szCs w:val="17"/>
          <w:color w:val="auto"/>
        </w:rPr>
        <w:t>, Tempus shall have the first right, but not the obligation, to prepare, file, prosecute and maintain the Tempus Patents in the KK Territory. KK shall be kept reasonably informed on progress and have reasonable opportunity to review and comment on the documents filed in connection with the prosecution of the Tempus Patents in the KK Territory, and Tempus shall consider in good faith and incorporate KK’s reasonable comments related to filings and prosecution-related documents in the KK Territory prior to submission to the Japan Patent Office; provided, however, that Tempus shall have the final decision with respect to such matters. For the avoidance of doubt, Tempus has no obligation to disclose Tempus’s patent strategy or patent prosecution activities outside the KK Territory.</w:t>
      </w:r>
    </w:p>
    <w:p>
      <w:pPr>
        <w:spacing w:after="0" w:line="173" w:lineRule="exact"/>
        <w:rPr>
          <w:sz w:val="20"/>
          <w:szCs w:val="20"/>
          <w:color w:val="auto"/>
        </w:rPr>
      </w:pPr>
    </w:p>
    <w:p>
      <w:pPr>
        <w:ind w:right="100" w:firstLine="960"/>
        <w:spacing w:after="0" w:line="269" w:lineRule="auto"/>
        <w:rPr>
          <w:sz w:val="20"/>
          <w:szCs w:val="20"/>
          <w:color w:val="auto"/>
        </w:rPr>
      </w:pPr>
      <w:r>
        <w:rPr>
          <w:rFonts w:ascii="Times New Roman" w:cs="Times New Roman" w:eastAsia="Times New Roman" w:hAnsi="Times New Roman"/>
          <w:sz w:val="17"/>
          <w:szCs w:val="17"/>
          <w:color w:val="auto"/>
        </w:rPr>
        <w:t>(b)  Tempus may elect to cease prosecution and maintenance, or not to file an application for, any Tempus Patent in the KK Territory by written notice to KK given at least [***] days prior to any upcoming deadline in the Japan Patent Office (or, if the deadline is within [***] days, then within such shorter period that is still sufficient to give Tempus a reasonable opportunity to respond) with respect to such Tempus Patent. In such event, KK shall have the right, but not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60"/>
          </w:cols>
          <w:pgMar w:left="620" w:top="262" w:right="619" w:bottom="1440" w:gutter="0" w:footer="0" w:header="0"/>
        </w:sectPr>
      </w:pPr>
    </w:p>
    <w:bookmarkStart w:id="543" w:name="page544"/>
    <w:bookmarkEnd w:id="543"/>
    <w:p>
      <w:pPr>
        <w:jc w:val="both"/>
        <w:ind w:left="8" w:right="3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obligation, to assume the responsibility for the prosecution and maintenance of such Tempus Patent in the KK Territory in the name of Tempus, [***]. Any Tempus Patent in respect of which KK elects to prosecute or maintain under its control shall be, following KK’s election to prosecute or maintain such Patent shall become a KK Patent for purposes of this Agreement.</w:t>
      </w:r>
    </w:p>
    <w:p>
      <w:pPr>
        <w:spacing w:after="0" w:line="26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4.5.3   </w:t>
      </w:r>
      <w:r>
        <w:rPr>
          <w:rFonts w:ascii="Times New Roman" w:cs="Times New Roman" w:eastAsia="Times New Roman" w:hAnsi="Times New Roman"/>
          <w:sz w:val="17"/>
          <w:szCs w:val="17"/>
          <w:b w:val="1"/>
          <w:bCs w:val="1"/>
          <w:color w:val="auto"/>
        </w:rPr>
        <w:t>KK Patents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8" w:right="140" w:firstLine="960"/>
        <w:spacing w:after="0" w:line="295" w:lineRule="auto"/>
        <w:rPr>
          <w:sz w:val="20"/>
          <w:szCs w:val="20"/>
          <w:color w:val="auto"/>
        </w:rPr>
      </w:pPr>
      <w:r>
        <w:rPr>
          <w:rFonts w:ascii="Times New Roman" w:cs="Times New Roman" w:eastAsia="Times New Roman" w:hAnsi="Times New Roman"/>
          <w:sz w:val="17"/>
          <w:szCs w:val="17"/>
          <w:color w:val="auto"/>
        </w:rPr>
        <w:t>(a)  KK shall have the sole right, but not the obligation, to prepare, file, prosecute and maintain the KK Patents, excluding Joint Patents, worldwide, including the Tempus Territory, at KK’s sole expense and sole discretion.</w:t>
      </w:r>
    </w:p>
    <w:p>
      <w:pPr>
        <w:spacing w:after="0" w:line="147" w:lineRule="exact"/>
        <w:rPr>
          <w:sz w:val="20"/>
          <w:szCs w:val="20"/>
          <w:color w:val="auto"/>
        </w:rPr>
      </w:pPr>
    </w:p>
    <w:p>
      <w:pPr>
        <w:ind w:left="8" w:right="100" w:firstLine="960"/>
        <w:spacing w:after="0" w:line="264" w:lineRule="auto"/>
        <w:rPr>
          <w:sz w:val="20"/>
          <w:szCs w:val="20"/>
          <w:color w:val="auto"/>
        </w:rPr>
      </w:pPr>
      <w:r>
        <w:rPr>
          <w:rFonts w:ascii="Times New Roman" w:cs="Times New Roman" w:eastAsia="Times New Roman" w:hAnsi="Times New Roman"/>
          <w:sz w:val="17"/>
          <w:szCs w:val="17"/>
          <w:color w:val="auto"/>
        </w:rPr>
        <w:t>(b)  KK may elect to cease prosecution and maintenance, or not to file an application for, any KK Patents in the Tempus Territory by written notice to Tempus given at least [***] days prior to any upcoming deadline in any patent office (or, if the deadline is within [***] days, then within such shorter period that is still sufficient to give Tempus a reasonable opportunity to respond) with respect to such KK Patents. In such event, Tempus shall have the right, but not the obligation, to assume the responsibility for the prosecution and maintenance of such KK Patents in the Tempus Territory in the name of KK, [***]. The KK Patent in respect of which Tempus elects to prosecute or maintain under its control shall become a Tempus Patent for purposes of this Agreement.</w:t>
      </w:r>
    </w:p>
    <w:p>
      <w:pPr>
        <w:spacing w:after="0" w:line="27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color w:val="auto"/>
        </w:rPr>
        <w:t xml:space="preserve">4.5.4   </w:t>
      </w:r>
      <w:r>
        <w:rPr>
          <w:rFonts w:ascii="Times New Roman" w:cs="Times New Roman" w:eastAsia="Times New Roman" w:hAnsi="Times New Roman"/>
          <w:sz w:val="17"/>
          <w:szCs w:val="17"/>
          <w:b w:val="1"/>
          <w:bCs w:val="1"/>
          <w:color w:val="auto"/>
        </w:rPr>
        <w:t>Joint Patents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8" w:right="40" w:firstLine="960"/>
        <w:spacing w:after="0" w:line="267" w:lineRule="auto"/>
        <w:rPr>
          <w:sz w:val="20"/>
          <w:szCs w:val="20"/>
          <w:color w:val="auto"/>
        </w:rPr>
      </w:pPr>
      <w:r>
        <w:rPr>
          <w:rFonts w:ascii="Times New Roman" w:cs="Times New Roman" w:eastAsia="Times New Roman" w:hAnsi="Times New Roman"/>
          <w:sz w:val="17"/>
          <w:szCs w:val="17"/>
          <w:color w:val="auto"/>
        </w:rPr>
        <w:t xml:space="preserve">(a)  Except as otherwise provided in </w:t>
      </w:r>
      <w:r>
        <w:rPr>
          <w:rFonts w:ascii="Times New Roman" w:cs="Times New Roman" w:eastAsia="Times New Roman" w:hAnsi="Times New Roman"/>
          <w:sz w:val="17"/>
          <w:szCs w:val="17"/>
          <w:u w:val="single" w:color="auto"/>
          <w:color w:val="auto"/>
        </w:rPr>
        <w:t>Section 4.5.4(b) (Joint Patents)</w:t>
      </w:r>
      <w:r>
        <w:rPr>
          <w:rFonts w:ascii="Times New Roman" w:cs="Times New Roman" w:eastAsia="Times New Roman" w:hAnsi="Times New Roman"/>
          <w:sz w:val="17"/>
          <w:szCs w:val="17"/>
          <w:color w:val="auto"/>
        </w:rPr>
        <w:t>, Tempus shall have the right, but not the obligation, to prepare, file, prosecute and maintain the Joint Patents in the names of both Tempus and KK in the Tempus Territory (excluding Japan, following the Term) [***], and</w:t>
      </w:r>
    </w:p>
    <w:p>
      <w:pPr>
        <w:spacing w:after="0" w:line="1" w:lineRule="exact"/>
        <w:rPr>
          <w:sz w:val="20"/>
          <w:szCs w:val="20"/>
          <w:color w:val="auto"/>
        </w:rPr>
      </w:pPr>
    </w:p>
    <w:p>
      <w:pPr>
        <w:ind w:left="8" w:right="20" w:hanging="8"/>
        <w:spacing w:after="0" w:line="260" w:lineRule="auto"/>
        <w:tabs>
          <w:tab w:leader="none" w:pos="303"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have the right, but not the obligation, to prepare, file, prosecute and maintain the Joint Patents in the names of both Tempus and KK in the KK Territory [***]; provided that following the Term, KK shall continue to have the right, but not the obligation, to prepare, file, prosecute and maintain the Joint Patents in the names of both Tempus and KK in the KK Territory [***]. Each Party shall at its own cost, sign, or use Commercially Reasonable Efforts to have signed, all legal documents necessary to file and prosecute patent applications or to obtain or maintain patents in respect of such Joint Patents. Each Party will be kept reasonably informed on progress of other Party’s prosecution and will be provided reasonable opportunity to review and comment on prosecution-material documents, upon the other Party’s request.</w:t>
      </w:r>
    </w:p>
    <w:p>
      <w:pPr>
        <w:spacing w:after="0" w:line="173" w:lineRule="exact"/>
        <w:rPr>
          <w:sz w:val="20"/>
          <w:szCs w:val="20"/>
          <w:color w:val="auto"/>
        </w:rPr>
      </w:pPr>
    </w:p>
    <w:p>
      <w:pPr>
        <w:ind w:left="8" w:firstLine="960"/>
        <w:spacing w:after="0" w:line="264" w:lineRule="auto"/>
        <w:rPr>
          <w:sz w:val="20"/>
          <w:szCs w:val="20"/>
          <w:color w:val="auto"/>
        </w:rPr>
      </w:pPr>
      <w:r>
        <w:rPr>
          <w:rFonts w:ascii="Times New Roman" w:cs="Times New Roman" w:eastAsia="Times New Roman" w:hAnsi="Times New Roman"/>
          <w:sz w:val="17"/>
          <w:szCs w:val="17"/>
          <w:color w:val="auto"/>
        </w:rPr>
        <w:t>(b)  In the event that a Party (the “</w:t>
      </w:r>
      <w:r>
        <w:rPr>
          <w:rFonts w:ascii="Times New Roman" w:cs="Times New Roman" w:eastAsia="Times New Roman" w:hAnsi="Times New Roman"/>
          <w:sz w:val="17"/>
          <w:szCs w:val="17"/>
          <w:b w:val="1"/>
          <w:bCs w:val="1"/>
          <w:color w:val="auto"/>
        </w:rPr>
        <w:t>Abandoning Party</w:t>
      </w:r>
      <w:r>
        <w:rPr>
          <w:rFonts w:ascii="Times New Roman" w:cs="Times New Roman" w:eastAsia="Times New Roman" w:hAnsi="Times New Roman"/>
          <w:sz w:val="17"/>
          <w:szCs w:val="17"/>
          <w:color w:val="auto"/>
        </w:rPr>
        <w:t>”) elects not to file or continue to prosecute or maintain patent protection on any Joint Patent in its Territory by written notice to the other Party (the “</w:t>
      </w:r>
      <w:r>
        <w:rPr>
          <w:rFonts w:ascii="Times New Roman" w:cs="Times New Roman" w:eastAsia="Times New Roman" w:hAnsi="Times New Roman"/>
          <w:sz w:val="17"/>
          <w:szCs w:val="17"/>
          <w:b w:val="1"/>
          <w:bCs w:val="1"/>
          <w:color w:val="auto"/>
        </w:rPr>
        <w:t>Assuming Party</w:t>
      </w:r>
      <w:r>
        <w:rPr>
          <w:rFonts w:ascii="Times New Roman" w:cs="Times New Roman" w:eastAsia="Times New Roman" w:hAnsi="Times New Roman"/>
          <w:sz w:val="17"/>
          <w:szCs w:val="17"/>
          <w:color w:val="auto"/>
        </w:rPr>
        <w:t>”) given at least [***] days prior to any upcoming deadline in any patent office (or, if the deadline is within [***] days, then within such shorter period that is still sufficient to give Tempus a reasonable opportunity to respond) with respect to such Joint Patent, the other Party shall have the right (but not the obligation) (which right shall continue following the Term) to file, prosecute and maintain such Joint Patent in such country in its sole name at its sole expense and without recourse to the Abandoning Party, in which event such Joint Patent will become Assuming Party’s Patent.</w:t>
      </w:r>
    </w:p>
    <w:p>
      <w:pPr>
        <w:spacing w:after="0" w:line="1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48"/>
          </w:cols>
          <w:pgMar w:left="612" w:top="265" w:right="63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4.6   </w:t>
      </w:r>
      <w:r>
        <w:rPr>
          <w:rFonts w:ascii="Times New Roman" w:cs="Times New Roman" w:eastAsia="Times New Roman" w:hAnsi="Times New Roman"/>
          <w:sz w:val="17"/>
          <w:szCs w:val="17"/>
          <w:b w:val="1"/>
          <w:bCs w:val="1"/>
          <w:color w:val="auto"/>
        </w:rPr>
        <w:t>Enforcement Rights for Infringement by Third Parties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firstLine="426"/>
        <w:spacing w:after="0" w:line="264" w:lineRule="auto"/>
        <w:rPr>
          <w:sz w:val="20"/>
          <w:szCs w:val="20"/>
          <w:color w:val="auto"/>
        </w:rPr>
      </w:pPr>
      <w:r>
        <w:rPr>
          <w:rFonts w:ascii="Times New Roman" w:cs="Times New Roman" w:eastAsia="Times New Roman" w:hAnsi="Times New Roman"/>
          <w:sz w:val="17"/>
          <w:szCs w:val="17"/>
          <w:color w:val="auto"/>
        </w:rPr>
        <w:t xml:space="preserve">4.6.1 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Each Party shall promptly notify (and will use Commercially Reasonable Efforts to so notify within [***] Days), in writing, the other Party upon learning of any actual or suspected infringement, misappropriation or other violation of the Tempus Technology (the “</w:t>
      </w:r>
      <w:r>
        <w:rPr>
          <w:rFonts w:ascii="Times New Roman" w:cs="Times New Roman" w:eastAsia="Times New Roman" w:hAnsi="Times New Roman"/>
          <w:sz w:val="17"/>
          <w:szCs w:val="17"/>
          <w:b w:val="1"/>
          <w:bCs w:val="1"/>
          <w:color w:val="auto"/>
        </w:rPr>
        <w:t>Infringement</w:t>
      </w:r>
      <w:r>
        <w:rPr>
          <w:rFonts w:ascii="Times New Roman" w:cs="Times New Roman" w:eastAsia="Times New Roman" w:hAnsi="Times New Roman"/>
          <w:sz w:val="17"/>
          <w:szCs w:val="17"/>
          <w:color w:val="auto"/>
        </w:rPr>
        <w:t>”, and a Third Party engaged in such Infringement, the “</w:t>
      </w:r>
      <w:r>
        <w:rPr>
          <w:rFonts w:ascii="Times New Roman" w:cs="Times New Roman" w:eastAsia="Times New Roman" w:hAnsi="Times New Roman"/>
          <w:sz w:val="17"/>
          <w:szCs w:val="17"/>
          <w:b w:val="1"/>
          <w:bCs w:val="1"/>
          <w:color w:val="auto"/>
        </w:rPr>
        <w:t>Infringer</w:t>
      </w:r>
      <w:r>
        <w:rPr>
          <w:rFonts w:ascii="Times New Roman" w:cs="Times New Roman" w:eastAsia="Times New Roman" w:hAnsi="Times New Roman"/>
          <w:sz w:val="17"/>
          <w:szCs w:val="17"/>
          <w:color w:val="auto"/>
        </w:rPr>
        <w:t>”), or of any claim, opposition or action alleging invalidity, unenforceability of the Tempus Patents and Joint Patents (the “</w:t>
      </w:r>
      <w:r>
        <w:rPr>
          <w:rFonts w:ascii="Times New Roman" w:cs="Times New Roman" w:eastAsia="Times New Roman" w:hAnsi="Times New Roman"/>
          <w:sz w:val="17"/>
          <w:szCs w:val="17"/>
          <w:b w:val="1"/>
          <w:bCs w:val="1"/>
          <w:color w:val="auto"/>
        </w:rPr>
        <w:t>Challenge</w:t>
      </w:r>
      <w:r>
        <w:rPr>
          <w:rFonts w:ascii="Times New Roman" w:cs="Times New Roman" w:eastAsia="Times New Roman" w:hAnsi="Times New Roman"/>
          <w:sz w:val="17"/>
          <w:szCs w:val="17"/>
          <w:color w:val="auto"/>
        </w:rPr>
        <w:t>”, and a Third Party engaged in such Challenge, the “</w:t>
      </w:r>
      <w:r>
        <w:rPr>
          <w:rFonts w:ascii="Times New Roman" w:cs="Times New Roman" w:eastAsia="Times New Roman" w:hAnsi="Times New Roman"/>
          <w:sz w:val="17"/>
          <w:szCs w:val="17"/>
          <w:b w:val="1"/>
          <w:bCs w:val="1"/>
          <w:color w:val="auto"/>
        </w:rPr>
        <w:t>Challenger</w:t>
      </w:r>
      <w:r>
        <w:rPr>
          <w:rFonts w:ascii="Times New Roman" w:cs="Times New Roman" w:eastAsia="Times New Roman" w:hAnsi="Times New Roman"/>
          <w:sz w:val="17"/>
          <w:szCs w:val="17"/>
          <w:color w:val="auto"/>
        </w:rPr>
        <w:t>”). If a Party receives such notice, such Party shall provide to the other Party all evidence in its possession pertaining to the actual or suspected Infringement, misappropriation or violation, or claim of invalidity or unenforceability that it can disclose without breach of a pre-existing obligation to a Third Party or waiver of a privilege.</w:t>
      </w:r>
    </w:p>
    <w:p>
      <w:pPr>
        <w:spacing w:after="0" w:line="173" w:lineRule="exact"/>
        <w:rPr>
          <w:sz w:val="20"/>
          <w:szCs w:val="20"/>
          <w:color w:val="auto"/>
        </w:rPr>
      </w:pPr>
    </w:p>
    <w:p>
      <w:pPr>
        <w:ind w:right="240" w:firstLine="426"/>
        <w:spacing w:after="0" w:line="264" w:lineRule="auto"/>
        <w:rPr>
          <w:sz w:val="20"/>
          <w:szCs w:val="20"/>
          <w:color w:val="auto"/>
        </w:rPr>
      </w:pPr>
      <w:r>
        <w:rPr>
          <w:rFonts w:ascii="Times New Roman" w:cs="Times New Roman" w:eastAsia="Times New Roman" w:hAnsi="Times New Roman"/>
          <w:sz w:val="17"/>
          <w:szCs w:val="17"/>
          <w:color w:val="auto"/>
        </w:rPr>
        <w:t xml:space="preserve">4.6.2  </w:t>
      </w:r>
      <w:r>
        <w:rPr>
          <w:rFonts w:ascii="Times New Roman" w:cs="Times New Roman" w:eastAsia="Times New Roman" w:hAnsi="Times New Roman"/>
          <w:sz w:val="17"/>
          <w:szCs w:val="17"/>
          <w:b w:val="1"/>
          <w:bCs w:val="1"/>
          <w:color w:val="auto"/>
        </w:rPr>
        <w:t>Tempus Technolog</w:t>
      </w:r>
      <w:r>
        <w:rPr>
          <w:rFonts w:ascii="Times New Roman" w:cs="Times New Roman" w:eastAsia="Times New Roman" w:hAnsi="Times New Roman"/>
          <w:sz w:val="17"/>
          <w:szCs w:val="17"/>
          <w:color w:val="auto"/>
        </w:rPr>
        <w:t xml:space="preserve">y. Tempus shall have the sole right to enforce or defend the Tempus Technology against Infringers or Challengers within the Tempus Territory, in each case, at Tempus’s cost and expense. During the Term, KK shall have the initial right to elect to enforce or defend the Tempus Technology against Infringers or Challengers within the KK Territory, [***] or such shorter period as to give the other Party a reasonable opportunity to respond prior to any deadline under Applicable Law (as may be extended by KK’s reasonable request) after the first notice under </w:t>
      </w:r>
      <w:r>
        <w:rPr>
          <w:rFonts w:ascii="Times New Roman" w:cs="Times New Roman" w:eastAsia="Times New Roman" w:hAnsi="Times New Roman"/>
          <w:sz w:val="17"/>
          <w:szCs w:val="17"/>
          <w:u w:val="single" w:color="auto"/>
          <w:color w:val="auto"/>
        </w:rPr>
        <w:t>Section 4.6.1 (Notice)</w:t>
      </w:r>
      <w:r>
        <w:rPr>
          <w:rFonts w:ascii="Times New Roman" w:cs="Times New Roman" w:eastAsia="Times New Roman" w:hAnsi="Times New Roman"/>
          <w:sz w:val="17"/>
          <w:szCs w:val="17"/>
          <w:color w:val="auto"/>
        </w:rPr>
        <w:t>. If KK elects not to pursue action against such Infringers or Challengers within such period, then KK shall so notify Tempus in writing, [***].</w:t>
      </w:r>
    </w:p>
    <w:p>
      <w:pPr>
        <w:spacing w:after="0" w:line="173" w:lineRule="exact"/>
        <w:rPr>
          <w:sz w:val="20"/>
          <w:szCs w:val="20"/>
          <w:color w:val="auto"/>
        </w:rPr>
      </w:pPr>
    </w:p>
    <w:p>
      <w:pPr>
        <w:ind w:right="300" w:firstLine="426"/>
        <w:spacing w:after="0" w:line="298" w:lineRule="auto"/>
        <w:rPr>
          <w:sz w:val="20"/>
          <w:szCs w:val="20"/>
          <w:color w:val="auto"/>
        </w:rPr>
      </w:pPr>
      <w:r>
        <w:rPr>
          <w:rFonts w:ascii="Times New Roman" w:cs="Times New Roman" w:eastAsia="Times New Roman" w:hAnsi="Times New Roman"/>
          <w:sz w:val="17"/>
          <w:szCs w:val="17"/>
          <w:color w:val="auto"/>
        </w:rPr>
        <w:t xml:space="preserve">4.6.3  </w:t>
      </w:r>
      <w:r>
        <w:rPr>
          <w:rFonts w:ascii="Times New Roman" w:cs="Times New Roman" w:eastAsia="Times New Roman" w:hAnsi="Times New Roman"/>
          <w:sz w:val="17"/>
          <w:szCs w:val="17"/>
          <w:b w:val="1"/>
          <w:bCs w:val="1"/>
          <w:color w:val="auto"/>
        </w:rPr>
        <w:t>KK Technology</w:t>
      </w:r>
      <w:r>
        <w:rPr>
          <w:rFonts w:ascii="Times New Roman" w:cs="Times New Roman" w:eastAsia="Times New Roman" w:hAnsi="Times New Roman"/>
          <w:sz w:val="17"/>
          <w:szCs w:val="17"/>
          <w:color w:val="auto"/>
        </w:rPr>
        <w:t>. KK shall have the sole right to enforce or defend the KK Technology, worldwide, against Infringers or Challengers at KK’s cost and expense.</w:t>
      </w:r>
    </w:p>
    <w:p>
      <w:pPr>
        <w:spacing w:after="0" w:line="142" w:lineRule="exact"/>
        <w:rPr>
          <w:sz w:val="20"/>
          <w:szCs w:val="20"/>
          <w:color w:val="auto"/>
        </w:rPr>
      </w:pPr>
    </w:p>
    <w:p>
      <w:pPr>
        <w:ind w:right="80" w:firstLine="426"/>
        <w:spacing w:after="0" w:line="263" w:lineRule="auto"/>
        <w:rPr>
          <w:sz w:val="20"/>
          <w:szCs w:val="20"/>
          <w:color w:val="auto"/>
        </w:rPr>
      </w:pPr>
      <w:r>
        <w:rPr>
          <w:rFonts w:ascii="Times New Roman" w:cs="Times New Roman" w:eastAsia="Times New Roman" w:hAnsi="Times New Roman"/>
          <w:sz w:val="17"/>
          <w:szCs w:val="17"/>
          <w:color w:val="auto"/>
        </w:rPr>
        <w:t xml:space="preserve">4.6.4  </w:t>
      </w:r>
      <w:r>
        <w:rPr>
          <w:rFonts w:ascii="Times New Roman" w:cs="Times New Roman" w:eastAsia="Times New Roman" w:hAnsi="Times New Roman"/>
          <w:sz w:val="17"/>
          <w:szCs w:val="17"/>
          <w:b w:val="1"/>
          <w:bCs w:val="1"/>
          <w:color w:val="auto"/>
        </w:rPr>
        <w:t>Joint Technology</w:t>
      </w:r>
      <w:r>
        <w:rPr>
          <w:rFonts w:ascii="Times New Roman" w:cs="Times New Roman" w:eastAsia="Times New Roman" w:hAnsi="Times New Roman"/>
          <w:sz w:val="17"/>
          <w:szCs w:val="17"/>
          <w:color w:val="auto"/>
        </w:rPr>
        <w:t xml:space="preserve">. KK shall have the initial right to elect to enforce or defend Joint Technology against Infringers or Challengers within the KK Territory at KK’s cost and expense for a period of [***] days (as may be extended by KK’s reasonable request) after the first notice under </w:t>
      </w:r>
      <w:r>
        <w:rPr>
          <w:rFonts w:ascii="Times New Roman" w:cs="Times New Roman" w:eastAsia="Times New Roman" w:hAnsi="Times New Roman"/>
          <w:sz w:val="17"/>
          <w:szCs w:val="17"/>
          <w:u w:val="single" w:color="auto"/>
          <w:color w:val="auto"/>
        </w:rPr>
        <w:t>Section 4.6.1 (Notice)</w:t>
      </w:r>
      <w:r>
        <w:rPr>
          <w:rFonts w:ascii="Times New Roman" w:cs="Times New Roman" w:eastAsia="Times New Roman" w:hAnsi="Times New Roman"/>
          <w:sz w:val="17"/>
          <w:szCs w:val="17"/>
          <w:color w:val="auto"/>
        </w:rPr>
        <w:t>, which right shall continue with respect to the KK Territory following the Term. If KK elects not to pursue action against such Infringers or Challengers within such period, then KK shall so notify Tempus in writing, [***]. Tempus shall have the initial right to enforce or defend Joint Technology against Infringers or Challengers within the Tempus Territory (excluding Japan, following the Term) at Tempus’s cost and expense for a period of [***]. If Tempus elects not to pursue action against such Infringers or Challengers within such period, then Tempus shall so notify KK in writing, [***].</w:t>
      </w:r>
    </w:p>
    <w:p>
      <w:pPr>
        <w:spacing w:after="0" w:line="173" w:lineRule="exact"/>
        <w:rPr>
          <w:sz w:val="20"/>
          <w:szCs w:val="20"/>
          <w:color w:val="auto"/>
        </w:rPr>
      </w:pPr>
    </w:p>
    <w:p>
      <w:pPr>
        <w:ind w:right="200" w:firstLine="426"/>
        <w:spacing w:after="0" w:line="267" w:lineRule="auto"/>
        <w:rPr>
          <w:sz w:val="20"/>
          <w:szCs w:val="20"/>
          <w:color w:val="auto"/>
        </w:rPr>
      </w:pPr>
      <w:r>
        <w:rPr>
          <w:rFonts w:ascii="Times New Roman" w:cs="Times New Roman" w:eastAsia="Times New Roman" w:hAnsi="Times New Roman"/>
          <w:sz w:val="17"/>
          <w:szCs w:val="17"/>
          <w:color w:val="auto"/>
        </w:rPr>
        <w:t xml:space="preserve">4.6.5  </w:t>
      </w:r>
      <w:r>
        <w:rPr>
          <w:rFonts w:ascii="Times New Roman" w:cs="Times New Roman" w:eastAsia="Times New Roman" w:hAnsi="Times New Roman"/>
          <w:sz w:val="17"/>
          <w:szCs w:val="17"/>
          <w:b w:val="1"/>
          <w:bCs w:val="1"/>
          <w:color w:val="auto"/>
        </w:rPr>
        <w:t>Cooperation</w:t>
      </w:r>
      <w:r>
        <w:rPr>
          <w:rFonts w:ascii="Times New Roman" w:cs="Times New Roman" w:eastAsia="Times New Roman" w:hAnsi="Times New Roman"/>
          <w:sz w:val="17"/>
          <w:szCs w:val="17"/>
          <w:color w:val="auto"/>
        </w:rPr>
        <w:t xml:space="preserve">. Each Party agrees to be joined in any litigation or administrative proceedings if necessary for the other Party to enforce or defend such intellectual property against Infringers or Challengers in accordance with this </w:t>
      </w:r>
      <w:r>
        <w:rPr>
          <w:rFonts w:ascii="Times New Roman" w:cs="Times New Roman" w:eastAsia="Times New Roman" w:hAnsi="Times New Roman"/>
          <w:sz w:val="17"/>
          <w:szCs w:val="17"/>
          <w:u w:val="single" w:color="auto"/>
          <w:color w:val="auto"/>
        </w:rPr>
        <w:t>Section 4.6 (Enforcement Rights for Infringement by Third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xml:space="preserve"> at the enforcing Party’s cost and expense. The Parties shall coordinate with respect to enforcement strategies in the KK Territory in the Field, and KK shall have the final decision-making authority with regard to any enforcement and defense of matters within the KK Territory in the Field; provided that KK shall work in good faith with and reasonably consider input of Tempus with regard to such matters, [***].</w:t>
      </w:r>
    </w:p>
    <w:p>
      <w:pPr>
        <w:spacing w:after="0" w:line="167" w:lineRule="exact"/>
        <w:rPr>
          <w:sz w:val="20"/>
          <w:szCs w:val="20"/>
          <w:color w:val="auto"/>
        </w:rPr>
      </w:pPr>
    </w:p>
    <w:p>
      <w:pPr>
        <w:ind w:right="480" w:firstLine="426"/>
        <w:spacing w:after="0" w:line="277" w:lineRule="auto"/>
        <w:rPr>
          <w:sz w:val="20"/>
          <w:szCs w:val="20"/>
          <w:color w:val="auto"/>
        </w:rPr>
      </w:pPr>
      <w:r>
        <w:rPr>
          <w:rFonts w:ascii="Times New Roman" w:cs="Times New Roman" w:eastAsia="Times New Roman" w:hAnsi="Times New Roman"/>
          <w:sz w:val="17"/>
          <w:szCs w:val="17"/>
          <w:color w:val="auto"/>
        </w:rPr>
        <w:t xml:space="preserve">4.6.6  </w:t>
      </w: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xml:space="preserve">. KK shall have the sole right and authority to settle disputes arising from such Infringement or Challenge involving the Tempus Patents in the KK Territory, to the extent that KK controls such Infringement or Challenge under this </w:t>
      </w:r>
      <w:r>
        <w:rPr>
          <w:rFonts w:ascii="Times New Roman" w:cs="Times New Roman" w:eastAsia="Times New Roman" w:hAnsi="Times New Roman"/>
          <w:sz w:val="17"/>
          <w:szCs w:val="17"/>
          <w:u w:val="single" w:color="auto"/>
          <w:color w:val="auto"/>
        </w:rPr>
        <w:t>Section 4.6 (Enforcement Rights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Infringement by Third Parties)</w:t>
      </w:r>
      <w:r>
        <w:rPr>
          <w:rFonts w:ascii="Times New Roman" w:cs="Times New Roman" w:eastAsia="Times New Roman" w:hAnsi="Times New Roman"/>
          <w:sz w:val="17"/>
          <w:szCs w:val="17"/>
          <w:color w:val="auto"/>
        </w:rPr>
        <w:t>; [***].</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660"/>
          </w:cols>
          <w:pgMar w:left="620" w:top="262" w:right="619" w:bottom="1440" w:gutter="0" w:footer="0" w:header="0"/>
        </w:sectPr>
      </w:pPr>
    </w:p>
    <w:bookmarkStart w:id="545" w:name="page546"/>
    <w:bookmarkEnd w:id="545"/>
    <w:p>
      <w:pPr>
        <w:ind w:left="428"/>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4.6.7   </w:t>
      </w:r>
      <w:r>
        <w:rPr>
          <w:rFonts w:ascii="Times New Roman" w:cs="Times New Roman" w:eastAsia="Times New Roman" w:hAnsi="Times New Roman"/>
          <w:sz w:val="17"/>
          <w:szCs w:val="17"/>
          <w:b w:val="1"/>
          <w:bCs w:val="1"/>
          <w:color w:val="auto"/>
        </w:rPr>
        <w:t>Damages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8" w:right="20" w:firstLine="960"/>
        <w:spacing w:after="0" w:line="27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b w:val="1"/>
          <w:bCs w:val="1"/>
          <w:color w:val="auto"/>
        </w:rPr>
        <w:t>Tempus Technology</w:t>
      </w:r>
      <w:r>
        <w:rPr>
          <w:rFonts w:ascii="Times New Roman" w:cs="Times New Roman" w:eastAsia="Times New Roman" w:hAnsi="Times New Roman"/>
          <w:sz w:val="17"/>
          <w:szCs w:val="17"/>
          <w:color w:val="auto"/>
        </w:rPr>
        <w:t>. All damages, amounts received in settlement, judgment or other monetary awards (the “</w:t>
      </w:r>
      <w:r>
        <w:rPr>
          <w:rFonts w:ascii="Times New Roman" w:cs="Times New Roman" w:eastAsia="Times New Roman" w:hAnsi="Times New Roman"/>
          <w:sz w:val="17"/>
          <w:szCs w:val="17"/>
          <w:b w:val="1"/>
          <w:bCs w:val="1"/>
          <w:color w:val="auto"/>
        </w:rPr>
        <w:t>Damages</w:t>
      </w:r>
      <w:r>
        <w:rPr>
          <w:rFonts w:ascii="Times New Roman" w:cs="Times New Roman" w:eastAsia="Times New Roman" w:hAnsi="Times New Roman"/>
          <w:sz w:val="17"/>
          <w:szCs w:val="17"/>
          <w:color w:val="auto"/>
        </w:rPr>
        <w:t>”) recovered in an action to enforce the Tempus Technology against Infringers or Challengers in the Tempus Territory shall be retained by Tempus. All Damages recovered in an action to enforce the Tempus Technology against Infringers or Challengers in the KK Territory shall be paid [***].</w:t>
      </w:r>
    </w:p>
    <w:p>
      <w:pPr>
        <w:spacing w:after="0" w:line="160" w:lineRule="exact"/>
        <w:rPr>
          <w:sz w:val="20"/>
          <w:szCs w:val="20"/>
          <w:color w:val="auto"/>
        </w:rPr>
      </w:pPr>
    </w:p>
    <w:p>
      <w:pPr>
        <w:ind w:left="8" w:right="280" w:firstLine="960"/>
        <w:spacing w:after="0" w:line="298"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b w:val="1"/>
          <w:bCs w:val="1"/>
          <w:color w:val="auto"/>
        </w:rPr>
        <w:t>KK Technology</w:t>
      </w:r>
      <w:r>
        <w:rPr>
          <w:rFonts w:ascii="Times New Roman" w:cs="Times New Roman" w:eastAsia="Times New Roman" w:hAnsi="Times New Roman"/>
          <w:sz w:val="17"/>
          <w:szCs w:val="17"/>
          <w:color w:val="auto"/>
        </w:rPr>
        <w:t>. All Damages recovered in an action to enforce the KK Technology against Infringers or Challengers in the KK Territory shall be retained by KK.</w:t>
      </w:r>
    </w:p>
    <w:p>
      <w:pPr>
        <w:spacing w:after="0" w:line="142"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b w:val="1"/>
          <w:bCs w:val="1"/>
          <w:color w:val="auto"/>
        </w:rPr>
        <w:t>Joint Technology</w:t>
      </w:r>
      <w:r>
        <w:rPr>
          <w:rFonts w:ascii="Times New Roman" w:cs="Times New Roman" w:eastAsia="Times New Roman" w:hAnsi="Times New Roman"/>
          <w:sz w:val="17"/>
          <w:szCs w:val="17"/>
          <w:color w:val="auto"/>
        </w:rPr>
        <w:t>. All Damages recovered in an action to enforce the Joint Patents against Infringers or Challengers shall be paid</w:t>
      </w:r>
    </w:p>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b w:val="1"/>
          <w:bCs w:val="1"/>
          <w:color w:val="auto"/>
        </w:rPr>
        <w:t>Third Party Infringement Claims</w:t>
      </w:r>
      <w:r>
        <w:rPr>
          <w:rFonts w:ascii="Times New Roman" w:cs="Times New Roman" w:eastAsia="Times New Roman" w:hAnsi="Times New Roman"/>
          <w:sz w:val="17"/>
          <w:szCs w:val="17"/>
          <w:color w:val="auto"/>
        </w:rPr>
        <w:t>. In the event that a Third Party shall make any claim, give notice, or bring any suit in the KK Territory against</w:t>
      </w:r>
    </w:p>
    <w:p>
      <w:pPr>
        <w:spacing w:after="0" w:line="34" w:lineRule="exact"/>
        <w:rPr>
          <w:sz w:val="20"/>
          <w:szCs w:val="20"/>
          <w:color w:val="auto"/>
        </w:rPr>
      </w:pPr>
    </w:p>
    <w:p>
      <w:pPr>
        <w:jc w:val="both"/>
        <w:ind w:left="8" w:right="180" w:hanging="8"/>
        <w:spacing w:after="0" w:line="262" w:lineRule="auto"/>
        <w:tabs>
          <w:tab w:leader="none" w:pos="303"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Tempus, any of their respective Affiliates or KK’s customers or sublicensees, for infringement or misappropriation of any intellectual property rights with respect to the use of Tempus Technology, KK Technology or Joint Technology (“</w:t>
      </w:r>
      <w:r>
        <w:rPr>
          <w:rFonts w:ascii="Times New Roman" w:cs="Times New Roman" w:eastAsia="Times New Roman" w:hAnsi="Times New Roman"/>
          <w:sz w:val="17"/>
          <w:szCs w:val="17"/>
          <w:b w:val="1"/>
          <w:bCs w:val="1"/>
          <w:color w:val="auto"/>
        </w:rPr>
        <w:t>Third Party Infringement Claim</w:t>
      </w:r>
      <w:r>
        <w:rPr>
          <w:rFonts w:ascii="Times New Roman" w:cs="Times New Roman" w:eastAsia="Times New Roman" w:hAnsi="Times New Roman"/>
          <w:sz w:val="17"/>
          <w:szCs w:val="17"/>
          <w:color w:val="auto"/>
        </w:rPr>
        <w:t>”), the Party receiving notice of such Third Party Infringement Claim shall promptly (within [***] Days) notify the other Party and provide all information in its possession pertaining to the claim or suit that it can disclose without breach of a pre-existing obligation to a Third Party or waiver of a privilege.</w:t>
      </w:r>
    </w:p>
    <w:p>
      <w:pPr>
        <w:spacing w:after="0" w:line="172" w:lineRule="exact"/>
        <w:rPr>
          <w:sz w:val="20"/>
          <w:szCs w:val="20"/>
          <w:color w:val="auto"/>
        </w:rPr>
      </w:pPr>
    </w:p>
    <w:p>
      <w:pPr>
        <w:ind w:left="8" w:right="200" w:firstLine="426"/>
        <w:spacing w:after="0" w:line="264" w:lineRule="auto"/>
        <w:rPr>
          <w:sz w:val="20"/>
          <w:szCs w:val="20"/>
          <w:color w:val="auto"/>
        </w:rPr>
      </w:pPr>
      <w:r>
        <w:rPr>
          <w:rFonts w:ascii="Times New Roman" w:cs="Times New Roman" w:eastAsia="Times New Roman" w:hAnsi="Times New Roman"/>
          <w:sz w:val="17"/>
          <w:szCs w:val="17"/>
          <w:color w:val="auto"/>
        </w:rPr>
        <w:t xml:space="preserve">4.7.1  </w:t>
      </w:r>
      <w:r>
        <w:rPr>
          <w:rFonts w:ascii="Times New Roman" w:cs="Times New Roman" w:eastAsia="Times New Roman" w:hAnsi="Times New Roman"/>
          <w:sz w:val="17"/>
          <w:szCs w:val="17"/>
          <w:b w:val="1"/>
          <w:bCs w:val="1"/>
          <w:color w:val="auto"/>
        </w:rPr>
        <w:t>Defense</w:t>
      </w:r>
      <w:r>
        <w:rPr>
          <w:rFonts w:ascii="Times New Roman" w:cs="Times New Roman" w:eastAsia="Times New Roman" w:hAnsi="Times New Roman"/>
          <w:sz w:val="17"/>
          <w:szCs w:val="17"/>
          <w:color w:val="auto"/>
        </w:rPr>
        <w:t xml:space="preserve">. The Parties shall consult as to potential strategies to defend against any Third Party Infringement Claim, consistent with the overall goals of this Agreement. The Parties shall cooperate in all reasonable respects in the defense of any Third Party Infringement Claim and any counterclaim related thereto. Subject to the respective indemnity obligations of the Parties set forth in </w:t>
      </w:r>
      <w:r>
        <w:rPr>
          <w:rFonts w:ascii="Times New Roman" w:cs="Times New Roman" w:eastAsia="Times New Roman" w:hAnsi="Times New Roman"/>
          <w:sz w:val="17"/>
          <w:szCs w:val="17"/>
          <w:u w:val="single" w:color="auto"/>
          <w:color w:val="auto"/>
        </w:rPr>
        <w:t>Article 9 (Indemnification)</w:t>
      </w:r>
      <w:r>
        <w:rPr>
          <w:rFonts w:ascii="Times New Roman" w:cs="Times New Roman" w:eastAsia="Times New Roman" w:hAnsi="Times New Roman"/>
          <w:sz w:val="17"/>
          <w:szCs w:val="17"/>
          <w:color w:val="auto"/>
        </w:rPr>
        <w:t>, KK shall be solely responsible for defending such Third Party Infringement Claim in the KK Territory, including but not limited to selection of counsel, venue, and directing all aspects, stages, motions, and proceedings of litigation, and Tempus shall be solely responsible for defending any such Third Party Infringement Claim outside the KK Territory (excluding Japan, following the Term).</w:t>
      </w:r>
    </w:p>
    <w:p>
      <w:pPr>
        <w:spacing w:after="0" w:line="173" w:lineRule="exact"/>
        <w:rPr>
          <w:sz w:val="20"/>
          <w:szCs w:val="20"/>
          <w:color w:val="auto"/>
        </w:rPr>
      </w:pPr>
    </w:p>
    <w:p>
      <w:pPr>
        <w:ind w:left="8" w:right="20" w:firstLine="426"/>
        <w:spacing w:after="0" w:line="270" w:lineRule="auto"/>
        <w:rPr>
          <w:sz w:val="20"/>
          <w:szCs w:val="20"/>
          <w:color w:val="auto"/>
        </w:rPr>
      </w:pPr>
      <w:r>
        <w:rPr>
          <w:rFonts w:ascii="Times New Roman" w:cs="Times New Roman" w:eastAsia="Times New Roman" w:hAnsi="Times New Roman"/>
          <w:sz w:val="17"/>
          <w:szCs w:val="17"/>
          <w:color w:val="auto"/>
        </w:rPr>
        <w:t xml:space="preserve">4.7.2  </w:t>
      </w: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xml:space="preserve">. If any defense by either Party under this </w:t>
      </w:r>
      <w:r>
        <w:rPr>
          <w:rFonts w:ascii="Times New Roman" w:cs="Times New Roman" w:eastAsia="Times New Roman" w:hAnsi="Times New Roman"/>
          <w:sz w:val="17"/>
          <w:szCs w:val="17"/>
          <w:u w:val="single" w:color="auto"/>
          <w:color w:val="auto"/>
        </w:rPr>
        <w:t>Section 4.7 (Third Party Infringement Claims)</w:t>
      </w:r>
      <w:r>
        <w:rPr>
          <w:rFonts w:ascii="Times New Roman" w:cs="Times New Roman" w:eastAsia="Times New Roman" w:hAnsi="Times New Roman"/>
          <w:sz w:val="17"/>
          <w:szCs w:val="17"/>
          <w:color w:val="auto"/>
        </w:rPr>
        <w:t xml:space="preserve"> would adversely affect the other Party’s rights under this Agreement or impose a financial obligation upon the other Party or grant rights in respect of or affect the validity or enforceability of the other Party’s Patents or Know-How, then any settlement, consent judgment or other voluntary final disposition of such Third Party Infringement Claim shall not be entered into without the written consent of the other Party.</w:t>
      </w:r>
    </w:p>
    <w:p>
      <w:pPr>
        <w:spacing w:after="0" w:line="166" w:lineRule="exact"/>
        <w:rPr>
          <w:sz w:val="20"/>
          <w:szCs w:val="20"/>
          <w:color w:val="auto"/>
        </w:rPr>
      </w:pPr>
    </w:p>
    <w:p>
      <w:pPr>
        <w:ind w:left="8" w:right="100" w:firstLine="426"/>
        <w:spacing w:after="0" w:line="298" w:lineRule="auto"/>
        <w:rPr>
          <w:sz w:val="20"/>
          <w:szCs w:val="20"/>
          <w:color w:val="auto"/>
        </w:rPr>
      </w:pPr>
      <w:r>
        <w:rPr>
          <w:rFonts w:ascii="Times New Roman" w:cs="Times New Roman" w:eastAsia="Times New Roman" w:hAnsi="Times New Roman"/>
          <w:sz w:val="17"/>
          <w:szCs w:val="17"/>
          <w:color w:val="auto"/>
        </w:rPr>
        <w:t xml:space="preserve">4.7.3  </w:t>
      </w:r>
      <w:r>
        <w:rPr>
          <w:rFonts w:ascii="Times New Roman" w:cs="Times New Roman" w:eastAsia="Times New Roman" w:hAnsi="Times New Roman"/>
          <w:sz w:val="17"/>
          <w:szCs w:val="17"/>
          <w:b w:val="1"/>
          <w:bCs w:val="1"/>
          <w:color w:val="auto"/>
        </w:rPr>
        <w:t>Costs and expenses</w:t>
      </w:r>
      <w:r>
        <w:rPr>
          <w:rFonts w:ascii="Times New Roman" w:cs="Times New Roman" w:eastAsia="Times New Roman" w:hAnsi="Times New Roman"/>
          <w:sz w:val="17"/>
          <w:szCs w:val="17"/>
          <w:color w:val="auto"/>
        </w:rPr>
        <w:t>. KK shall bear all costs and expenses to defend against any Third Party Infringement Claim in the KK Territory and Tempus shall bear all costs and expenses to defend against any Third Party Infringement Claim in the Tempus Territory.</w:t>
      </w:r>
    </w:p>
    <w:p>
      <w:pPr>
        <w:spacing w:after="0" w:line="78"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588"/>
          </w:cols>
          <w:pgMar w:left="612" w:top="263" w:right="699" w:bottom="1440" w:gutter="0" w:footer="0" w:header="0"/>
        </w:sectPr>
      </w:pPr>
    </w:p>
    <w:bookmarkStart w:id="546" w:name="page547"/>
    <w:bookmarkEnd w:id="546"/>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Article 5</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 xml:space="preserve">BRANDING </w:t>
      </w:r>
      <w:r>
        <w:rPr>
          <w:rFonts w:ascii="Times New Roman" w:cs="Times New Roman" w:eastAsia="Times New Roman" w:hAnsi="Times New Roman"/>
          <w:sz w:val="17"/>
          <w:szCs w:val="17"/>
          <w:b w:val="1"/>
          <w:bCs w:val="1"/>
          <w:color w:val="auto"/>
        </w:rPr>
        <w:t>AND</w:t>
      </w:r>
      <w:r>
        <w:rPr>
          <w:rFonts w:ascii="Times New Roman" w:cs="Times New Roman" w:eastAsia="Times New Roman" w:hAnsi="Times New Roman"/>
          <w:sz w:val="15"/>
          <w:szCs w:val="15"/>
          <w:b w:val="1"/>
          <w:bCs w:val="1"/>
          <w:color w:val="auto"/>
        </w:rPr>
        <w:t xml:space="preserve"> MARKETING</w:t>
      </w:r>
    </w:p>
    <w:p>
      <w:pPr>
        <w:spacing w:after="0" w:line="203" w:lineRule="exact"/>
        <w:rPr>
          <w:sz w:val="20"/>
          <w:szCs w:val="20"/>
          <w:color w:val="auto"/>
        </w:rPr>
      </w:pPr>
    </w:p>
    <w:p>
      <w:pPr>
        <w:ind w:left="8" w:right="60"/>
        <w:spacing w:after="0" w:line="268"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b w:val="1"/>
          <w:bCs w:val="1"/>
          <w:color w:val="auto"/>
        </w:rPr>
        <w:t>Branding</w:t>
      </w:r>
      <w:r>
        <w:rPr>
          <w:rFonts w:ascii="Times New Roman" w:cs="Times New Roman" w:eastAsia="Times New Roman" w:hAnsi="Times New Roman"/>
          <w:sz w:val="17"/>
          <w:szCs w:val="17"/>
          <w:color w:val="auto"/>
        </w:rPr>
        <w:t>. Unless otherwise directed by Tempus in writing or mutually agreed by the Parties, any product or service sold or offered for sale by the Licensed Business in the Field in the KK Territory that incorporates, is based on or derived from, any Tempus Technology (each, a “</w:t>
      </w:r>
      <w:r>
        <w:rPr>
          <w:rFonts w:ascii="Times New Roman" w:cs="Times New Roman" w:eastAsia="Times New Roman" w:hAnsi="Times New Roman"/>
          <w:sz w:val="17"/>
          <w:szCs w:val="17"/>
          <w:b w:val="1"/>
          <w:bCs w:val="1"/>
          <w:color w:val="auto"/>
        </w:rPr>
        <w:t>Tempus-Powered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Product</w:t>
      </w:r>
      <w:r>
        <w:rPr>
          <w:rFonts w:ascii="Times New Roman" w:cs="Times New Roman" w:eastAsia="Times New Roman" w:hAnsi="Times New Roman"/>
          <w:sz w:val="17"/>
          <w:szCs w:val="17"/>
          <w:color w:val="auto"/>
        </w:rPr>
        <w:t>”), as well as any packaging, labeling, advertising and promotional material for such Tempus-Powered Product, shall be branded with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mutually agreeable combination of Tempus’s corporate trade name or logo (“</w:t>
      </w:r>
      <w:r>
        <w:rPr>
          <w:rFonts w:ascii="Times New Roman" w:cs="Times New Roman" w:eastAsia="Times New Roman" w:hAnsi="Times New Roman"/>
          <w:sz w:val="17"/>
          <w:szCs w:val="17"/>
          <w:b w:val="1"/>
          <w:bCs w:val="1"/>
          <w:color w:val="auto"/>
        </w:rPr>
        <w:t>Tempus Corporate Marks</w:t>
      </w:r>
      <w:r>
        <w:rPr>
          <w:rFonts w:ascii="Times New Roman" w:cs="Times New Roman" w:eastAsia="Times New Roman" w:hAnsi="Times New Roman"/>
          <w:sz w:val="17"/>
          <w:szCs w:val="17"/>
          <w:color w:val="auto"/>
        </w:rPr>
        <w:t>”) together with any relevant brand or mark of KK.</w:t>
      </w:r>
    </w:p>
    <w:p>
      <w:pPr>
        <w:spacing w:after="0" w:line="381" w:lineRule="exact"/>
        <w:rPr>
          <w:sz w:val="20"/>
          <w:szCs w:val="20"/>
          <w:color w:val="auto"/>
        </w:rPr>
      </w:pPr>
    </w:p>
    <w:p>
      <w:pPr>
        <w:ind w:left="8" w:right="140"/>
        <w:spacing w:after="0" w:line="298"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b w:val="1"/>
          <w:bCs w:val="1"/>
          <w:color w:val="auto"/>
        </w:rPr>
        <w:t>License to Tempus Corporate Marks</w:t>
      </w:r>
      <w:r>
        <w:rPr>
          <w:rFonts w:ascii="Times New Roman" w:cs="Times New Roman" w:eastAsia="Times New Roman" w:hAnsi="Times New Roman"/>
          <w:sz w:val="17"/>
          <w:szCs w:val="17"/>
          <w:color w:val="auto"/>
        </w:rPr>
        <w:t>. Subject to the terms and conditions of this Agreement, Tempus hereby grants to KK during the Term and solely with respect to the Licensed Business in the Field and within the KK Territory, a non-exclusive, [***].</w:t>
      </w:r>
    </w:p>
    <w:p>
      <w:pPr>
        <w:spacing w:after="0" w:line="142" w:lineRule="exact"/>
        <w:rPr>
          <w:sz w:val="20"/>
          <w:szCs w:val="20"/>
          <w:color w:val="auto"/>
        </w:rPr>
      </w:pPr>
    </w:p>
    <w:p>
      <w:pPr>
        <w:ind w:left="8" w:right="360"/>
        <w:spacing w:after="0" w:line="298"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b w:val="1"/>
          <w:bCs w:val="1"/>
          <w:color w:val="auto"/>
        </w:rPr>
        <w:t>Royalty for Tempus Corporate Marks</w:t>
      </w:r>
      <w:r>
        <w:rPr>
          <w:rFonts w:ascii="Times New Roman" w:cs="Times New Roman" w:eastAsia="Times New Roman" w:hAnsi="Times New Roman"/>
          <w:sz w:val="17"/>
          <w:szCs w:val="17"/>
          <w:color w:val="auto"/>
        </w:rPr>
        <w:t xml:space="preserve">. In consideration for the license granted by Tempus to KK under </w:t>
      </w:r>
      <w:r>
        <w:rPr>
          <w:rFonts w:ascii="Times New Roman" w:cs="Times New Roman" w:eastAsia="Times New Roman" w:hAnsi="Times New Roman"/>
          <w:sz w:val="17"/>
          <w:szCs w:val="17"/>
          <w:u w:val="single" w:color="auto"/>
          <w:color w:val="auto"/>
        </w:rPr>
        <w:t>Section 5.2 (License to Use Tempus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Corporate Marks)</w:t>
      </w:r>
      <w:r>
        <w:rPr>
          <w:rFonts w:ascii="Times New Roman" w:cs="Times New Roman" w:eastAsia="Times New Roman" w:hAnsi="Times New Roman"/>
          <w:sz w:val="17"/>
          <w:szCs w:val="17"/>
          <w:color w:val="auto"/>
        </w:rPr>
        <w:t>, [***].</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b w:val="1"/>
          <w:bCs w:val="1"/>
          <w:color w:val="auto"/>
        </w:rPr>
        <w:t>Restrictions on Use</w:t>
      </w:r>
      <w:r>
        <w:rPr>
          <w:rFonts w:ascii="Times New Roman" w:cs="Times New Roman" w:eastAsia="Times New Roman" w:hAnsi="Times New Roman"/>
          <w:sz w:val="17"/>
          <w:szCs w:val="17"/>
          <w:color w:val="auto"/>
        </w:rPr>
        <w:t>. [***].</w:t>
      </w:r>
    </w:p>
    <w:p>
      <w:pPr>
        <w:spacing w:after="0" w:line="223" w:lineRule="exact"/>
        <w:rPr>
          <w:sz w:val="20"/>
          <w:szCs w:val="20"/>
          <w:color w:val="auto"/>
        </w:rPr>
      </w:pPr>
    </w:p>
    <w:p>
      <w:pPr>
        <w:ind w:left="8" w:right="20"/>
        <w:spacing w:after="0" w:line="277"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b w:val="1"/>
          <w:bCs w:val="1"/>
          <w:color w:val="auto"/>
        </w:rPr>
        <w:t>No Other Uses of Tempus Corporate Marks</w:t>
      </w:r>
      <w:r>
        <w:rPr>
          <w:rFonts w:ascii="Times New Roman" w:cs="Times New Roman" w:eastAsia="Times New Roman" w:hAnsi="Times New Roman"/>
          <w:sz w:val="17"/>
          <w:szCs w:val="17"/>
          <w:color w:val="auto"/>
        </w:rPr>
        <w:t>. Except as expressly provided for in this Agreement, KK shall have no other right to use any of the Tempus Corporate Marks, or any derivative or partial use thereof, or any other trademarks of Tempus or any of its Affiliates, and KK shall not merge, co-join, or use any Tempus Corporate Mark in conjunction with any other trademark, including KK’s trademarks, unless otherwise approved by Tempus.</w:t>
      </w:r>
    </w:p>
    <w:p>
      <w:pPr>
        <w:spacing w:after="0" w:line="160" w:lineRule="exact"/>
        <w:rPr>
          <w:sz w:val="20"/>
          <w:szCs w:val="20"/>
          <w:color w:val="auto"/>
        </w:rPr>
      </w:pPr>
    </w:p>
    <w:p>
      <w:pPr>
        <w:ind w:left="8" w:right="180"/>
        <w:spacing w:after="0" w:line="298"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b w:val="1"/>
          <w:bCs w:val="1"/>
          <w:color w:val="auto"/>
        </w:rPr>
        <w:t>Quality</w:t>
      </w:r>
      <w:r>
        <w:rPr>
          <w:rFonts w:ascii="Times New Roman" w:cs="Times New Roman" w:eastAsia="Times New Roman" w:hAnsi="Times New Roman"/>
          <w:sz w:val="17"/>
          <w:szCs w:val="17"/>
          <w:color w:val="auto"/>
        </w:rPr>
        <w:t>. KK shall ensure that the quality of all products and services sold or offered for sale, including the Tempus-Powered Products, under the Tempus Corporate Marks shall be at least as high as the quality of similar products and services provided by Tempus.</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b w:val="1"/>
          <w:bCs w:val="1"/>
          <w:color w:val="auto"/>
        </w:rPr>
        <w:t>Goodwill</w:t>
      </w:r>
      <w:r>
        <w:rPr>
          <w:rFonts w:ascii="Times New Roman" w:cs="Times New Roman" w:eastAsia="Times New Roman" w:hAnsi="Times New Roman"/>
          <w:sz w:val="17"/>
          <w:szCs w:val="17"/>
          <w:color w:val="auto"/>
        </w:rPr>
        <w:t>. The Tempus Corporate Marks, and any reputation and goodwill in them, are, and shall remain, the exclusive property of Tempus, and</w:t>
      </w:r>
    </w:p>
    <w:p>
      <w:pPr>
        <w:spacing w:after="0" w:line="34" w:lineRule="exact"/>
        <w:rPr>
          <w:sz w:val="20"/>
          <w:szCs w:val="20"/>
          <w:color w:val="auto"/>
        </w:rPr>
      </w:pPr>
    </w:p>
    <w:p>
      <w:pPr>
        <w:ind w:left="8" w:hanging="8"/>
        <w:spacing w:after="0" w:line="258" w:lineRule="auto"/>
        <w:tabs>
          <w:tab w:leader="none" w:pos="303"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and shall not in the future have, any right to use such Tempus Corporate Marks other than through this Agreement. All use of the Tempus Corporate Marks shall inure solely to the benefit of Tempus. Unless otherwise agreed by the Parties, KK shall not: (a) use the Tempus Corporate Marks or any word, symbol or design confusingly similar to the Tempus Corporate Marks, as part of its corporate or legal name or in connection with any product sold by KK (except as authorized under this Agreement); (b) do or suffer to be done any act or thing which will in any way impair the rights of Tempus in and to any Tempus Corporate Mark or damage, dilute, injure or impair the value of any Tempus Corporate Mark; (c) apply for any registration of any trademark or other designation which includes in whole or in part any Tempus Corporate Mark or any other trademark that is confusingly similar to a Tempus Corporate Mark or that otherwise would affect the ownership of any Tempus Corporate Mark, nor file any document with any Governmental Authority to take any action that would affect the ownership of any Tempus Corporate Mark; or (d) acquire or claim any title to any Tempus Corporate Mark adverse to Tempus by virtue of the rights granted to KK or through KK’s use of such Tempus Corporate Mark.</w:t>
      </w:r>
    </w:p>
    <w:p>
      <w:pPr>
        <w:spacing w:after="0" w:line="1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668"/>
          </w:cols>
          <w:pgMar w:left="612" w:top="262" w:right="619" w:bottom="1440" w:gutter="0" w:footer="0" w:header="0"/>
        </w:sectPr>
      </w:pPr>
    </w:p>
    <w:bookmarkStart w:id="547" w:name="page548"/>
    <w:bookmarkEnd w:id="547"/>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5.8  </w:t>
      </w:r>
      <w:r>
        <w:rPr>
          <w:rFonts w:ascii="Times New Roman" w:cs="Times New Roman" w:eastAsia="Times New Roman" w:hAnsi="Times New Roman"/>
          <w:sz w:val="17"/>
          <w:szCs w:val="17"/>
          <w:b w:val="1"/>
          <w:bCs w:val="1"/>
          <w:color w:val="auto"/>
        </w:rPr>
        <w:t>Notification</w:t>
      </w:r>
      <w:r>
        <w:rPr>
          <w:rFonts w:ascii="Times New Roman" w:cs="Times New Roman" w:eastAsia="Times New Roman" w:hAnsi="Times New Roman"/>
          <w:sz w:val="17"/>
          <w:szCs w:val="17"/>
          <w:color w:val="auto"/>
        </w:rPr>
        <w:t>. KK shall notify Tempus immediately of any adverse use of trademarks by any Third Party that is confusingly similar to any Tempus Corporate Mark, and of any infringement, imitation or passing off of any Tempus Corporate Mark, by any Third Party that comes to KK’s attention. Tempus shall have the sole right (but not the obligation) to respond to such infringement, and KK shall reasonably cooperate with Tempus in connection with any such response, upon Tempus’s request, provided that, if Tempus decides not to pursue action against such infringement, then Tempus may so notify KK in writing, [***].</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ONFIDENTIALITY</w:t>
      </w:r>
    </w:p>
    <w:p>
      <w:pPr>
        <w:spacing w:after="0" w:line="2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b w:val="1"/>
          <w:bCs w:val="1"/>
          <w:color w:val="auto"/>
        </w:rPr>
        <w:t>Non-use and Non-disclosure of Confidential Information</w:t>
      </w:r>
      <w:r>
        <w:rPr>
          <w:rFonts w:ascii="Times New Roman" w:cs="Times New Roman" w:eastAsia="Times New Roman" w:hAnsi="Times New Roman"/>
          <w:sz w:val="17"/>
          <w:szCs w:val="17"/>
          <w:color w:val="auto"/>
        </w:rPr>
        <w:t>. During the Term and thereafter, each Party (“</w:t>
      </w:r>
      <w:r>
        <w:rPr>
          <w:rFonts w:ascii="Times New Roman" w:cs="Times New Roman" w:eastAsia="Times New Roman" w:hAnsi="Times New Roman"/>
          <w:sz w:val="17"/>
          <w:szCs w:val="17"/>
          <w:b w:val="1"/>
          <w:bCs w:val="1"/>
          <w:color w:val="auto"/>
        </w:rPr>
        <w:t>Receiving Party</w:t>
      </w:r>
      <w:r>
        <w:rPr>
          <w:rFonts w:ascii="Times New Roman" w:cs="Times New Roman" w:eastAsia="Times New Roman" w:hAnsi="Times New Roman"/>
          <w:sz w:val="17"/>
          <w:szCs w:val="17"/>
          <w:color w:val="auto"/>
        </w:rPr>
        <w:t>”) shall (a) except to the extent permitted by this Agreement or otherwise agreed to in writing by the Disclosing Party, keep confidential and not disclose any Confidential Information of the other Party (“</w:t>
      </w:r>
      <w:r>
        <w:rPr>
          <w:rFonts w:ascii="Times New Roman" w:cs="Times New Roman" w:eastAsia="Times New Roman" w:hAnsi="Times New Roman"/>
          <w:sz w:val="17"/>
          <w:szCs w:val="17"/>
          <w:b w:val="1"/>
          <w:bCs w:val="1"/>
          <w:color w:val="auto"/>
        </w:rPr>
        <w:t>Disclosing Party</w:t>
      </w:r>
      <w:r>
        <w:rPr>
          <w:rFonts w:ascii="Times New Roman" w:cs="Times New Roman" w:eastAsia="Times New Roman" w:hAnsi="Times New Roman"/>
          <w:sz w:val="17"/>
          <w:szCs w:val="17"/>
          <w:color w:val="auto"/>
        </w:rPr>
        <w:t>”) to any Third Party; (b) except in connection with activities contemplated by, the exercise of rights permitted by, or in order to further the purposes of, this Agreement or as otherwise agreed to in writing by the Disclosing Party, not use for any purpose any Confidential Information of the Disclosing Party; and (c) take all reasonable precautions to protect the Confidential Information of the Disclosing Party (including all precautions the Receiving Party employs with respect to its own confidential information of a similar nature and taking reasonable precautions to assure that no unauthorized use or disclosure is made by others to whom access to the Confidential Information of the Disclosing Party is granted).</w:t>
      </w:r>
    </w:p>
    <w:p>
      <w:pPr>
        <w:spacing w:after="0" w:line="175"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b w:val="1"/>
          <w:bCs w:val="1"/>
          <w:color w:val="auto"/>
        </w:rPr>
        <w:t>Exclusions Regarding Confidential Information</w:t>
      </w:r>
      <w:r>
        <w:rPr>
          <w:rFonts w:ascii="Times New Roman" w:cs="Times New Roman" w:eastAsia="Times New Roman" w:hAnsi="Times New Roman"/>
          <w:sz w:val="17"/>
          <w:szCs w:val="17"/>
          <w:color w:val="auto"/>
        </w:rPr>
        <w:t xml:space="preserve">. Notwithstanding anything set forth in this </w:t>
      </w:r>
      <w:r>
        <w:rPr>
          <w:rFonts w:ascii="Times New Roman" w:cs="Times New Roman" w:eastAsia="Times New Roman" w:hAnsi="Times New Roman"/>
          <w:sz w:val="17"/>
          <w:szCs w:val="17"/>
          <w:u w:val="single" w:color="auto"/>
          <w:color w:val="auto"/>
        </w:rPr>
        <w:t>Article 6 7 (Confidentiality)</w:t>
      </w:r>
      <w:r>
        <w:rPr>
          <w:rFonts w:ascii="Times New Roman" w:cs="Times New Roman" w:eastAsia="Times New Roman" w:hAnsi="Times New Roman"/>
          <w:sz w:val="17"/>
          <w:szCs w:val="17"/>
          <w:color w:val="auto"/>
        </w:rPr>
        <w:t xml:space="preserve"> to the contrary, Confidential Information excludes, and the obligations of </w:t>
      </w:r>
      <w:r>
        <w:rPr>
          <w:rFonts w:ascii="Times New Roman" w:cs="Times New Roman" w:eastAsia="Times New Roman" w:hAnsi="Times New Roman"/>
          <w:sz w:val="17"/>
          <w:szCs w:val="17"/>
          <w:u w:val="single" w:color="auto"/>
          <w:color w:val="auto"/>
        </w:rPr>
        <w:t>Section 6.1 (Non-Use and Non-Disclosure of Confidential Information)</w:t>
      </w:r>
      <w:r>
        <w:rPr>
          <w:rFonts w:ascii="Times New Roman" w:cs="Times New Roman" w:eastAsia="Times New Roman" w:hAnsi="Times New Roman"/>
          <w:sz w:val="17"/>
          <w:szCs w:val="17"/>
          <w:color w:val="auto"/>
        </w:rPr>
        <w:t xml:space="preserve"> shall not apply to, information that: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6.2.1   was already known to the Receiving Party, other than under an obligation of confidentiality, at the time of receipt by the Receiving Party;</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6.2.2   was generally available to the public or otherwise part of the public domain at the time of its receipt by the Receiving Party;</w:t>
      </w:r>
    </w:p>
    <w:p>
      <w:pPr>
        <w:spacing w:after="0" w:line="223" w:lineRule="exact"/>
        <w:rPr>
          <w:sz w:val="20"/>
          <w:szCs w:val="20"/>
          <w:color w:val="auto"/>
        </w:rPr>
      </w:pPr>
    </w:p>
    <w:p>
      <w:pPr>
        <w:ind w:right="80" w:firstLine="426"/>
        <w:spacing w:after="0" w:line="295" w:lineRule="auto"/>
        <w:rPr>
          <w:sz w:val="20"/>
          <w:szCs w:val="20"/>
          <w:color w:val="auto"/>
        </w:rPr>
      </w:pPr>
      <w:r>
        <w:rPr>
          <w:rFonts w:ascii="Times New Roman" w:cs="Times New Roman" w:eastAsia="Times New Roman" w:hAnsi="Times New Roman"/>
          <w:sz w:val="17"/>
          <w:szCs w:val="17"/>
          <w:color w:val="auto"/>
        </w:rPr>
        <w:t>6.2.3  became generally available to the public or otherwise part of the public domain after its receipt by the Receiving Party other than through any act or omission of the Receiving Party in breach of this Agreement;</w:t>
      </w:r>
    </w:p>
    <w:p>
      <w:pPr>
        <w:spacing w:after="0" w:line="147" w:lineRule="exact"/>
        <w:rPr>
          <w:sz w:val="20"/>
          <w:szCs w:val="20"/>
          <w:color w:val="auto"/>
        </w:rPr>
      </w:pPr>
    </w:p>
    <w:p>
      <w:pPr>
        <w:ind w:right="700" w:firstLine="426"/>
        <w:spacing w:after="0" w:line="295" w:lineRule="auto"/>
        <w:rPr>
          <w:sz w:val="20"/>
          <w:szCs w:val="20"/>
          <w:color w:val="auto"/>
        </w:rPr>
      </w:pPr>
      <w:r>
        <w:rPr>
          <w:rFonts w:ascii="Times New Roman" w:cs="Times New Roman" w:eastAsia="Times New Roman" w:hAnsi="Times New Roman"/>
          <w:sz w:val="17"/>
          <w:szCs w:val="17"/>
          <w:color w:val="auto"/>
        </w:rPr>
        <w:t>6.2.4  was received by the Receiving Party without an obligation of confidentiality from a Third Party having the right to disclose such information without restriction;</w:t>
      </w:r>
    </w:p>
    <w:p>
      <w:pPr>
        <w:spacing w:after="0" w:line="147" w:lineRule="exact"/>
        <w:rPr>
          <w:sz w:val="20"/>
          <w:szCs w:val="20"/>
          <w:color w:val="auto"/>
        </w:rPr>
      </w:pPr>
    </w:p>
    <w:p>
      <w:pPr>
        <w:ind w:right="140" w:firstLine="426"/>
        <w:spacing w:after="0" w:line="295" w:lineRule="auto"/>
        <w:rPr>
          <w:sz w:val="20"/>
          <w:szCs w:val="20"/>
          <w:color w:val="auto"/>
        </w:rPr>
      </w:pPr>
      <w:r>
        <w:rPr>
          <w:rFonts w:ascii="Times New Roman" w:cs="Times New Roman" w:eastAsia="Times New Roman" w:hAnsi="Times New Roman"/>
          <w:sz w:val="17"/>
          <w:szCs w:val="17"/>
          <w:color w:val="auto"/>
        </w:rPr>
        <w:t>6.2.5  was independently developed by or for the Receiving Party without use of or reference to the Confidential Information of the Disclosing Party; or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6.2.6   was released from the restrictions set forth in this </w:t>
      </w:r>
      <w:r>
        <w:rPr>
          <w:rFonts w:ascii="Times New Roman" w:cs="Times New Roman" w:eastAsia="Times New Roman" w:hAnsi="Times New Roman"/>
          <w:sz w:val="17"/>
          <w:szCs w:val="17"/>
          <w:u w:val="single" w:color="auto"/>
          <w:color w:val="auto"/>
        </w:rPr>
        <w:t>Article 6 (Confidentiality)</w:t>
      </w:r>
      <w:r>
        <w:rPr>
          <w:rFonts w:ascii="Times New Roman" w:cs="Times New Roman" w:eastAsia="Times New Roman" w:hAnsi="Times New Roman"/>
          <w:sz w:val="17"/>
          <w:szCs w:val="17"/>
          <w:color w:val="auto"/>
        </w:rPr>
        <w:t xml:space="preserve"> by express prior written consent of the Disclosing Party.</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600"/>
          </w:cols>
          <w:pgMar w:left="620" w:top="262" w:right="679" w:bottom="1440" w:gutter="0" w:footer="0" w:header="0"/>
        </w:sectPr>
      </w:pPr>
    </w:p>
    <w:bookmarkStart w:id="548" w:name="page549"/>
    <w:bookmarkEnd w:id="548"/>
    <w:p>
      <w:pPr>
        <w:ind w:right="20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6.3  </w:t>
      </w:r>
      <w:r>
        <w:rPr>
          <w:rFonts w:ascii="Times New Roman" w:cs="Times New Roman" w:eastAsia="Times New Roman" w:hAnsi="Times New Roman"/>
          <w:sz w:val="17"/>
          <w:szCs w:val="17"/>
          <w:b w:val="1"/>
          <w:bCs w:val="1"/>
          <w:color w:val="auto"/>
        </w:rPr>
        <w:t>Authorized Disclosures of Confidential Information</w:t>
      </w:r>
      <w:r>
        <w:rPr>
          <w:rFonts w:ascii="Times New Roman" w:cs="Times New Roman" w:eastAsia="Times New Roman" w:hAnsi="Times New Roman"/>
          <w:sz w:val="17"/>
          <w:szCs w:val="17"/>
          <w:color w:val="auto"/>
        </w:rPr>
        <w:t>. Notwithstanding the foregoing, a Receiving Party may use and disclose the Confidential Information of the Disclosing Party as follows:</w:t>
      </w:r>
    </w:p>
    <w:p>
      <w:pPr>
        <w:spacing w:after="0" w:line="144" w:lineRule="exact"/>
        <w:rPr>
          <w:sz w:val="20"/>
          <w:szCs w:val="20"/>
          <w:color w:val="auto"/>
        </w:rPr>
      </w:pPr>
    </w:p>
    <w:p>
      <w:pPr>
        <w:ind w:right="180" w:firstLine="426"/>
        <w:spacing w:after="0" w:line="266" w:lineRule="auto"/>
        <w:rPr>
          <w:sz w:val="20"/>
          <w:szCs w:val="20"/>
          <w:color w:val="auto"/>
        </w:rPr>
      </w:pPr>
      <w:r>
        <w:rPr>
          <w:rFonts w:ascii="Times New Roman" w:cs="Times New Roman" w:eastAsia="Times New Roman" w:hAnsi="Times New Roman"/>
          <w:sz w:val="17"/>
          <w:szCs w:val="17"/>
          <w:color w:val="auto"/>
        </w:rPr>
        <w:t>6.3.1  if required by law, rule or governmental regulation, including as may be required in connection with any filings made with, or by the disclosure policies of a major securities or stock exchange or securities listing organization; provided that the Receiving Party shall (a) to the extent permissible under Applicable Law, use Commercially Reasonable Efforts to inform the Disclosing Party prior to making any such disclosures and cooperate with the Disclosing Party in seeking a protective order or other appropriate remedy (including redaction) and (b) whenever possible, request confidential treatment of such information; or</w:t>
      </w:r>
    </w:p>
    <w:p>
      <w:pPr>
        <w:spacing w:after="0" w:line="171" w:lineRule="exact"/>
        <w:rPr>
          <w:sz w:val="20"/>
          <w:szCs w:val="20"/>
          <w:color w:val="auto"/>
        </w:rPr>
      </w:pPr>
    </w:p>
    <w:p>
      <w:pPr>
        <w:ind w:right="20" w:firstLine="426"/>
        <w:spacing w:after="0" w:line="276" w:lineRule="auto"/>
        <w:rPr>
          <w:sz w:val="20"/>
          <w:szCs w:val="20"/>
          <w:color w:val="auto"/>
        </w:rPr>
      </w:pPr>
      <w:r>
        <w:rPr>
          <w:rFonts w:ascii="Times New Roman" w:cs="Times New Roman" w:eastAsia="Times New Roman" w:hAnsi="Times New Roman"/>
          <w:sz w:val="17"/>
          <w:szCs w:val="17"/>
          <w:color w:val="auto"/>
        </w:rPr>
        <w:t>6.3.2  to the extent necessary, to Affiliates, Sublicensees, attorneys, collaborators, vendors, consultants, lenders, commercial partners, accountants and subcontractors under written agreements of confidentiality on terms at least as restrictive on those set forth in this Agreement, who have a need to know such information in connection with the Receiving Party performing its obligations or exercising its rights under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b w:val="1"/>
          <w:bCs w:val="1"/>
          <w:color w:val="auto"/>
        </w:rPr>
        <w:t>Terms of this Agreement; Technology</w:t>
      </w:r>
      <w:r>
        <w:rPr>
          <w:rFonts w:ascii="Times New Roman" w:cs="Times New Roman" w:eastAsia="Times New Roman" w:hAnsi="Times New Roman"/>
          <w:sz w:val="17"/>
          <w:szCs w:val="17"/>
          <w:color w:val="auto"/>
        </w:rPr>
        <w:t>. The Parties agree that this Agreement and the terms hereof are Confidential Information of both Parties.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Tempus Technology is Confidential Information of Tempus. The KK Technology is Confidential Information of KK.</w:t>
      </w:r>
    </w:p>
    <w:p>
      <w:pPr>
        <w:spacing w:after="0" w:line="20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b w:val="1"/>
          <w:bCs w:val="1"/>
          <w:color w:val="auto"/>
        </w:rPr>
        <w:t>No License</w:t>
      </w:r>
      <w:r>
        <w:rPr>
          <w:rFonts w:ascii="Times New Roman" w:cs="Times New Roman" w:eastAsia="Times New Roman" w:hAnsi="Times New Roman"/>
          <w:sz w:val="17"/>
          <w:szCs w:val="17"/>
          <w:color w:val="auto"/>
        </w:rPr>
        <w:t>. Confidential Information disclosed hereunder shall remain the property of the Disclosing Party. Disclosure or receipt of Confidential Information shall not constitute any grant, option or license to the other Party, beyond those licenses expressly granted hereunder, under any patent, trade secret or other rights now or hereinafter held by the Disclosing Party.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4"/>
          <w:szCs w:val="14"/>
          <w:b w:val="1"/>
          <w:bCs w:val="1"/>
          <w:color w:val="auto"/>
        </w:rPr>
        <w:t>UBLICITY</w:t>
      </w:r>
    </w:p>
    <w:p>
      <w:pPr>
        <w:spacing w:after="0" w:line="203"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b w:val="1"/>
          <w:bCs w:val="1"/>
          <w:color w:val="auto"/>
        </w:rPr>
        <w:t>Publicity</w:t>
      </w:r>
      <w:r>
        <w:rPr>
          <w:rFonts w:ascii="Times New Roman" w:cs="Times New Roman" w:eastAsia="Times New Roman" w:hAnsi="Times New Roman"/>
          <w:sz w:val="17"/>
          <w:szCs w:val="17"/>
          <w:color w:val="auto"/>
        </w:rPr>
        <w:t>. Neither Party shall distribute any other press release or other public communication relating to this Agreement or the substance hereof without the written consent of the other Party, except that each Party may file such further disclosures in connection herewith as may be required by the rules of any applicable securities or stock exchange or securities listing organization.</w:t>
      </w:r>
    </w:p>
    <w:p>
      <w:pPr>
        <w:spacing w:after="0" w:line="160"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No Right to Use Names</w:t>
      </w:r>
      <w:r>
        <w:rPr>
          <w:rFonts w:ascii="Times New Roman" w:cs="Times New Roman" w:eastAsia="Times New Roman" w:hAnsi="Times New Roman"/>
          <w:sz w:val="17"/>
          <w:szCs w:val="17"/>
          <w:color w:val="auto"/>
        </w:rPr>
        <w:t>. Except as expressly provided herein, or required by Applicable Law, neither Party may use in any manner the name or any trade name, symbol, logo, or trademark of the other Party without such other Party’s written consent.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4"/>
          <w:szCs w:val="14"/>
          <w:b w:val="1"/>
          <w:bCs w:val="1"/>
          <w:color w:val="auto"/>
        </w:rPr>
        <w:t>AND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b w:val="1"/>
          <w:bCs w:val="1"/>
          <w:color w:val="auto"/>
        </w:rPr>
        <w:t>Mutual Representations and Warranties</w:t>
      </w:r>
      <w:r>
        <w:rPr>
          <w:rFonts w:ascii="Times New Roman" w:cs="Times New Roman" w:eastAsia="Times New Roman" w:hAnsi="Times New Roman"/>
          <w:sz w:val="17"/>
          <w:szCs w:val="17"/>
          <w:color w:val="auto"/>
        </w:rPr>
        <w:t>. Each Party represents and warrants, to the other Party as of the Effective Date that:</w:t>
      </w:r>
    </w:p>
    <w:p>
      <w:pPr>
        <w:spacing w:after="0" w:line="225" w:lineRule="exact"/>
        <w:rPr>
          <w:sz w:val="20"/>
          <w:szCs w:val="20"/>
          <w:color w:val="auto"/>
        </w:rPr>
      </w:pPr>
    </w:p>
    <w:p>
      <w:pPr>
        <w:ind w:right="60" w:firstLine="426"/>
        <w:spacing w:after="0" w:line="276" w:lineRule="auto"/>
        <w:rPr>
          <w:sz w:val="20"/>
          <w:szCs w:val="20"/>
          <w:color w:val="auto"/>
        </w:rPr>
      </w:pPr>
      <w:r>
        <w:rPr>
          <w:rFonts w:ascii="Times New Roman" w:cs="Times New Roman" w:eastAsia="Times New Roman" w:hAnsi="Times New Roman"/>
          <w:sz w:val="17"/>
          <w:szCs w:val="17"/>
          <w:color w:val="auto"/>
        </w:rPr>
        <w:t>8.1.1  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660"/>
          </w:cols>
          <w:pgMar w:left="620" w:top="263" w:right="619" w:bottom="1440" w:gutter="0" w:footer="0" w:header="0"/>
        </w:sectPr>
      </w:pPr>
    </w:p>
    <w:bookmarkStart w:id="549" w:name="page550"/>
    <w:bookmarkEnd w:id="549"/>
    <w:p>
      <w:pPr>
        <w:ind w:right="100" w:firstLine="426"/>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8.1.2  it has the corporate power and authority and the legal right to enter into this Agreement and perform its obligations hereunder, it has taken all necessary corporate action on its part required to authorize the execution and delivery of the Agreement and the performance of its obligations hereunder, and this Agreement has been duly executed and delivered on behalf of such Party, and constitutes a legal, valid, and binding obligation of such Party that is enforceable against it in accordance with its terms, subject to applicable bankruptcy, insolvency, moratorium, reorganization and similar laws affecting creditors’ rights generally and to general equitable principles;</w:t>
      </w:r>
    </w:p>
    <w:p>
      <w:pPr>
        <w:spacing w:after="0" w:line="171" w:lineRule="exact"/>
        <w:rPr>
          <w:sz w:val="20"/>
          <w:szCs w:val="20"/>
          <w:color w:val="auto"/>
        </w:rPr>
      </w:pPr>
    </w:p>
    <w:p>
      <w:pPr>
        <w:ind w:right="200" w:firstLine="426"/>
        <w:spacing w:after="0" w:line="295" w:lineRule="auto"/>
        <w:rPr>
          <w:sz w:val="20"/>
          <w:szCs w:val="20"/>
          <w:color w:val="auto"/>
        </w:rPr>
      </w:pPr>
      <w:r>
        <w:rPr>
          <w:rFonts w:ascii="Times New Roman" w:cs="Times New Roman" w:eastAsia="Times New Roman" w:hAnsi="Times New Roman"/>
          <w:sz w:val="17"/>
          <w:szCs w:val="17"/>
          <w:color w:val="auto"/>
        </w:rPr>
        <w:t>8.1.3  it is not a party to any agreement that conflicts with the licenses and other rights granted to the other Party under this Agreement, and its performance of this Agreement does not conflict with or breach the terms and conditions of any other agreement by which it is bound; and</w:t>
      </w:r>
    </w:p>
    <w:p>
      <w:pPr>
        <w:spacing w:after="0" w:line="147" w:lineRule="exact"/>
        <w:rPr>
          <w:sz w:val="20"/>
          <w:szCs w:val="20"/>
          <w:color w:val="auto"/>
        </w:rPr>
      </w:pPr>
    </w:p>
    <w:p>
      <w:pPr>
        <w:ind w:right="100" w:firstLine="426"/>
        <w:spacing w:after="0" w:line="295" w:lineRule="auto"/>
        <w:rPr>
          <w:sz w:val="20"/>
          <w:szCs w:val="20"/>
          <w:color w:val="auto"/>
        </w:rPr>
      </w:pPr>
      <w:r>
        <w:rPr>
          <w:rFonts w:ascii="Times New Roman" w:cs="Times New Roman" w:eastAsia="Times New Roman" w:hAnsi="Times New Roman"/>
          <w:sz w:val="17"/>
          <w:szCs w:val="17"/>
          <w:color w:val="auto"/>
        </w:rPr>
        <w:t>8.1.4  it is not debarred or disqualified under the FD&amp;C Act or comparable Applicable Laws in any country or jurisdiction other than the United States.</w:t>
      </w:r>
    </w:p>
    <w:p>
      <w:pPr>
        <w:spacing w:after="0" w:line="14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b w:val="1"/>
          <w:bCs w:val="1"/>
          <w:color w:val="auto"/>
        </w:rPr>
        <w:t>Representations and Warranties for Tempus</w:t>
      </w:r>
      <w:r>
        <w:rPr>
          <w:rFonts w:ascii="Times New Roman" w:cs="Times New Roman" w:eastAsia="Times New Roman" w:hAnsi="Times New Roman"/>
          <w:sz w:val="17"/>
          <w:szCs w:val="17"/>
          <w:color w:val="auto"/>
        </w:rPr>
        <w:t>. Tempus represents and warrants to KK as of the Effective Date, and, solely with respect to any representation or warranty regarding the Tempus Technology, if not specified as applicable as of the “Effective Date” then again on the date of any subsequent Continuing Technology Transfer pursuant to which additional Tempus Technology is provided to KK (but only with respect to such additional Tempus Technology and subject to any disclosure provided by Tempus in connection with such delivery):</w:t>
      </w:r>
    </w:p>
    <w:p>
      <w:pPr>
        <w:spacing w:after="0" w:line="168" w:lineRule="exact"/>
        <w:rPr>
          <w:sz w:val="20"/>
          <w:szCs w:val="20"/>
          <w:color w:val="auto"/>
        </w:rPr>
      </w:pPr>
    </w:p>
    <w:p>
      <w:pPr>
        <w:ind w:firstLine="426"/>
        <w:spacing w:after="0" w:line="273" w:lineRule="auto"/>
        <w:rPr>
          <w:sz w:val="20"/>
          <w:szCs w:val="20"/>
          <w:color w:val="auto"/>
        </w:rPr>
      </w:pPr>
      <w:r>
        <w:rPr>
          <w:rFonts w:ascii="Times New Roman" w:cs="Times New Roman" w:eastAsia="Times New Roman" w:hAnsi="Times New Roman"/>
          <w:sz w:val="17"/>
          <w:szCs w:val="17"/>
          <w:color w:val="auto"/>
        </w:rPr>
        <w:t>8.2.1  (a) Tempus owns or has valid and enforceable rights to use all Tempus Technology, (b) Tempus has the power and authority to license or sublicense all Tempus Technology to KK in accordance with this Agreement; and (c) all intellectual property rights in and to the Tempus Technology are subsisting and have not been abandoned or adjudged invalid or unenforceable in whole or in part, and to the Knowledge of Tempus, valid, and enforceable;</w:t>
      </w:r>
    </w:p>
    <w:p>
      <w:pPr>
        <w:spacing w:after="0" w:line="378" w:lineRule="exact"/>
        <w:rPr>
          <w:sz w:val="20"/>
          <w:szCs w:val="20"/>
          <w:color w:val="auto"/>
        </w:rPr>
      </w:pPr>
    </w:p>
    <w:p>
      <w:pPr>
        <w:ind w:right="200" w:firstLine="426"/>
        <w:spacing w:after="0" w:line="295" w:lineRule="auto"/>
        <w:rPr>
          <w:sz w:val="20"/>
          <w:szCs w:val="20"/>
          <w:color w:val="auto"/>
        </w:rPr>
      </w:pPr>
      <w:r>
        <w:rPr>
          <w:rFonts w:ascii="Times New Roman" w:cs="Times New Roman" w:eastAsia="Times New Roman" w:hAnsi="Times New Roman"/>
          <w:sz w:val="17"/>
          <w:szCs w:val="17"/>
          <w:color w:val="auto"/>
        </w:rPr>
        <w:t xml:space="preserve">8.2.2 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includes all Tempus Patents that are Controlled by Tempus as of the Effective Date that are necessary or reasonably useful for KK’s operation of the Licensed Business in the Field and in the KK Territory;</w:t>
      </w:r>
    </w:p>
    <w:p>
      <w:pPr>
        <w:spacing w:after="0" w:line="147" w:lineRule="exact"/>
        <w:rPr>
          <w:sz w:val="20"/>
          <w:szCs w:val="20"/>
          <w:color w:val="auto"/>
        </w:rPr>
      </w:pPr>
    </w:p>
    <w:p>
      <w:pPr>
        <w:ind w:right="120" w:firstLine="426"/>
        <w:spacing w:after="0" w:line="276" w:lineRule="auto"/>
        <w:rPr>
          <w:sz w:val="20"/>
          <w:szCs w:val="20"/>
          <w:color w:val="auto"/>
        </w:rPr>
      </w:pPr>
      <w:r>
        <w:rPr>
          <w:rFonts w:ascii="Times New Roman" w:cs="Times New Roman" w:eastAsia="Times New Roman" w:hAnsi="Times New Roman"/>
          <w:sz w:val="17"/>
          <w:szCs w:val="17"/>
          <w:color w:val="auto"/>
        </w:rPr>
        <w:t>8.2.3  the Tempus Patents and the Tempus Know-How included in the Initial Technology Transfer and all Continuing Technology Transfers constitute all of the Patents and Know-How Controlled by Tempus that are necessary or reasonably useful for KK’s operation of the Licensed Business in the Field and in the KK Territory;</w:t>
      </w:r>
    </w:p>
    <w:p>
      <w:pPr>
        <w:spacing w:after="0" w:line="162" w:lineRule="exact"/>
        <w:rPr>
          <w:sz w:val="20"/>
          <w:szCs w:val="20"/>
          <w:color w:val="auto"/>
        </w:rPr>
      </w:pPr>
    </w:p>
    <w:p>
      <w:pPr>
        <w:ind w:right="340" w:firstLine="426"/>
        <w:spacing w:after="0" w:line="276" w:lineRule="auto"/>
        <w:rPr>
          <w:sz w:val="20"/>
          <w:szCs w:val="20"/>
          <w:color w:val="auto"/>
        </w:rPr>
      </w:pPr>
      <w:r>
        <w:rPr>
          <w:rFonts w:ascii="Times New Roman" w:cs="Times New Roman" w:eastAsia="Times New Roman" w:hAnsi="Times New Roman"/>
          <w:sz w:val="17"/>
          <w:szCs w:val="17"/>
          <w:color w:val="auto"/>
        </w:rPr>
        <w:t>8.2.4  there are no undisclosed pending or threatened (in writing), adverse actions, claims, suits or proceedings against Tempus involving the Tempus Technology licensed to KK hereunder that are reasonably likely to materially and adversely impact KK’s exercise of its rights under this Agreement;</w:t>
      </w:r>
    </w:p>
    <w:p>
      <w:pPr>
        <w:spacing w:after="0" w:line="162" w:lineRule="exact"/>
        <w:rPr>
          <w:sz w:val="20"/>
          <w:szCs w:val="20"/>
          <w:color w:val="auto"/>
        </w:rPr>
      </w:pPr>
    </w:p>
    <w:p>
      <w:pPr>
        <w:ind w:right="60" w:firstLine="426"/>
        <w:spacing w:after="0" w:line="276" w:lineRule="auto"/>
        <w:rPr>
          <w:sz w:val="20"/>
          <w:szCs w:val="20"/>
          <w:color w:val="auto"/>
        </w:rPr>
      </w:pPr>
      <w:r>
        <w:rPr>
          <w:rFonts w:ascii="Times New Roman" w:cs="Times New Roman" w:eastAsia="Times New Roman" w:hAnsi="Times New Roman"/>
          <w:sz w:val="17"/>
          <w:szCs w:val="17"/>
          <w:color w:val="auto"/>
        </w:rPr>
        <w:t>8.2.5  to the Knowledge of Tempus, the use or practice of the Tempus Technology by KK in the KK Territory as contemplated in this Agreement does not infringe or misappropriate any issued Patents or Know-How owned or controlled by a Third Party, and Tempus has not received any written notice from a Third Party asserting or alleging any of the foregoing;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40"/>
          </w:cols>
          <w:pgMar w:left="620" w:top="265" w:right="639" w:bottom="1440" w:gutter="0" w:footer="0" w:header="0"/>
        </w:sectPr>
      </w:pPr>
    </w:p>
    <w:bookmarkStart w:id="550" w:name="page551"/>
    <w:bookmarkEnd w:id="550"/>
    <w:p>
      <w:pPr>
        <w:ind w:right="480"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1">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8.2.6  all applicable and material fees and filings due prior to the Effective Date in connection with the prosecution and maintenance of the Tempus Patents listed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the Tempus Corporate Marks, in each case in the KK Territory, have been completed;</w:t>
      </w:r>
    </w:p>
    <w:p>
      <w:pPr>
        <w:spacing w:after="0" w:line="147" w:lineRule="exact"/>
        <w:rPr>
          <w:sz w:val="20"/>
          <w:szCs w:val="20"/>
          <w:color w:val="auto"/>
        </w:rPr>
      </w:pPr>
    </w:p>
    <w:p>
      <w:pPr>
        <w:ind w:firstLine="426"/>
        <w:spacing w:after="0" w:line="263" w:lineRule="auto"/>
        <w:rPr>
          <w:sz w:val="20"/>
          <w:szCs w:val="20"/>
          <w:color w:val="auto"/>
        </w:rPr>
      </w:pPr>
      <w:r>
        <w:rPr>
          <w:rFonts w:ascii="Times New Roman" w:cs="Times New Roman" w:eastAsia="Times New Roman" w:hAnsi="Times New Roman"/>
          <w:sz w:val="17"/>
          <w:szCs w:val="17"/>
          <w:color w:val="auto"/>
        </w:rPr>
        <w:t>8.2.7  (a) the development of the Tempus Technology (including the training and fine-tuning of any foundation models included within the Tempus Technology) does not involve the use or other processing of data or information (including data or information that was collected or generated using web scraping, web crawling or web harvesting) in a manner that violates any Applicable Laws or any contract to which Tempus or any of its Affiliates is a party or otherwise bound; (b) Tempus and each of its Affiliates maintains and adheres to, reasonable policies and procedures relating to the ethical, trustworthy and responsible use and deployment of AI-related technologies and regularly audits its compliance with such policies and procedures; and (c) there has been no actual or alleged material non-compliance with any such policies and procedures, and neither Tempus nor any of its Affiliates has received any request for information or testimony from any Governmental Authority concerning any Tempus Technology; and</w:t>
      </w:r>
    </w:p>
    <w:p>
      <w:pPr>
        <w:spacing w:after="0" w:line="173" w:lineRule="exact"/>
        <w:rPr>
          <w:sz w:val="20"/>
          <w:szCs w:val="20"/>
          <w:color w:val="auto"/>
        </w:rPr>
      </w:pPr>
    </w:p>
    <w:p>
      <w:pPr>
        <w:ind w:right="40" w:firstLine="426"/>
        <w:spacing w:after="0" w:line="269" w:lineRule="auto"/>
        <w:rPr>
          <w:sz w:val="20"/>
          <w:szCs w:val="20"/>
          <w:color w:val="auto"/>
        </w:rPr>
      </w:pPr>
      <w:r>
        <w:rPr>
          <w:rFonts w:ascii="Times New Roman" w:cs="Times New Roman" w:eastAsia="Times New Roman" w:hAnsi="Times New Roman"/>
          <w:sz w:val="17"/>
          <w:szCs w:val="17"/>
          <w:color w:val="auto"/>
        </w:rPr>
        <w:t>8.2.8  none of the software or systems contained within the Tempus Technology (a) contains any malicious code, virus, Trojan horse, bug, vulnerability, corruptant, defect or error that materially and adversely affects the use, functionality, security or performance of the Tempus Technology or (b) fails to comply with any applicable specifications or other contractual commitment relating to the use, functionality or performance of the Tempus Technology, in each case of (a) and (b), in any material respect.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b w:val="1"/>
          <w:bCs w:val="1"/>
          <w:color w:val="auto"/>
        </w:rPr>
        <w:t>Mutual Covenants</w:t>
      </w:r>
      <w:r>
        <w:rPr>
          <w:rFonts w:ascii="Times New Roman" w:cs="Times New Roman" w:eastAsia="Times New Roman" w:hAnsi="Times New Roman"/>
          <w:sz w:val="17"/>
          <w:szCs w:val="17"/>
          <w:color w:val="auto"/>
        </w:rPr>
        <w:t>. Each Party covenants to the other Party that during the Term:</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8.3.1   it shall not enter into any agreement that would conflict with the terms and conditions of this Agreement;</w:t>
      </w:r>
    </w:p>
    <w:p>
      <w:pPr>
        <w:spacing w:after="0" w:line="223" w:lineRule="exact"/>
        <w:rPr>
          <w:sz w:val="20"/>
          <w:szCs w:val="20"/>
          <w:color w:val="auto"/>
        </w:rPr>
      </w:pPr>
    </w:p>
    <w:p>
      <w:pPr>
        <w:ind w:firstLine="426"/>
        <w:spacing w:after="0" w:line="269" w:lineRule="auto"/>
        <w:rPr>
          <w:sz w:val="20"/>
          <w:szCs w:val="20"/>
          <w:color w:val="auto"/>
        </w:rPr>
      </w:pPr>
      <w:r>
        <w:rPr>
          <w:rFonts w:ascii="Times New Roman" w:cs="Times New Roman" w:eastAsia="Times New Roman" w:hAnsi="Times New Roman"/>
          <w:sz w:val="17"/>
          <w:szCs w:val="17"/>
          <w:color w:val="auto"/>
        </w:rPr>
        <w:t>8.3.2  in the course of performing its obligations or exercising its rights under this Agreement, it shall comply with all Applicable Laws, and shall not employ or engage any person or entity who has been debarred by any Regulatory Authority or otherwise excluded by any Governmental Authority from participating in any program sponsored or administered by a Governmental Authority, or, to such Party’s knowledge, is the subject of debarment or exclusion proceedings or investigation by a Regulatory Authority or other Governmental Authority; and</w:t>
      </w:r>
    </w:p>
    <w:p>
      <w:pPr>
        <w:spacing w:after="0" w:line="169" w:lineRule="exact"/>
        <w:rPr>
          <w:sz w:val="20"/>
          <w:szCs w:val="20"/>
          <w:color w:val="auto"/>
        </w:rPr>
      </w:pPr>
    </w:p>
    <w:p>
      <w:pPr>
        <w:ind w:right="60" w:firstLine="426"/>
        <w:spacing w:after="0" w:line="266" w:lineRule="auto"/>
        <w:rPr>
          <w:sz w:val="20"/>
          <w:szCs w:val="20"/>
          <w:color w:val="auto"/>
        </w:rPr>
      </w:pPr>
      <w:r>
        <w:rPr>
          <w:rFonts w:ascii="Times New Roman" w:cs="Times New Roman" w:eastAsia="Times New Roman" w:hAnsi="Times New Roman"/>
          <w:sz w:val="17"/>
          <w:szCs w:val="17"/>
          <w:color w:val="auto"/>
        </w:rPr>
        <w:t>8.3.3  it shall not knowingly employ or use, directly or indirectly, including through Affiliates or (sub)licensees or subcontractors, the services of any person who is debarred or disqualified in connection with the activities contemplated by this Agreement, and in the event that it becomes aware of the debarment or disqualification or threatened debarment or disqualification of any person providing services to such Party, directly or indirectly, including through Affiliates or (sub)licensees or subcontractors, which directly or indirectly relate to activities contemplated by this Agreement, it shall promptly notify the other Party in writing and it shall cease employing, contracting with, or retaining any such person to perform any such services.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660"/>
          </w:cols>
          <w:pgMar w:left="620" w:top="264" w:right="619" w:bottom="1440" w:gutter="0" w:footer="0" w:header="0"/>
        </w:sectPr>
      </w:pPr>
    </w:p>
    <w:bookmarkStart w:id="551" w:name="page552"/>
    <w:bookmarkEnd w:id="551"/>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8.4  </w:t>
      </w:r>
      <w:r>
        <w:rPr>
          <w:rFonts w:ascii="Times New Roman" w:cs="Times New Roman" w:eastAsia="Times New Roman" w:hAnsi="Times New Roman"/>
          <w:sz w:val="17"/>
          <w:szCs w:val="17"/>
          <w:b w:val="1"/>
          <w:bCs w:val="1"/>
          <w:color w:val="auto"/>
        </w:rPr>
        <w:t>Disclaimers</w:t>
      </w:r>
      <w:r>
        <w:rPr>
          <w:rFonts w:ascii="Times New Roman" w:cs="Times New Roman" w:eastAsia="Times New Roman" w:hAnsi="Times New Roman"/>
          <w:sz w:val="17"/>
          <w:szCs w:val="17"/>
          <w:color w:val="auto"/>
        </w:rPr>
        <w:t>. EXCEPT AS OTHERWISE EXPRESSLY STATED IN THIS AGREEMENT, NEITHER PARTY MAKES ANY REPRESENTATION OR WARRANTY OF ANY KIND WITH RESPECT TO PATENTS, KNOW-HOW, MATERIALS OR CONFIDENTIAL INFORMATION SUPPLIED BY IT TO THE OTHER PARTY HEREUNDER, AND EXPRESSLY DISCLAIMS ALL WARRANTIES, EXPRESS OR IMPLIED, INCLUDING BUT NOT LIMITED TO WARRANTIES OF MERCHANTABILITY, OR FITNESS FOR A PARTICULAR PURPOSE AND NON-INFRINGEMENT.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9</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4"/>
          <w:szCs w:val="14"/>
          <w:b w:val="1"/>
          <w:bCs w:val="1"/>
          <w:color w:val="auto"/>
        </w:rPr>
        <w:t>NDEMNIFICATION</w:t>
      </w:r>
    </w:p>
    <w:p>
      <w:pPr>
        <w:spacing w:after="0" w:line="203"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b w:val="1"/>
          <w:bCs w:val="1"/>
          <w:color w:val="auto"/>
        </w:rPr>
        <w:t>Indemnification by KK</w:t>
      </w:r>
      <w:r>
        <w:rPr>
          <w:rFonts w:ascii="Times New Roman" w:cs="Times New Roman" w:eastAsia="Times New Roman" w:hAnsi="Times New Roman"/>
          <w:sz w:val="17"/>
          <w:szCs w:val="17"/>
          <w:color w:val="auto"/>
        </w:rPr>
        <w:t>. KK shall indemnify, defend and hold harmless Tempus, its Affiliates, and their directors, officers, employees, (individually and collectively, the “</w:t>
      </w:r>
      <w:r>
        <w:rPr>
          <w:rFonts w:ascii="Times New Roman" w:cs="Times New Roman" w:eastAsia="Times New Roman" w:hAnsi="Times New Roman"/>
          <w:sz w:val="17"/>
          <w:szCs w:val="17"/>
          <w:b w:val="1"/>
          <w:bCs w:val="1"/>
          <w:color w:val="auto"/>
        </w:rPr>
        <w:t>Tempus Indemnitee(s)</w:t>
      </w:r>
      <w:r>
        <w:rPr>
          <w:rFonts w:ascii="Times New Roman" w:cs="Times New Roman" w:eastAsia="Times New Roman" w:hAnsi="Times New Roman"/>
          <w:sz w:val="17"/>
          <w:szCs w:val="17"/>
          <w:color w:val="auto"/>
        </w:rPr>
        <w:t>”) from and against all losses, liabilities, damages and expenses (including reasonable attorneys’ fees and costs) incurred in connection with any claims, demands, actions or other proceedings by any Third Party (individually and collectively,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to the extent arising from:</w:t>
      </w:r>
    </w:p>
    <w:p>
      <w:pPr>
        <w:spacing w:after="0" w:line="168" w:lineRule="exact"/>
        <w:rPr>
          <w:sz w:val="20"/>
          <w:szCs w:val="20"/>
          <w:color w:val="auto"/>
        </w:rPr>
      </w:pPr>
    </w:p>
    <w:p>
      <w:pPr>
        <w:jc w:val="both"/>
        <w:ind w:right="80" w:firstLine="426"/>
        <w:spacing w:after="0" w:line="276" w:lineRule="auto"/>
        <w:rPr>
          <w:sz w:val="20"/>
          <w:szCs w:val="20"/>
          <w:color w:val="auto"/>
        </w:rPr>
      </w:pPr>
      <w:r>
        <w:rPr>
          <w:rFonts w:ascii="Times New Roman" w:cs="Times New Roman" w:eastAsia="Times New Roman" w:hAnsi="Times New Roman"/>
          <w:sz w:val="17"/>
          <w:szCs w:val="17"/>
          <w:color w:val="auto"/>
        </w:rPr>
        <w:t>9.1.1  the operation of the Licensed Business in the Field in the KK Territory, including any development, manufacture or commercialization of products or services by or on behalf of KK or any of its Affiliates or Sublicensees, including product liability claims (except to the extent attributable to any defect in the Tempus Technology in the form delivered by Tempus to KK); or</w:t>
      </w:r>
    </w:p>
    <w:p>
      <w:pPr>
        <w:spacing w:after="0" w:line="162" w:lineRule="exact"/>
        <w:rPr>
          <w:sz w:val="20"/>
          <w:szCs w:val="20"/>
          <w:color w:val="auto"/>
        </w:rPr>
      </w:pPr>
    </w:p>
    <w:p>
      <w:pPr>
        <w:ind w:right="160" w:firstLine="426"/>
        <w:spacing w:after="0" w:line="295" w:lineRule="auto"/>
        <w:rPr>
          <w:sz w:val="20"/>
          <w:szCs w:val="20"/>
          <w:color w:val="auto"/>
        </w:rPr>
      </w:pPr>
      <w:r>
        <w:rPr>
          <w:rFonts w:ascii="Times New Roman" w:cs="Times New Roman" w:eastAsia="Times New Roman" w:hAnsi="Times New Roman"/>
          <w:sz w:val="17"/>
          <w:szCs w:val="17"/>
          <w:color w:val="auto"/>
        </w:rPr>
        <w:t>9.1.2  the gross negligence, wilful misconduct or breach of this Agreement (including any representations, warranty or covenant of KK) by any KK Indemnitee;</w:t>
      </w:r>
    </w:p>
    <w:p>
      <w:pPr>
        <w:spacing w:after="0" w:line="147" w:lineRule="exact"/>
        <w:rPr>
          <w:sz w:val="20"/>
          <w:szCs w:val="20"/>
          <w:color w:val="auto"/>
        </w:rPr>
      </w:pPr>
    </w:p>
    <w:p>
      <w:pPr>
        <w:ind w:right="60" w:firstLine="426"/>
        <w:spacing w:after="0" w:line="295" w:lineRule="auto"/>
        <w:rPr>
          <w:sz w:val="20"/>
          <w:szCs w:val="20"/>
          <w:color w:val="auto"/>
        </w:rPr>
      </w:pPr>
      <w:r>
        <w:rPr>
          <w:rFonts w:ascii="Times New Roman" w:cs="Times New Roman" w:eastAsia="Times New Roman" w:hAnsi="Times New Roman"/>
          <w:sz w:val="17"/>
          <w:szCs w:val="17"/>
          <w:color w:val="auto"/>
        </w:rPr>
        <w:t>9.1.3  except in each case to the extent such Losses arise out of the wilful misconduct or breach of this Agreement by any Tempus Indemnitee or to the extent subject to an indemnification obligation by Tempus.</w:t>
      </w:r>
    </w:p>
    <w:p>
      <w:pPr>
        <w:spacing w:after="0" w:line="145"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b w:val="1"/>
          <w:bCs w:val="1"/>
          <w:color w:val="auto"/>
        </w:rPr>
        <w:t>Indemnification by Tempus</w:t>
      </w:r>
      <w:r>
        <w:rPr>
          <w:rFonts w:ascii="Times New Roman" w:cs="Times New Roman" w:eastAsia="Times New Roman" w:hAnsi="Times New Roman"/>
          <w:sz w:val="17"/>
          <w:szCs w:val="17"/>
          <w:color w:val="auto"/>
        </w:rPr>
        <w:t>. Tempus shall indemnify, defend and hold harmless KK, its Affiliates, and their directors, officers, employees and agents (individually and collectively, the “</w:t>
      </w:r>
      <w:r>
        <w:rPr>
          <w:rFonts w:ascii="Times New Roman" w:cs="Times New Roman" w:eastAsia="Times New Roman" w:hAnsi="Times New Roman"/>
          <w:sz w:val="17"/>
          <w:szCs w:val="17"/>
          <w:b w:val="1"/>
          <w:bCs w:val="1"/>
          <w:color w:val="auto"/>
        </w:rPr>
        <w:t>KK Indemnitee(s)</w:t>
      </w:r>
      <w:r>
        <w:rPr>
          <w:rFonts w:ascii="Times New Roman" w:cs="Times New Roman" w:eastAsia="Times New Roman" w:hAnsi="Times New Roman"/>
          <w:sz w:val="17"/>
          <w:szCs w:val="17"/>
          <w:color w:val="auto"/>
        </w:rPr>
        <w:t>”) from and against all Losses to the extent arising from:</w:t>
      </w:r>
    </w:p>
    <w:p>
      <w:pPr>
        <w:spacing w:after="0" w:line="144" w:lineRule="exact"/>
        <w:rPr>
          <w:sz w:val="20"/>
          <w:szCs w:val="20"/>
          <w:color w:val="auto"/>
        </w:rPr>
      </w:pPr>
    </w:p>
    <w:p>
      <w:pPr>
        <w:ind w:right="100" w:firstLine="426"/>
        <w:spacing w:after="0" w:line="295" w:lineRule="auto"/>
        <w:rPr>
          <w:sz w:val="20"/>
          <w:szCs w:val="20"/>
          <w:color w:val="auto"/>
        </w:rPr>
      </w:pPr>
      <w:r>
        <w:rPr>
          <w:rFonts w:ascii="Times New Roman" w:cs="Times New Roman" w:eastAsia="Times New Roman" w:hAnsi="Times New Roman"/>
          <w:sz w:val="17"/>
          <w:szCs w:val="17"/>
          <w:color w:val="auto"/>
        </w:rPr>
        <w:t>9.2.1  The gross negligence, wilful misconduct or breach of this Agreement (including any representations, warranty or covenant of Tempus) by any Tempus Indemnitee; or</w:t>
      </w:r>
    </w:p>
    <w:p>
      <w:pPr>
        <w:spacing w:after="0" w:line="147" w:lineRule="exact"/>
        <w:rPr>
          <w:sz w:val="20"/>
          <w:szCs w:val="20"/>
          <w:color w:val="auto"/>
        </w:rPr>
      </w:pPr>
    </w:p>
    <w:p>
      <w:pPr>
        <w:ind w:right="380" w:firstLine="426"/>
        <w:spacing w:after="0" w:line="295" w:lineRule="auto"/>
        <w:rPr>
          <w:sz w:val="20"/>
          <w:szCs w:val="20"/>
          <w:color w:val="auto"/>
        </w:rPr>
      </w:pPr>
      <w:r>
        <w:rPr>
          <w:rFonts w:ascii="Times New Roman" w:cs="Times New Roman" w:eastAsia="Times New Roman" w:hAnsi="Times New Roman"/>
          <w:sz w:val="17"/>
          <w:szCs w:val="17"/>
          <w:color w:val="auto"/>
        </w:rPr>
        <w:t>9.2.2  infringement, misappropriation, or other violation of a third party’s intellectual property right arising from KK’s use or practice of the Tempus Technology as contemplated in this Agreement (each an “</w:t>
      </w:r>
      <w:r>
        <w:rPr>
          <w:rFonts w:ascii="Times New Roman" w:cs="Times New Roman" w:eastAsia="Times New Roman" w:hAnsi="Times New Roman"/>
          <w:sz w:val="17"/>
          <w:szCs w:val="17"/>
          <w:b w:val="1"/>
          <w:bCs w:val="1"/>
          <w:color w:val="auto"/>
        </w:rPr>
        <w:t>Indemnifiable IP Infringement Claim</w:t>
      </w:r>
      <w:r>
        <w:rPr>
          <w:rFonts w:ascii="Times New Roman" w:cs="Times New Roman" w:eastAsia="Times New Roman" w:hAnsi="Times New Roman"/>
          <w:sz w:val="17"/>
          <w:szCs w:val="17"/>
          <w:color w:val="auto"/>
        </w:rPr>
        <w:t>”), [***];</w:t>
      </w:r>
    </w:p>
    <w:p>
      <w:pPr>
        <w:spacing w:after="0" w:line="147" w:lineRule="exact"/>
        <w:rPr>
          <w:sz w:val="20"/>
          <w:szCs w:val="20"/>
          <w:color w:val="auto"/>
        </w:rPr>
      </w:pPr>
    </w:p>
    <w:p>
      <w:pPr>
        <w:ind w:right="460" w:firstLine="426"/>
        <w:spacing w:after="0" w:line="276" w:lineRule="auto"/>
        <w:rPr>
          <w:sz w:val="20"/>
          <w:szCs w:val="20"/>
          <w:color w:val="auto"/>
        </w:rPr>
      </w:pPr>
      <w:r>
        <w:rPr>
          <w:rFonts w:ascii="Times New Roman" w:cs="Times New Roman" w:eastAsia="Times New Roman" w:hAnsi="Times New Roman"/>
          <w:sz w:val="17"/>
          <w:szCs w:val="17"/>
          <w:color w:val="auto"/>
        </w:rPr>
        <w:t xml:space="preserve">9.2.3  except, in the case of Losses under </w:t>
      </w:r>
      <w:r>
        <w:rPr>
          <w:rFonts w:ascii="Times New Roman" w:cs="Times New Roman" w:eastAsia="Times New Roman" w:hAnsi="Times New Roman"/>
          <w:sz w:val="17"/>
          <w:szCs w:val="17"/>
          <w:u w:val="single" w:color="auto"/>
          <w:color w:val="auto"/>
        </w:rPr>
        <w:t>Section 9.2.2</w:t>
      </w:r>
      <w:r>
        <w:rPr>
          <w:rFonts w:ascii="Times New Roman" w:cs="Times New Roman" w:eastAsia="Times New Roman" w:hAnsi="Times New Roman"/>
          <w:sz w:val="17"/>
          <w:szCs w:val="17"/>
          <w:color w:val="auto"/>
        </w:rPr>
        <w:t>, to the extent such Losses arise out of (i) any Tempus Technology modified without Tempus’ approval; (ii) the use of any Tempus Technology in combination with materials not provided by Tempus; or (iii) the use of any Tempus Technology other than as permitted under this Agreement or the Business Plan (as defined in the JV Agreement).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40"/>
          </w:cols>
          <w:pgMar w:left="620" w:top="262" w:right="639" w:bottom="1440" w:gutter="0" w:footer="0" w:header="0"/>
        </w:sectPr>
      </w:pPr>
    </w:p>
    <w:bookmarkStart w:id="552" w:name="page553"/>
    <w:bookmarkEnd w:id="552"/>
    <w:p>
      <w:pPr>
        <w:ind w:firstLine="426"/>
        <w:spacing w:after="0" w:line="2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9.2.4  and, except in each case in </w:t>
      </w:r>
      <w:r>
        <w:rPr>
          <w:rFonts w:ascii="Times New Roman" w:cs="Times New Roman" w:eastAsia="Times New Roman" w:hAnsi="Times New Roman"/>
          <w:sz w:val="17"/>
          <w:szCs w:val="17"/>
          <w:u w:val="single" w:color="auto"/>
          <w:color w:val="auto"/>
        </w:rPr>
        <w:t>Section 9.2.1 and 9.2.2</w:t>
      </w:r>
      <w:r>
        <w:rPr>
          <w:rFonts w:ascii="Times New Roman" w:cs="Times New Roman" w:eastAsia="Times New Roman" w:hAnsi="Times New Roman"/>
          <w:sz w:val="17"/>
          <w:szCs w:val="17"/>
          <w:color w:val="auto"/>
        </w:rPr>
        <w:t xml:space="preserve"> to the extent such Losses arise out of the negligence, wilful misconduct or breach of this Agreement by any KK Indemnitee or to the extent subject to an indemnification obligation by KK.</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b w:val="1"/>
          <w:bCs w:val="1"/>
          <w:color w:val="auto"/>
        </w:rPr>
        <w:t>Indemnification Procedure</w:t>
      </w:r>
      <w:r>
        <w:rPr>
          <w:rFonts w:ascii="Times New Roman" w:cs="Times New Roman" w:eastAsia="Times New Roman" w:hAnsi="Times New Roman"/>
          <w:sz w:val="17"/>
          <w:szCs w:val="17"/>
          <w:color w:val="auto"/>
        </w:rPr>
        <w:t xml:space="preserve">. If either Party is seeking indemnification under </w:t>
      </w:r>
      <w:r>
        <w:rPr>
          <w:rFonts w:ascii="Times New Roman" w:cs="Times New Roman" w:eastAsia="Times New Roman" w:hAnsi="Times New Roman"/>
          <w:sz w:val="17"/>
          <w:szCs w:val="17"/>
          <w:u w:val="single" w:color="auto"/>
          <w:color w:val="auto"/>
        </w:rPr>
        <w:t>Section 9.1 (Indemnification by KK)</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 (Indemnification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by Tempus)</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it shall inform the other Party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of the claim giving rise to the obligation to indemnify promptly given the circumstances after receiving notice of the claim (it being understood and agreed, however, that the failure or delay by an Indemnified Party to give such notice of a claim shall not affect the indemnification provided hereunder except to the extent the Indemnifying Party shall have been actually and materially prejudiced as a result of such failure or delay to give notice). The Indemnifying Party shall have the sole right to assume and control the defense of any such claim for which it 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that has been assumed by the Indemnifying Party. Neither Party shall have the obligation to indemnify the other Party in connection with any settlement made without the Indemnifying Party’s written consent, which consent shall not be unreasonably withheld or delayed.</w:t>
      </w:r>
    </w:p>
    <w:p>
      <w:pPr>
        <w:spacing w:after="0" w:line="17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b w:val="1"/>
          <w:bCs w:val="1"/>
          <w:color w:val="auto"/>
        </w:rPr>
        <w:t>Mitigation of Loss</w:t>
      </w:r>
      <w:r>
        <w:rPr>
          <w:rFonts w:ascii="Times New Roman" w:cs="Times New Roman" w:eastAsia="Times New Roman" w:hAnsi="Times New Roman"/>
          <w:sz w:val="17"/>
          <w:szCs w:val="17"/>
          <w:color w:val="auto"/>
        </w:rPr>
        <w:t xml:space="preserve">. Each Indemnified Party shall take and shall procure that its Affiliates take all such reasonable steps and action as are reasonably necessary or as the Indemnifying Party may reasonably require in order to mitigate any claims (or potential losses or damages) under this </w:t>
      </w:r>
      <w:r>
        <w:rPr>
          <w:rFonts w:ascii="Times New Roman" w:cs="Times New Roman" w:eastAsia="Times New Roman" w:hAnsi="Times New Roman"/>
          <w:sz w:val="17"/>
          <w:szCs w:val="17"/>
          <w:u w:val="single" w:color="auto"/>
          <w:color w:val="auto"/>
        </w:rPr>
        <w:t>Article 10 (Indemnification)</w:t>
      </w:r>
      <w:r>
        <w:rPr>
          <w:rFonts w:ascii="Times New Roman" w:cs="Times New Roman" w:eastAsia="Times New Roman" w:hAnsi="Times New Roman"/>
          <w:sz w:val="17"/>
          <w:szCs w:val="17"/>
          <w:color w:val="auto"/>
        </w:rPr>
        <w:t>. Nothing in this Agreement shall or shall be deemed to relieve any Party of any common law or other duty to mitigate any losses incurred by it. Without limiting the foregoing, and without limitation to either Party’s other remedies under this Agreement, if any of the Tempus Technology is, or in Tempus’s opinion is likely to be, claimed to infringe, misappropriate or otherwise violate any third-party intellectual property right, or if KK’s use of the Tempus Technology is enjoined or threatened to be enjoined, Tempus may, at its option and sole cost and expense: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9.4.1   obtain the right for KK to continue to use the affected Tempus Technology as contemplated by this Agreement;</w:t>
      </w:r>
    </w:p>
    <w:p>
      <w:pPr>
        <w:spacing w:after="0" w:line="223" w:lineRule="exact"/>
        <w:rPr>
          <w:sz w:val="20"/>
          <w:szCs w:val="20"/>
          <w:color w:val="auto"/>
        </w:rPr>
      </w:pPr>
    </w:p>
    <w:p>
      <w:pPr>
        <w:ind w:right="520" w:firstLine="426"/>
        <w:spacing w:after="0" w:line="295" w:lineRule="auto"/>
        <w:rPr>
          <w:sz w:val="20"/>
          <w:szCs w:val="20"/>
          <w:color w:val="auto"/>
        </w:rPr>
      </w:pPr>
      <w:r>
        <w:rPr>
          <w:rFonts w:ascii="Times New Roman" w:cs="Times New Roman" w:eastAsia="Times New Roman" w:hAnsi="Times New Roman"/>
          <w:sz w:val="17"/>
          <w:szCs w:val="17"/>
          <w:color w:val="auto"/>
        </w:rPr>
        <w:t>9.4.2  modify or replace the affected Tempus Technology, in whole or in part, to make the affected Tempus Technology (as so modified or replaced) non-infringing, without any material degradation of features and functionality; or</w:t>
      </w:r>
    </w:p>
    <w:p>
      <w:pPr>
        <w:spacing w:after="0" w:line="147" w:lineRule="exact"/>
        <w:rPr>
          <w:sz w:val="20"/>
          <w:szCs w:val="20"/>
          <w:color w:val="auto"/>
        </w:rPr>
      </w:pPr>
    </w:p>
    <w:p>
      <w:pPr>
        <w:ind w:firstLine="426"/>
        <w:spacing w:after="0" w:line="265" w:lineRule="auto"/>
        <w:rPr>
          <w:sz w:val="20"/>
          <w:szCs w:val="20"/>
          <w:color w:val="auto"/>
        </w:rPr>
      </w:pPr>
      <w:r>
        <w:rPr>
          <w:rFonts w:ascii="Times New Roman" w:cs="Times New Roman" w:eastAsia="Times New Roman" w:hAnsi="Times New Roman"/>
          <w:sz w:val="17"/>
          <w:szCs w:val="17"/>
          <w:color w:val="auto"/>
        </w:rPr>
        <w:t xml:space="preserve">9.4.3  if Tempus reasonably determines that neither of the options set forth in </w:t>
      </w:r>
      <w:r>
        <w:rPr>
          <w:rFonts w:ascii="Times New Roman" w:cs="Times New Roman" w:eastAsia="Times New Roman" w:hAnsi="Times New Roman"/>
          <w:sz w:val="17"/>
          <w:szCs w:val="17"/>
          <w:u w:val="single" w:color="auto"/>
          <w:color w:val="auto"/>
        </w:rPr>
        <w:t>Section 9.4.1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9.4.2</w:t>
      </w:r>
      <w:r>
        <w:rPr>
          <w:rFonts w:ascii="Times New Roman" w:cs="Times New Roman" w:eastAsia="Times New Roman" w:hAnsi="Times New Roman"/>
          <w:sz w:val="17"/>
          <w:szCs w:val="17"/>
          <w:color w:val="auto"/>
        </w:rPr>
        <w:t xml:space="preserve"> are technically feasible or commercially reasonable, then the Parties shall discuss in good faith regarding a mutually acceptable solution for up to [***] days upon Tempus’ written notice to KK, and, if no mutually acceptable solution is agreed during such [***] period, then by written notice to KK, Tempus may terminate KK’s license to the affected Tempus Technology and require KK to immediately cease any use of such affected Tempus Technology, subject to Tempus providing KK with an equitable financial refund (as determined based on a valuation conducted by a third party mutually agreed upon by the Parties, and calculated as a</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640"/>
          </w:cols>
          <w:pgMar w:left="620" w:top="264" w:right="639" w:bottom="1440" w:gutter="0" w:footer="0" w:header="0"/>
        </w:sectPr>
      </w:pPr>
    </w:p>
    <w:bookmarkStart w:id="553" w:name="page554"/>
    <w:bookmarkEnd w:id="553"/>
    <w:p>
      <w:pPr>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percentage of the fees paid to Tempus hereunder) for the affected Tempus Technology, less depreciation calculated on a straight line basis over a [***] period from the Effective Date; provided that following such termination the Parties shall continue to consider any mutually acceptable solutions in good faith unless both Parties agree no reasonable solution is available or otherwise agree to discontinue discussions.</w:t>
      </w:r>
    </w:p>
    <w:p>
      <w:pPr>
        <w:spacing w:after="0" w:line="16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b w:val="1"/>
          <w:bCs w:val="1"/>
          <w:color w:val="auto"/>
        </w:rPr>
        <w:t>Limitation of Liability</w:t>
      </w:r>
      <w:r>
        <w:rPr>
          <w:rFonts w:ascii="Times New Roman" w:cs="Times New Roman" w:eastAsia="Times New Roman" w:hAnsi="Times New Roman"/>
          <w:sz w:val="17"/>
          <w:szCs w:val="17"/>
          <w:color w:val="auto"/>
        </w:rPr>
        <w:t xml:space="preserve">. EXCEPT FOR DAMAGES AWARDED TO A THIRD PARTY IN A CLAIM SUBJECT TO THE INDEMNIFICATION PROVISIONS OF </w:t>
      </w:r>
      <w:r>
        <w:rPr>
          <w:rFonts w:ascii="Times New Roman" w:cs="Times New Roman" w:eastAsia="Times New Roman" w:hAnsi="Times New Roman"/>
          <w:sz w:val="17"/>
          <w:szCs w:val="17"/>
          <w:u w:val="single" w:color="auto"/>
          <w:color w:val="auto"/>
        </w:rPr>
        <w:t>SECTION 9.1 (INDEMNIFICATION BY KK)</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 (INDEMNIFICATION BY TEMPUS)</w:t>
      </w:r>
      <w:r>
        <w:rPr>
          <w:rFonts w:ascii="Times New Roman" w:cs="Times New Roman" w:eastAsia="Times New Roman" w:hAnsi="Times New Roman"/>
          <w:sz w:val="17"/>
          <w:szCs w:val="17"/>
          <w:color w:val="auto"/>
        </w:rPr>
        <w:t xml:space="preserve">, ATTRIBUTABLE TO A PARTY’S FRAUD, GROSS NEGLIGENCE, WILFUL MISCONDUCT, OR ATTRIBUTABLE TO A PARTY’S BREACH OF </w:t>
      </w:r>
      <w:r>
        <w:rPr>
          <w:rFonts w:ascii="Times New Roman" w:cs="Times New Roman" w:eastAsia="Times New Roman" w:hAnsi="Times New Roman"/>
          <w:sz w:val="17"/>
          <w:szCs w:val="17"/>
          <w:u w:val="single" w:color="auto"/>
          <w:color w:val="auto"/>
        </w:rPr>
        <w:t>ARTICLE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(A) NEITHER PARTY SHALL BE LIABLE TO THE OTHER FOR ANY SPECIAL, CONSEQUENTIAL (WHICH SHALL INCLUDE WITHOUT LIMITATION, ALL DAMAGES CONSTITUTING LOSS OF PROFIT, LOSS OF REVENUE AND LOSS OF GOODWILL), INCIDENTAL, PUNITIVE, OR INDIRECT DAMAGES ARISING FROM OR RELATING TO ANY BREACH OF THIS AGREEMENT, REGARDLESS OF ANY NOTICE OF THE POSSIBILITY OF SUCH DAMAGES; AND (B) NEITHER PARTY’S TOTAL AGGREGATE LIABILITY UNDER THIS AGREEMENT SHALL EXCEED [***].</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4"/>
          <w:szCs w:val="14"/>
          <w:b w:val="1"/>
          <w:bCs w:val="1"/>
          <w:color w:val="auto"/>
        </w:rPr>
        <w:t>ERM AND</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4"/>
          <w:szCs w:val="14"/>
          <w:b w:val="1"/>
          <w:bCs w:val="1"/>
          <w:color w:val="auto"/>
        </w:rPr>
        <w: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The term of this Agreement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xml:space="preserve">”) shall commence on the Effective Date and, unless terminated earlier as set forth in this </w:t>
      </w:r>
      <w:r>
        <w:rPr>
          <w:rFonts w:ascii="Times New Roman" w:cs="Times New Roman" w:eastAsia="Times New Roman" w:hAnsi="Times New Roman"/>
          <w:sz w:val="17"/>
          <w:szCs w:val="17"/>
          <w:u w:val="single" w:color="auto"/>
          <w:color w:val="auto"/>
        </w:rPr>
        <w:t>Article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10 (Term and Termination)</w:t>
      </w:r>
      <w:r>
        <w:rPr>
          <w:rFonts w:ascii="Times New Roman" w:cs="Times New Roman" w:eastAsia="Times New Roman" w:hAnsi="Times New Roman"/>
          <w:sz w:val="17"/>
          <w:szCs w:val="17"/>
          <w:color w:val="auto"/>
        </w:rPr>
        <w:t>, shall remain in effect for as long as the JVA is in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b w:val="1"/>
          <w:bCs w:val="1"/>
          <w:color w:val="auto"/>
        </w:rPr>
        <w:t>Termination</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80" w:firstLine="426"/>
        <w:spacing w:after="0" w:line="264" w:lineRule="auto"/>
        <w:rPr>
          <w:sz w:val="20"/>
          <w:szCs w:val="20"/>
          <w:color w:val="auto"/>
        </w:rPr>
      </w:pPr>
      <w:r>
        <w:rPr>
          <w:rFonts w:ascii="Times New Roman" w:cs="Times New Roman" w:eastAsia="Times New Roman" w:hAnsi="Times New Roman"/>
          <w:sz w:val="17"/>
          <w:szCs w:val="17"/>
          <w:color w:val="auto"/>
        </w:rPr>
        <w:t xml:space="preserve">10.2.1  </w:t>
      </w:r>
      <w:r>
        <w:rPr>
          <w:rFonts w:ascii="Times New Roman" w:cs="Times New Roman" w:eastAsia="Times New Roman" w:hAnsi="Times New Roman"/>
          <w:sz w:val="17"/>
          <w:szCs w:val="17"/>
          <w:b w:val="1"/>
          <w:bCs w:val="1"/>
          <w:color w:val="auto"/>
        </w:rPr>
        <w:t>Termination for Material Breach</w:t>
      </w:r>
      <w:r>
        <w:rPr>
          <w:rFonts w:ascii="Times New Roman" w:cs="Times New Roman" w:eastAsia="Times New Roman" w:hAnsi="Times New Roman"/>
          <w:sz w:val="17"/>
          <w:szCs w:val="17"/>
          <w:color w:val="auto"/>
        </w:rPr>
        <w:t>. Each Party (the “</w:t>
      </w:r>
      <w:r>
        <w:rPr>
          <w:rFonts w:ascii="Times New Roman" w:cs="Times New Roman" w:eastAsia="Times New Roman" w:hAnsi="Times New Roman"/>
          <w:sz w:val="17"/>
          <w:szCs w:val="17"/>
          <w:b w:val="1"/>
          <w:bCs w:val="1"/>
          <w:color w:val="auto"/>
        </w:rPr>
        <w:t>Non-Breaching Party</w:t>
      </w:r>
      <w:r>
        <w:rPr>
          <w:rFonts w:ascii="Times New Roman" w:cs="Times New Roman" w:eastAsia="Times New Roman" w:hAnsi="Times New Roman"/>
          <w:sz w:val="17"/>
          <w:szCs w:val="17"/>
          <w:color w:val="auto"/>
        </w:rPr>
        <w:t>”) shall have the right to terminate this Agreement upon written notice to the other Party (the “</w:t>
      </w:r>
      <w:r>
        <w:rPr>
          <w:rFonts w:ascii="Times New Roman" w:cs="Times New Roman" w:eastAsia="Times New Roman" w:hAnsi="Times New Roman"/>
          <w:sz w:val="17"/>
          <w:szCs w:val="17"/>
          <w:b w:val="1"/>
          <w:bCs w:val="1"/>
          <w:color w:val="auto"/>
        </w:rPr>
        <w:t>Breaching Party</w:t>
      </w:r>
      <w:r>
        <w:rPr>
          <w:rFonts w:ascii="Times New Roman" w:cs="Times New Roman" w:eastAsia="Times New Roman" w:hAnsi="Times New Roman"/>
          <w:sz w:val="17"/>
          <w:szCs w:val="17"/>
          <w:color w:val="auto"/>
        </w:rPr>
        <w:t xml:space="preserve">”) if such Breaching Party has materially breached a term of </w:t>
      </w:r>
      <w:r>
        <w:rPr>
          <w:rFonts w:ascii="Times New Roman" w:cs="Times New Roman" w:eastAsia="Times New Roman" w:hAnsi="Times New Roman"/>
          <w:sz w:val="17"/>
          <w:szCs w:val="17"/>
          <w:u w:val="single" w:color="auto"/>
          <w:color w:val="auto"/>
        </w:rPr>
        <w:t>Section 2.2 (Sublicenses)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 (KK Covenants)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 (Upfront 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5 (Branding and Marketing)</w:t>
      </w:r>
      <w:r>
        <w:rPr>
          <w:rFonts w:ascii="Times New Roman" w:cs="Times New Roman" w:eastAsia="Times New Roman" w:hAnsi="Times New Roman"/>
          <w:sz w:val="17"/>
          <w:szCs w:val="17"/>
          <w:color w:val="auto"/>
        </w:rPr>
        <w:t xml:space="preserve"> but excluding </w:t>
      </w:r>
      <w:r>
        <w:rPr>
          <w:rFonts w:ascii="Times New Roman" w:cs="Times New Roman" w:eastAsia="Times New Roman" w:hAnsi="Times New Roman"/>
          <w:sz w:val="17"/>
          <w:szCs w:val="17"/>
          <w:u w:val="single" w:color="auto"/>
          <w:color w:val="auto"/>
        </w:rPr>
        <w:t>Section 5.1 (Branding)</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5.8 (Notification)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6 (Confidentiality)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8 (Representations and Warranties; and Covenants)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9 (Indemnification)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12.5 (Assignment)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12.6 (Anti-Corruption Law and Compliance)</w:t>
      </w:r>
      <w:r>
        <w:rPr>
          <w:rFonts w:ascii="Times New Roman" w:cs="Times New Roman" w:eastAsia="Times New Roman" w:hAnsi="Times New Roman"/>
          <w:sz w:val="17"/>
          <w:szCs w:val="17"/>
          <w:color w:val="auto"/>
        </w:rPr>
        <w:t xml:space="preserve"> and, after receiving written notice from the Non-Breaching Party identifying such material breach, fails to cure such material breach within [***] from the date of such notice unless the Parties mutually agree in writing to an extension of such cure period.</w:t>
      </w:r>
    </w:p>
    <w:p>
      <w:pPr>
        <w:spacing w:after="0" w:line="383" w:lineRule="exact"/>
        <w:rPr>
          <w:sz w:val="20"/>
          <w:szCs w:val="20"/>
          <w:color w:val="auto"/>
        </w:rPr>
      </w:pPr>
    </w:p>
    <w:p>
      <w:pPr>
        <w:ind w:right="20" w:firstLine="426"/>
        <w:spacing w:after="0" w:line="270" w:lineRule="auto"/>
        <w:rPr>
          <w:sz w:val="20"/>
          <w:szCs w:val="20"/>
          <w:color w:val="auto"/>
        </w:rPr>
      </w:pPr>
      <w:r>
        <w:rPr>
          <w:rFonts w:ascii="Times New Roman" w:cs="Times New Roman" w:eastAsia="Times New Roman" w:hAnsi="Times New Roman"/>
          <w:sz w:val="17"/>
          <w:szCs w:val="17"/>
          <w:color w:val="auto"/>
        </w:rPr>
        <w:t xml:space="preserve">10.2.2  </w:t>
      </w:r>
      <w:r>
        <w:rPr>
          <w:rFonts w:ascii="Times New Roman" w:cs="Times New Roman" w:eastAsia="Times New Roman" w:hAnsi="Times New Roman"/>
          <w:sz w:val="17"/>
          <w:szCs w:val="17"/>
          <w:b w:val="1"/>
          <w:bCs w:val="1"/>
          <w:color w:val="auto"/>
        </w:rPr>
        <w:t>Termination for Insolvency</w:t>
      </w:r>
      <w:r>
        <w:rPr>
          <w:rFonts w:ascii="Times New Roman" w:cs="Times New Roman" w:eastAsia="Times New Roman" w:hAnsi="Times New Roman"/>
          <w:sz w:val="17"/>
          <w:szCs w:val="17"/>
          <w:color w:val="auto"/>
        </w:rPr>
        <w:t>. Each Party shall have the right to terminate this Agreement upon written notice to the other Party if the other Party makes a general assignment for the benefit of creditors, appoints or suffers appointment of a receiver or trustee over all or substantially all of its property, files a petition under any bankruptcy or insolvency act or has any such petition filed against it which is not dismissed, discharged, bonded or stayed within [***] days after the filing thereof.</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660"/>
          </w:cols>
          <w:pgMar w:left="620" w:top="265" w:right="61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10.3   </w:t>
      </w:r>
      <w:r>
        <w:rPr>
          <w:rFonts w:ascii="Times New Roman" w:cs="Times New Roman" w:eastAsia="Times New Roman" w:hAnsi="Times New Roman"/>
          <w:sz w:val="17"/>
          <w:szCs w:val="17"/>
          <w:b w:val="1"/>
          <w:bCs w:val="1"/>
          <w:color w:val="auto"/>
        </w:rPr>
        <w:t>Effects of Termination</w:t>
      </w:r>
      <w:r>
        <w:rPr>
          <w:rFonts w:ascii="Times New Roman" w:cs="Times New Roman" w:eastAsia="Times New Roman" w:hAnsi="Times New Roman"/>
          <w:sz w:val="17"/>
          <w:szCs w:val="17"/>
          <w:color w:val="auto"/>
        </w:rPr>
        <w:t>. In the event of expiration or termination of this Agreement by either Party for any reason: (a) the licenses granted by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Tempus to KK hereunder shall terminate as of the effective date of expiration or termination, and KK shall immediately cease all use of the Tempus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Technology and Tempus Corporate Marks; provided that, unless this Agreement is terminated due to (i) insolvency of KK in accordance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10.2.2 (Termination for Insolvency)</w:t>
      </w:r>
      <w:r>
        <w:rPr>
          <w:rFonts w:ascii="Times New Roman" w:cs="Times New Roman" w:eastAsia="Times New Roman" w:hAnsi="Times New Roman"/>
          <w:sz w:val="17"/>
          <w:szCs w:val="17"/>
          <w:color w:val="auto"/>
        </w:rPr>
        <w:t xml:space="preserve"> or (ii) KK’s material breach in accordance with </w:t>
      </w:r>
      <w:r>
        <w:rPr>
          <w:rFonts w:ascii="Times New Roman" w:cs="Times New Roman" w:eastAsia="Times New Roman" w:hAnsi="Times New Roman"/>
          <w:sz w:val="17"/>
          <w:szCs w:val="17"/>
          <w:u w:val="single" w:color="auto"/>
          <w:color w:val="auto"/>
        </w:rPr>
        <w:t>Section 10.2.1 (Termination for Material Breach)</w:t>
      </w:r>
      <w:r>
        <w:rPr>
          <w:rFonts w:ascii="Times New Roman" w:cs="Times New Roman" w:eastAsia="Times New Roman" w:hAnsi="Times New Roman"/>
          <w:sz w:val="17"/>
          <w:szCs w:val="17"/>
          <w:color w:val="auto"/>
        </w:rPr>
        <w:t>, KK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Affiliates and Sublicensees may continue to use any Tempus Technology provided to KK as of the date of termination, and the license granted to KK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u w:val="single" w:color="auto"/>
          <w:color w:val="auto"/>
        </w:rPr>
        <w:t>Section 2.1 (License Grant to KK)</w:t>
      </w:r>
      <w:r>
        <w:rPr>
          <w:rFonts w:ascii="Times New Roman" w:cs="Times New Roman" w:eastAsia="Times New Roman" w:hAnsi="Times New Roman"/>
          <w:sz w:val="17"/>
          <w:szCs w:val="17"/>
          <w:color w:val="auto"/>
        </w:rPr>
        <w:t xml:space="preserve"> (together with the terms of </w:t>
      </w:r>
      <w:r>
        <w:rPr>
          <w:rFonts w:ascii="Times New Roman" w:cs="Times New Roman" w:eastAsia="Times New Roman" w:hAnsi="Times New Roman"/>
          <w:sz w:val="17"/>
          <w:szCs w:val="17"/>
          <w:u w:val="single" w:color="auto"/>
          <w:color w:val="auto"/>
        </w:rPr>
        <w:t>Section 2.2 (Sublicenses)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2.3 (KK Covenants)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2.4 (Reservation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Rights)</w:t>
      </w:r>
      <w:r>
        <w:rPr>
          <w:rFonts w:ascii="Times New Roman" w:cs="Times New Roman" w:eastAsia="Times New Roman" w:hAnsi="Times New Roman"/>
          <w:sz w:val="17"/>
          <w:szCs w:val="17"/>
          <w:color w:val="auto"/>
        </w:rPr>
        <w:t xml:space="preserve">) shall continue in effect solely with respect to such Tempus Technology, provided further that, </w:t>
      </w:r>
      <w:r>
        <w:rPr>
          <w:rFonts w:ascii="Times New Roman" w:cs="Times New Roman" w:eastAsia="Times New Roman" w:hAnsi="Times New Roman"/>
          <w:sz w:val="17"/>
          <w:szCs w:val="17"/>
          <w:u w:val="single" w:color="auto"/>
          <w:color w:val="auto"/>
        </w:rPr>
        <w:t>Section 10.2 (Termination)</w:t>
      </w:r>
      <w:r>
        <w:rPr>
          <w:rFonts w:ascii="Times New Roman" w:cs="Times New Roman" w:eastAsia="Times New Roman" w:hAnsi="Times New Roman"/>
          <w:sz w:val="17"/>
          <w:szCs w:val="17"/>
          <w:color w:val="auto"/>
        </w:rPr>
        <w:t xml:space="preserve"> shall apply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respect to such license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(b) at the Disclosing Party’s election, the Receiving Party shall return (at Disclosing Party’s expense)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destroy all tangible materials comprising, bearing, or containing any Confidential Information of the Disclosing Party that are in the Receiving Party’s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Affiliates’ or Sublicensees’ possession or control and provide written certification of such destruction (except to the extent any information is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Confidential Information of both Parties or to the extent that the Receiving Party has the continuing right to use the Confidential Information under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provided that, (i) the Receiving Party may retain one copy of such Confidential Information for its legal archives (subject to the obligations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confidentiality under </w:t>
      </w:r>
      <w:r>
        <w:rPr>
          <w:rFonts w:ascii="Times New Roman" w:cs="Times New Roman" w:eastAsia="Times New Roman" w:hAnsi="Times New Roman"/>
          <w:sz w:val="17"/>
          <w:szCs w:val="17"/>
          <w:u w:val="single" w:color="auto"/>
          <w:color w:val="auto"/>
        </w:rPr>
        <w:t>Article 6 (Confidentiality)</w:t>
      </w:r>
      <w:r>
        <w:rPr>
          <w:rFonts w:ascii="Times New Roman" w:cs="Times New Roman" w:eastAsia="Times New Roman" w:hAnsi="Times New Roman"/>
          <w:sz w:val="17"/>
          <w:szCs w:val="17"/>
          <w:color w:val="auto"/>
        </w:rPr>
        <w:t>) and (ii) KK may continue to use Tempus Confidential Information solely to the extent necessary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exercise its rights to the Tempus Technology as provided in (a); and (c) unless the license under the Tempus Corporate Marks set forth in </w:t>
      </w:r>
      <w:r>
        <w:rPr>
          <w:rFonts w:ascii="Times New Roman" w:cs="Times New Roman" w:eastAsia="Times New Roman" w:hAnsi="Times New Roman"/>
          <w:sz w:val="17"/>
          <w:szCs w:val="17"/>
          <w:u w:val="single" w:color="auto"/>
          <w:color w:val="auto"/>
        </w:rPr>
        <w:t>Section 5.2(b)</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(License to Tempus Corporate Marks)</w:t>
      </w:r>
      <w:r>
        <w:rPr>
          <w:rFonts w:ascii="Times New Roman" w:cs="Times New Roman" w:eastAsia="Times New Roman" w:hAnsi="Times New Roman"/>
          <w:sz w:val="17"/>
          <w:szCs w:val="17"/>
          <w:color w:val="auto"/>
        </w:rPr>
        <w:t xml:space="preserve"> has already terminated as a result of Tempus no longer being a shareholder in KK, KK and its Affiliates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subsidiaries may continue to use the Tempus Corporate Marks for a period of [***], solely in accordance with and subject to the terms of </w:t>
      </w:r>
      <w:r>
        <w:rPr>
          <w:rFonts w:ascii="Times New Roman" w:cs="Times New Roman" w:eastAsia="Times New Roman" w:hAnsi="Times New Roman"/>
          <w:sz w:val="17"/>
          <w:szCs w:val="17"/>
          <w:u w:val="single" w:color="auto"/>
          <w:color w:val="auto"/>
        </w:rPr>
        <w:t>Article 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(Branding and Marketing)</w:t>
      </w:r>
      <w:r>
        <w:rPr>
          <w:rFonts w:ascii="Times New Roman" w:cs="Times New Roman" w:eastAsia="Times New Roman" w:hAnsi="Times New Roman"/>
          <w:sz w:val="17"/>
          <w:szCs w:val="17"/>
          <w:color w:val="auto"/>
        </w:rPr>
        <w:t>, which shall continue in effect solely with respect to such use of the Tempus Corporate Marks during such [***], provided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that, </w:t>
      </w:r>
      <w:r>
        <w:rPr>
          <w:rFonts w:ascii="Times New Roman" w:cs="Times New Roman" w:eastAsia="Times New Roman" w:hAnsi="Times New Roman"/>
          <w:sz w:val="17"/>
          <w:szCs w:val="17"/>
          <w:u w:val="single" w:color="auto"/>
          <w:color w:val="auto"/>
        </w:rPr>
        <w:t>Section 10.2 (Termination)</w:t>
      </w:r>
      <w:r>
        <w:rPr>
          <w:rFonts w:ascii="Times New Roman" w:cs="Times New Roman" w:eastAsia="Times New Roman" w:hAnsi="Times New Roman"/>
          <w:sz w:val="17"/>
          <w:szCs w:val="17"/>
          <w:color w:val="auto"/>
        </w:rPr>
        <w:t xml:space="preserve"> shall apply with respect to such license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Notwithstanding any provision to the contrary set forth in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the Receiving Party shall not be required to destroy electronic files containing such Confidential Information that are made in the ordinary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course of its business information back-up procedures pursuant to its electronic record retention and destruction practices that apply to its own general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files and information.</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b w:val="1"/>
          <w:bCs w:val="1"/>
          <w:color w:val="auto"/>
        </w:rPr>
        <w:t>Survival</w:t>
      </w:r>
      <w:r>
        <w:rPr>
          <w:rFonts w:ascii="Times New Roman" w:cs="Times New Roman" w:eastAsia="Times New Roman" w:hAnsi="Times New Roman"/>
          <w:sz w:val="17"/>
          <w:szCs w:val="17"/>
          <w:color w:val="auto"/>
        </w:rPr>
        <w:t xml:space="preserve">. Expiration or termination of this Agreement shall not relieve the Parties of any representation, warranty, or obligation accruing prior to such expiration or termination. Without limiting the foregoing, the following provisions shall survive the termination or expiration of this Agreement for any reason: </w:t>
      </w:r>
      <w:r>
        <w:rPr>
          <w:rFonts w:ascii="Times New Roman" w:cs="Times New Roman" w:eastAsia="Times New Roman" w:hAnsi="Times New Roman"/>
          <w:sz w:val="17"/>
          <w:szCs w:val="17"/>
          <w:u w:val="single" w:color="auto"/>
          <w:color w:val="auto"/>
        </w:rPr>
        <w:t>Article 1 (Definitions)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3 (Financial Terms)</w:t>
      </w:r>
      <w:r>
        <w:rPr>
          <w:rFonts w:ascii="Times New Roman" w:cs="Times New Roman" w:eastAsia="Times New Roman" w:hAnsi="Times New Roman"/>
          <w:sz w:val="17"/>
          <w:szCs w:val="17"/>
          <w:color w:val="auto"/>
        </w:rPr>
        <w:t xml:space="preserve"> (solely with respect to payment obligations accrued prior to the termination or expiration of this Agreement), </w:t>
      </w:r>
      <w:r>
        <w:rPr>
          <w:rFonts w:ascii="Times New Roman" w:cs="Times New Roman" w:eastAsia="Times New Roman" w:hAnsi="Times New Roman"/>
          <w:sz w:val="17"/>
          <w:szCs w:val="17"/>
          <w:u w:val="single" w:color="auto"/>
          <w:color w:val="auto"/>
        </w:rPr>
        <w:t>Article 6 (Confidentiality)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9 (Indemnification)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11 (Dispute Resolution)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12 (Miscellaneous)</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Section 12.6 (Anti-Corruption Law Compliance)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 (License Grant to KK)</w:t>
      </w:r>
      <w:r>
        <w:rPr>
          <w:rFonts w:ascii="Times New Roman" w:cs="Times New Roman" w:eastAsia="Times New Roman" w:hAnsi="Times New Roman"/>
          <w:sz w:val="17"/>
          <w:szCs w:val="17"/>
          <w:color w:val="auto"/>
        </w:rPr>
        <w:t xml:space="preserve"> solely to the extent set forth in </w:t>
      </w:r>
      <w:r>
        <w:rPr>
          <w:rFonts w:ascii="Times New Roman" w:cs="Times New Roman" w:eastAsia="Times New Roman" w:hAnsi="Times New Roman"/>
          <w:sz w:val="17"/>
          <w:szCs w:val="17"/>
          <w:u w:val="single" w:color="auto"/>
          <w:color w:val="auto"/>
        </w:rPr>
        <w:t>Section 10.3(a) (Effects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(unless this Agreement is terminated by Tempus pursuant to </w:t>
      </w:r>
      <w:r>
        <w:rPr>
          <w:rFonts w:ascii="Times New Roman" w:cs="Times New Roman" w:eastAsia="Times New Roman" w:hAnsi="Times New Roman"/>
          <w:sz w:val="17"/>
          <w:szCs w:val="17"/>
          <w:u w:val="single" w:color="auto"/>
          <w:color w:val="auto"/>
        </w:rPr>
        <w:t>Section 10.2 (Termination)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2.2 (Sublicenses)</w:t>
      </w:r>
      <w:r>
        <w:rPr>
          <w:rFonts w:ascii="Times New Roman" w:cs="Times New Roman" w:eastAsia="Times New Roman" w:hAnsi="Times New Roman"/>
          <w:sz w:val="17"/>
          <w:szCs w:val="17"/>
          <w:color w:val="auto"/>
        </w:rPr>
        <w:t xml:space="preserve"> (only if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(License Grant to KK)</w:t>
      </w:r>
      <w:r>
        <w:rPr>
          <w:rFonts w:ascii="Times New Roman" w:cs="Times New Roman" w:eastAsia="Times New Roman" w:hAnsi="Times New Roman"/>
          <w:sz w:val="17"/>
          <w:szCs w:val="17"/>
          <w:color w:val="auto"/>
        </w:rPr>
        <w:t xml:space="preserve"> survives), </w:t>
      </w:r>
      <w:r>
        <w:rPr>
          <w:rFonts w:ascii="Times New Roman" w:cs="Times New Roman" w:eastAsia="Times New Roman" w:hAnsi="Times New Roman"/>
          <w:sz w:val="17"/>
          <w:szCs w:val="17"/>
          <w:u w:val="single" w:color="auto"/>
          <w:color w:val="auto"/>
        </w:rPr>
        <w:t>Section 2.3 (KK Covenants)</w:t>
      </w:r>
      <w:r>
        <w:rPr>
          <w:rFonts w:ascii="Times New Roman" w:cs="Times New Roman" w:eastAsia="Times New Roman" w:hAnsi="Times New Roman"/>
          <w:sz w:val="17"/>
          <w:szCs w:val="17"/>
          <w:color w:val="auto"/>
        </w:rPr>
        <w:t xml:space="preserve"> (only if </w:t>
      </w:r>
      <w:r>
        <w:rPr>
          <w:rFonts w:ascii="Times New Roman" w:cs="Times New Roman" w:eastAsia="Times New Roman" w:hAnsi="Times New Roman"/>
          <w:sz w:val="17"/>
          <w:szCs w:val="17"/>
          <w:u w:val="single" w:color="auto"/>
          <w:color w:val="auto"/>
        </w:rPr>
        <w:t>Section 2.1 (License Grant to KK)</w:t>
      </w:r>
      <w:r>
        <w:rPr>
          <w:rFonts w:ascii="Times New Roman" w:cs="Times New Roman" w:eastAsia="Times New Roman" w:hAnsi="Times New Roman"/>
          <w:sz w:val="17"/>
          <w:szCs w:val="17"/>
          <w:color w:val="auto"/>
        </w:rPr>
        <w:t xml:space="preserve"> survives), </w:t>
      </w:r>
      <w:r>
        <w:rPr>
          <w:rFonts w:ascii="Times New Roman" w:cs="Times New Roman" w:eastAsia="Times New Roman" w:hAnsi="Times New Roman"/>
          <w:sz w:val="17"/>
          <w:szCs w:val="17"/>
          <w:u w:val="single" w:color="auto"/>
          <w:color w:val="auto"/>
        </w:rPr>
        <w:t>Section 2.4 (Reservation of Rights)</w:t>
      </w:r>
      <w:r>
        <w:rPr>
          <w:rFonts w:ascii="Times New Roman" w:cs="Times New Roman" w:eastAsia="Times New Roman" w:hAnsi="Times New Roman"/>
          <w:sz w:val="17"/>
          <w:szCs w:val="17"/>
          <w:color w:val="auto"/>
        </w:rPr>
        <w:t xml:space="preserve"> (only if </w:t>
      </w:r>
      <w:r>
        <w:rPr>
          <w:rFonts w:ascii="Times New Roman" w:cs="Times New Roman" w:eastAsia="Times New Roman" w:hAnsi="Times New Roman"/>
          <w:sz w:val="17"/>
          <w:szCs w:val="17"/>
          <w:u w:val="single" w:color="auto"/>
          <w:color w:val="auto"/>
        </w:rPr>
        <w:t>Section 2.1 (License Grant to KK)</w:t>
      </w:r>
      <w:r>
        <w:rPr>
          <w:rFonts w:ascii="Times New Roman" w:cs="Times New Roman" w:eastAsia="Times New Roman" w:hAnsi="Times New Roman"/>
          <w:sz w:val="17"/>
          <w:szCs w:val="17"/>
          <w:color w:val="auto"/>
        </w:rPr>
        <w:t xml:space="preserve"> survives), </w:t>
      </w:r>
      <w:r>
        <w:rPr>
          <w:rFonts w:ascii="Times New Roman" w:cs="Times New Roman" w:eastAsia="Times New Roman" w:hAnsi="Times New Roman"/>
          <w:sz w:val="17"/>
          <w:szCs w:val="17"/>
          <w:u w:val="single" w:color="auto"/>
          <w:color w:val="auto"/>
        </w:rPr>
        <w:t>Section 2.5 (License Grant to Tempus)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2.7 (Rights in Bankruptcy)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10.3 (Effects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of 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10.4 (Survival)</w:t>
      </w:r>
      <w:r>
        <w:rPr>
          <w:rFonts w:ascii="Times New Roman" w:cs="Times New Roman" w:eastAsia="Times New Roman" w:hAnsi="Times New Roman"/>
          <w:sz w:val="17"/>
          <w:szCs w:val="17"/>
          <w:color w:val="auto"/>
        </w:rPr>
        <w:t>, and any other provisions that by their nature survive termination or expiration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640"/>
          </w:cols>
          <w:pgMar w:left="620" w:top="262" w:right="639" w:bottom="1440" w:gutter="0" w:footer="0" w:header="0"/>
        </w:sectPr>
      </w:pPr>
    </w:p>
    <w:bookmarkStart w:id="555" w:name="page556"/>
    <w:bookmarkEnd w:id="555"/>
    <w:p>
      <w:pPr>
        <w:ind w:right="30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10.5  </w:t>
      </w:r>
      <w:r>
        <w:rPr>
          <w:rFonts w:ascii="Times New Roman" w:cs="Times New Roman" w:eastAsia="Times New Roman" w:hAnsi="Times New Roman"/>
          <w:sz w:val="17"/>
          <w:szCs w:val="17"/>
          <w:b w:val="1"/>
          <w:bCs w:val="1"/>
          <w:color w:val="auto"/>
        </w:rPr>
        <w:t>Termination Not Sole Remedy</w:t>
      </w:r>
      <w:r>
        <w:rPr>
          <w:rFonts w:ascii="Times New Roman" w:cs="Times New Roman" w:eastAsia="Times New Roman" w:hAnsi="Times New Roman"/>
          <w:sz w:val="17"/>
          <w:szCs w:val="17"/>
          <w:color w:val="auto"/>
        </w:rPr>
        <w:t>. Termination is not the sole remedy under this Agreement and, whether or not termination is effected and notwithstanding anything contained in this Agreement to the contrary, all other remedies shall remain available except as agreed to otherwise herein.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4"/>
          <w:szCs w:val="14"/>
          <w:b w:val="1"/>
          <w:bCs w:val="1"/>
          <w:color w:val="auto"/>
        </w:rPr>
        <w:t>ISPUTE</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4"/>
          <w:szCs w:val="14"/>
          <w:b w:val="1"/>
          <w:bCs w:val="1"/>
          <w:color w:val="auto"/>
        </w:rPr>
        <w:t>ESOLUTION</w:t>
      </w:r>
    </w:p>
    <w:p>
      <w:pPr>
        <w:spacing w:after="0" w:line="20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 xml:space="preserve">All disputes arising between the Parties arising from or related to this Agreement, including without limitation any alleged failure to perform, or breach, of this Agreement, or any issue relating to the interpretation or application of this Agreement, or any question regarding its existence, validity or termination, shall be addressed in accordance with the dispute resolution process set forth in the JVA, except that governing law shall be determined in accordance with </w:t>
      </w:r>
      <w:r>
        <w:rPr>
          <w:rFonts w:ascii="Times New Roman" w:cs="Times New Roman" w:eastAsia="Times New Roman" w:hAnsi="Times New Roman"/>
          <w:sz w:val="17"/>
          <w:szCs w:val="17"/>
          <w:u w:val="single" w:color="auto"/>
          <w:color w:val="auto"/>
        </w:rPr>
        <w:t>Section 12.1 (Governing Law)</w:t>
      </w:r>
      <w:r>
        <w:rPr>
          <w:rFonts w:ascii="Times New Roman" w:cs="Times New Roman" w:eastAsia="Times New Roman" w:hAnsi="Times New Roman"/>
          <w:sz w:val="17"/>
          <w:szCs w:val="17"/>
          <w:color w:val="auto"/>
        </w:rPr>
        <w:t xml:space="preserve"> and not any governing law provision of the JVA.</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12</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4"/>
          <w:szCs w:val="14"/>
          <w:b w:val="1"/>
          <w:bCs w:val="1"/>
          <w:color w:val="auto"/>
        </w:rPr>
        <w:t>ISCELLANEOUS</w:t>
      </w:r>
    </w:p>
    <w:p>
      <w:pPr>
        <w:spacing w:after="0" w:line="20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b w:val="1"/>
          <w:bCs w:val="1"/>
          <w:color w:val="auto"/>
        </w:rPr>
        <w:t>Governing Law</w:t>
      </w:r>
      <w:r>
        <w:rPr>
          <w:rFonts w:ascii="Times New Roman" w:cs="Times New Roman" w:eastAsia="Times New Roman" w:hAnsi="Times New Roman"/>
          <w:sz w:val="17"/>
          <w:szCs w:val="17"/>
          <w:color w:val="auto"/>
        </w:rPr>
        <w:t>. This Agreement shall be governed by and interpreted in accordance with the laws of the state of Delaware, USA, except matters concerning Patents in the KK Territory, which shall be governed by the laws of Japan, in either case, without reference to conflicts of laws provisions, rules or principles thereof (or any other jurisdiction) to the extent that such provisions, rules or principles would direct a matter to another jurisdiction. The United Nations Convention on Contracts for the International Sale of Goods shall not apply to the transactions contemplated by this Agreement</w:t>
      </w:r>
      <w:r>
        <w:rPr>
          <w:rFonts w:ascii="Times New Roman" w:cs="Times New Roman" w:eastAsia="Times New Roman" w:hAnsi="Times New Roman"/>
          <w:sz w:val="17"/>
          <w:szCs w:val="17"/>
          <w:b w:val="1"/>
          <w:bCs w:val="1"/>
          <w:color w:val="auto"/>
        </w:rPr>
        <w:t>.</w:t>
      </w:r>
    </w:p>
    <w:p>
      <w:pPr>
        <w:spacing w:after="0" w:line="16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b w:val="1"/>
          <w:bCs w:val="1"/>
          <w:color w:val="auto"/>
        </w:rPr>
        <w:t>Performance Through Affiliates</w:t>
      </w:r>
      <w:r>
        <w:rPr>
          <w:rFonts w:ascii="Times New Roman" w:cs="Times New Roman" w:eastAsia="Times New Roman" w:hAnsi="Times New Roman"/>
          <w:sz w:val="17"/>
          <w:szCs w:val="17"/>
          <w:color w:val="auto"/>
        </w:rPr>
        <w:t>. Each Party may discharge any obligation and exercise any right hereunder through any of its Affiliates (without an assignment of this Agreement). Each Party shall remain directly liable to the other Party with respect to the performance, acts and omissions of any of its Affiliates.</w:t>
      </w:r>
    </w:p>
    <w:p>
      <w:pPr>
        <w:spacing w:after="0" w:line="16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b w:val="1"/>
          <w:bCs w:val="1"/>
          <w:color w:val="auto"/>
        </w:rPr>
        <w:t>Force Majeure</w:t>
      </w:r>
      <w:r>
        <w:rPr>
          <w:rFonts w:ascii="Times New Roman" w:cs="Times New Roman" w:eastAsia="Times New Roman" w:hAnsi="Times New Roman"/>
          <w:sz w:val="17"/>
          <w:szCs w:val="17"/>
          <w:color w:val="auto"/>
        </w:rPr>
        <w:t>. Neither Party shall be held liable to the other Party nor be deemed to have defaulted under or breached this Agreement for failure or delay in performing any obligation under this Agreement to the extent such failure or delay is caused by or results from causes beyond the reasonable control of the affected Party, potentially including embargoes, war, acts of war (whether war be declared or not), acts of terrorism, insurrections, riots, civil commotions, strikes, lockouts, quarantine, or other labor disturbances, fire, floods, earthquakes, pandemic, or other acts of God, or acts, generally applicable action or inaction by any Governmental Authority (but excluding any government action or inaction that is specific to such Party, its Affiliates or Sublicensees, such as revocation or non-renewal of such Party’s license to conduct business). The affected Party shall notify the other Party in writing of such force majeure circumstances as soon as reasonably practical, and shall promptly undertake and continue diligently all Commercially Reasonable Efforts necessary to cure such force majeure circumstances or to perform its obligations in spite of the ongoing circumstances.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60"/>
          </w:cols>
          <w:pgMar w:left="620" w:top="263" w:right="619" w:bottom="1440" w:gutter="0" w:footer="0" w:header="0"/>
        </w:sectPr>
      </w:pPr>
    </w:p>
    <w:bookmarkStart w:id="556" w:name="page557"/>
    <w:bookmarkEnd w:id="556"/>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12.4  </w:t>
      </w: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Except as otherwise expressly provided in this Agreement, any notice required under this Agreement shall be in writing and shall specifically refer to this Agreement. Notices shall be sent via one of the following means and will be effective (a) on the date of delivery, if delivered in person, (b) on the date of receipt, if sent by private express courier or by first class certified mail, return receipt requested or (c) on the date when the confirmation of receipt of the other Party is sent by email, if sent by email to the correct email address. Notices shall be sent to the other Party at the addresses set forth below. Either Party may change its addresses for notice by sending written notice to the other Party.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If to KK:</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Pegasos Corp.</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Tokyo Port City Takeshiba Office Tower</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1-7-1 Kaigan, Minato-ku</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Tokyo, Japan 105-7537</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Attention: Kotaro Ueno</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E-mail: [***]</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With a copy (which copy will not constitute notice) to:</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Morrison &amp; Foerster LLP</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Shin-Marunouchi Building, 29th Floor</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5-1, Marunouchi 1-Chome, Chiyoda-ku</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Tokyo, Japan 100-6529</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Attn: Kenneth A. Siegel</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ksiegel@mofo.com</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and</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Morrison &amp; Foerster LLP</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425 Market Street</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San Francisco, CA 94105-2482</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Attn: Erik G. Knudsen</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eknudsen@mofo.com</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If to Tempus: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600 West Chicago Avenue, Suite 510</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Chicago, Illinois 60654</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Email: [***]</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12.5   </w:t>
      </w:r>
      <w:r>
        <w:rPr>
          <w:rFonts w:ascii="Times New Roman" w:cs="Times New Roman" w:eastAsia="Times New Roman" w:hAnsi="Times New Roman"/>
          <w:sz w:val="17"/>
          <w:szCs w:val="17"/>
          <w:b w:val="1"/>
          <w:bCs w:val="1"/>
          <w:color w:val="auto"/>
        </w:rPr>
        <w:t>Assignment</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right="80" w:firstLine="426"/>
        <w:spacing w:after="0" w:line="276" w:lineRule="auto"/>
        <w:rPr>
          <w:sz w:val="20"/>
          <w:szCs w:val="20"/>
          <w:color w:val="auto"/>
        </w:rPr>
      </w:pPr>
      <w:r>
        <w:rPr>
          <w:rFonts w:ascii="Times New Roman" w:cs="Times New Roman" w:eastAsia="Times New Roman" w:hAnsi="Times New Roman"/>
          <w:sz w:val="17"/>
          <w:szCs w:val="17"/>
          <w:color w:val="auto"/>
        </w:rPr>
        <w:t>12.5.1  Neither this Agreement nor any obligation of a Party hereunder may be assigned by either Party without the prior written consent of the other Party; provided, however, that either Party may, without the other Party’s written consent, assign this Agreement and its rights and obligations hereunder in its entirety to (a) any of its Affiliates, or (b) any purchaser of all, or</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560"/>
          </w:cols>
          <w:pgMar w:left="620" w:top="262" w:right="719" w:bottom="1440" w:gutter="0" w:footer="0" w:header="0"/>
        </w:sectPr>
      </w:pPr>
    </w:p>
    <w:bookmarkStart w:id="557" w:name="page558"/>
    <w:bookmarkEnd w:id="557"/>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8">
                      <a:extLst>
                        <a:ext uri="{28A0092B-C50C-407E-A947-70E740481C1C}"/>
                      </a:extLst>
                    </a:blip>
                    <a:srcRect/>
                    <a:stretch>
                      <a:fillRect/>
                    </a:stretch>
                  </pic:blipFill>
                  <pic:spPr bwMode="auto">
                    <a:xfrm>
                      <a:off x="0" y="0"/>
                      <a:ext cx="7178675" cy="36830"/>
                    </a:xfrm>
                    <a:prstGeom prst="rect">
                      <a:avLst/>
                    </a:prstGeom>
                    <a:noFill/>
                  </pic:spPr>
                </pic:pic>
              </a:graphicData>
            </a:graphic>
          </wp:anchor>
        </w:drawing>
        <w:t xml:space="preserve">substantially all, of its assets to which this Agreement relates, or (c) any successor corporation resulting from any merger, consolidation, share exchange, or other similar transaction, provided that in each case of (a), (b), and (c), the assignee shall agree in writing to assume all obligations of its assignor under this Agreement. This Agreement will inure to the benefit of KK and Tempus and their respective successors and permitted assigns. Any assignment of this Agreement that is not made in accordance with this </w:t>
      </w:r>
      <w:r>
        <w:rPr>
          <w:rFonts w:ascii="Times New Roman" w:cs="Times New Roman" w:eastAsia="Times New Roman" w:hAnsi="Times New Roman"/>
          <w:sz w:val="17"/>
          <w:szCs w:val="17"/>
          <w:u w:val="single" w:color="auto"/>
          <w:color w:val="auto"/>
        </w:rPr>
        <w:t>Section 12.5 (Assignment)</w:t>
      </w:r>
      <w:r>
        <w:rPr>
          <w:rFonts w:ascii="Times New Roman" w:cs="Times New Roman" w:eastAsia="Times New Roman" w:hAnsi="Times New Roman"/>
          <w:sz w:val="17"/>
          <w:szCs w:val="17"/>
          <w:color w:val="auto"/>
        </w:rPr>
        <w:t xml:space="preserve"> shall be null and void and of no legal force or effect.</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12.5.2   Notwithstanding anything herein to the contrary, in the event of (a) a transaction by a Party described in </w:t>
      </w:r>
      <w:r>
        <w:rPr>
          <w:rFonts w:ascii="Times New Roman" w:cs="Times New Roman" w:eastAsia="Times New Roman" w:hAnsi="Times New Roman"/>
          <w:sz w:val="17"/>
          <w:szCs w:val="17"/>
          <w:u w:val="single" w:color="auto"/>
          <w:color w:val="auto"/>
        </w:rPr>
        <w:t>Section 12.5.1(b)</w:t>
      </w:r>
      <w:r>
        <w:rPr>
          <w:rFonts w:ascii="Times New Roman" w:cs="Times New Roman" w:eastAsia="Times New Roman" w:hAnsi="Times New Roman"/>
          <w:sz w:val="17"/>
          <w:szCs w:val="17"/>
          <w:color w:val="auto"/>
        </w:rPr>
        <w:t xml:space="preserve"> or</w:t>
      </w:r>
    </w:p>
    <w:p>
      <w:pPr>
        <w:spacing w:after="0" w:line="3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12.5.1(c)</w:t>
      </w:r>
      <w:r>
        <w:rPr>
          <w:rFonts w:ascii="Times New Roman" w:cs="Times New Roman" w:eastAsia="Times New Roman" w:hAnsi="Times New Roman"/>
          <w:sz w:val="17"/>
          <w:szCs w:val="17"/>
          <w:color w:val="auto"/>
        </w:rPr>
        <w:t>, or (b) the acquisition by a Party or any of its Affiliates of all or substantially all of the business of a Third Party (such Third Party, an “</w:t>
      </w:r>
      <w:r>
        <w:rPr>
          <w:rFonts w:ascii="Times New Roman" w:cs="Times New Roman" w:eastAsia="Times New Roman" w:hAnsi="Times New Roman"/>
          <w:sz w:val="17"/>
          <w:szCs w:val="17"/>
          <w:b w:val="1"/>
          <w:bCs w:val="1"/>
          <w:color w:val="auto"/>
        </w:rPr>
        <w:t>Acquiree</w:t>
      </w:r>
      <w:r>
        <w:rPr>
          <w:rFonts w:ascii="Times New Roman" w:cs="Times New Roman" w:eastAsia="Times New Roman" w:hAnsi="Times New Roman"/>
          <w:sz w:val="17"/>
          <w:szCs w:val="17"/>
          <w:color w:val="auto"/>
        </w:rPr>
        <w:t xml:space="preserve">”), whether by merger, consolidation, divestiture, restructure, sale of stock, sale of assets or otherwise, the intellectual property of the acquiring entity or the Acquiree, as applicable, and their respective Affiliates, which exists immediately prior to the consummation of such transaction or is developed or acquired thereafter without use of the other Party’s Confidential Information, Know-How or Patents (other than, in the event of (a) a transaction by a Party described in </w:t>
      </w:r>
      <w:r>
        <w:rPr>
          <w:rFonts w:ascii="Times New Roman" w:cs="Times New Roman" w:eastAsia="Times New Roman" w:hAnsi="Times New Roman"/>
          <w:sz w:val="17"/>
          <w:szCs w:val="17"/>
          <w:u w:val="single" w:color="auto"/>
          <w:color w:val="auto"/>
        </w:rPr>
        <w:t>Section 12.5.1(b)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12.5.1(c)</w:t>
      </w:r>
      <w:r>
        <w:rPr>
          <w:rFonts w:ascii="Times New Roman" w:cs="Times New Roman" w:eastAsia="Times New Roman" w:hAnsi="Times New Roman"/>
          <w:sz w:val="17"/>
          <w:szCs w:val="17"/>
          <w:color w:val="auto"/>
        </w:rPr>
        <w:t>, intellectual property developed after the consummation of such transaction that are solely related to the assets or business assigned to the acquiring entity), shall not be included in the intellectual property licensed hereunder or otherwise subject to this Agreement.</w:t>
      </w:r>
    </w:p>
    <w:p>
      <w:pPr>
        <w:spacing w:after="0" w:line="17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 xml:space="preserve">12.6  </w:t>
      </w:r>
      <w:r>
        <w:rPr>
          <w:rFonts w:ascii="Times New Roman" w:cs="Times New Roman" w:eastAsia="Times New Roman" w:hAnsi="Times New Roman"/>
          <w:sz w:val="17"/>
          <w:szCs w:val="17"/>
          <w:b w:val="1"/>
          <w:bCs w:val="1"/>
          <w:color w:val="auto"/>
        </w:rPr>
        <w:t>Anti-Corruption Law Compliance</w:t>
      </w:r>
      <w:r>
        <w:rPr>
          <w:rFonts w:ascii="Times New Roman" w:cs="Times New Roman" w:eastAsia="Times New Roman" w:hAnsi="Times New Roman"/>
          <w:sz w:val="17"/>
          <w:szCs w:val="17"/>
          <w:color w:val="auto"/>
        </w:rPr>
        <w:t>. Each Party acknowledges that it is aware of, and agrees to abide by, the obligations imposed by Applicable Laws relating to the payment or transfer of anything of value to governments, government officials, political parties or political party officials (or relatives or associates of such officials) (“</w:t>
      </w:r>
      <w:r>
        <w:rPr>
          <w:rFonts w:ascii="Times New Roman" w:cs="Times New Roman" w:eastAsia="Times New Roman" w:hAnsi="Times New Roman"/>
          <w:sz w:val="17"/>
          <w:szCs w:val="17"/>
          <w:b w:val="1"/>
          <w:bCs w:val="1"/>
          <w:color w:val="auto"/>
        </w:rPr>
        <w:t>Covered Person</w:t>
      </w:r>
      <w:r>
        <w:rPr>
          <w:rFonts w:ascii="Times New Roman" w:cs="Times New Roman" w:eastAsia="Times New Roman" w:hAnsi="Times New Roman"/>
          <w:sz w:val="17"/>
          <w:szCs w:val="17"/>
          <w:color w:val="auto"/>
        </w:rPr>
        <w:t>”) for the purpose of obtaining or retaining business for or with, or directing business to, any person. Such laws include the U.S. Foreign Corrupt Practices Act, UK Bribery Act of 2010, Japan Unfair Competition Prevention Act, OECD Anti-Bribery Convention, and other anti-corruption or anti-bribery laws now in effect or as may come into effect from time to time during the Term (collectively, “</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By signing this Agreement, each Party represents, warrants and covenants (as applicable) to the other Party that:</w:t>
      </w:r>
    </w:p>
    <w:p>
      <w:pPr>
        <w:spacing w:after="0" w:line="385" w:lineRule="exact"/>
        <w:rPr>
          <w:sz w:val="20"/>
          <w:szCs w:val="20"/>
          <w:color w:val="auto"/>
        </w:rPr>
      </w:pPr>
    </w:p>
    <w:p>
      <w:pPr>
        <w:ind w:right="220" w:firstLine="426"/>
        <w:spacing w:after="0" w:line="295" w:lineRule="auto"/>
        <w:rPr>
          <w:sz w:val="20"/>
          <w:szCs w:val="20"/>
          <w:color w:val="auto"/>
        </w:rPr>
      </w:pPr>
      <w:r>
        <w:rPr>
          <w:rFonts w:ascii="Times New Roman" w:cs="Times New Roman" w:eastAsia="Times New Roman" w:hAnsi="Times New Roman"/>
          <w:sz w:val="17"/>
          <w:szCs w:val="17"/>
          <w:color w:val="auto"/>
        </w:rPr>
        <w:t>12.6.1  it is familiar with the provisions and restrictions contained in the Anti-Corruption Laws as now in effect and will familiarize itself with any changes or additions thereto as may be enacted or promulgated following the date of this Agreement;</w:t>
      </w:r>
    </w:p>
    <w:p>
      <w:pPr>
        <w:spacing w:after="0" w:line="147" w:lineRule="exact"/>
        <w:rPr>
          <w:sz w:val="20"/>
          <w:szCs w:val="20"/>
          <w:color w:val="auto"/>
        </w:rPr>
      </w:pPr>
    </w:p>
    <w:p>
      <w:pPr>
        <w:ind w:right="560" w:firstLine="426"/>
        <w:spacing w:after="0" w:line="295" w:lineRule="auto"/>
        <w:rPr>
          <w:sz w:val="20"/>
          <w:szCs w:val="20"/>
          <w:color w:val="auto"/>
        </w:rPr>
      </w:pPr>
      <w:r>
        <w:rPr>
          <w:rFonts w:ascii="Times New Roman" w:cs="Times New Roman" w:eastAsia="Times New Roman" w:hAnsi="Times New Roman"/>
          <w:sz w:val="17"/>
          <w:szCs w:val="17"/>
          <w:color w:val="auto"/>
        </w:rPr>
        <w:t>12.6.2  it shall at all times comply with the Anti-Corruption Laws applicable to it and shall put in place practices, policies and procedures designed to ensure such compliance and to identify any incident of non-compliance;</w:t>
      </w:r>
    </w:p>
    <w:p>
      <w:pPr>
        <w:spacing w:after="0" w:line="147" w:lineRule="exact"/>
        <w:rPr>
          <w:sz w:val="20"/>
          <w:szCs w:val="20"/>
          <w:color w:val="auto"/>
        </w:rPr>
      </w:pPr>
    </w:p>
    <w:p>
      <w:pPr>
        <w:ind w:right="40" w:firstLine="426"/>
        <w:spacing w:after="0" w:line="295" w:lineRule="auto"/>
        <w:rPr>
          <w:sz w:val="20"/>
          <w:szCs w:val="20"/>
          <w:color w:val="auto"/>
        </w:rPr>
      </w:pPr>
      <w:r>
        <w:rPr>
          <w:rFonts w:ascii="Times New Roman" w:cs="Times New Roman" w:eastAsia="Times New Roman" w:hAnsi="Times New Roman"/>
          <w:sz w:val="17"/>
          <w:szCs w:val="17"/>
          <w:color w:val="auto"/>
        </w:rPr>
        <w:t>12.6.3  it shall notify the other Party immediately upon becoming aware of any breach of, or failure to comply with, any Anti-Corruption Law, in connection with the performance of its obligations under this Agreement;</w:t>
      </w:r>
    </w:p>
    <w:p>
      <w:pPr>
        <w:spacing w:after="0" w:line="147" w:lineRule="exact"/>
        <w:rPr>
          <w:sz w:val="20"/>
          <w:szCs w:val="20"/>
          <w:color w:val="auto"/>
        </w:rPr>
      </w:pPr>
    </w:p>
    <w:p>
      <w:pPr>
        <w:ind w:firstLine="426"/>
        <w:spacing w:after="0" w:line="295" w:lineRule="auto"/>
        <w:rPr>
          <w:sz w:val="20"/>
          <w:szCs w:val="20"/>
          <w:color w:val="auto"/>
        </w:rPr>
      </w:pPr>
      <w:r>
        <w:rPr>
          <w:rFonts w:ascii="Times New Roman" w:cs="Times New Roman" w:eastAsia="Times New Roman" w:hAnsi="Times New Roman"/>
          <w:sz w:val="17"/>
          <w:szCs w:val="17"/>
          <w:color w:val="auto"/>
        </w:rPr>
        <w:t>12.6.4  it shall not, in the course of its duties under this Agreement, offer, promise, give, demand, seek or accept, directly or indirectly, any gift or payment, consideration or benefit in kind to any Covered Person that would or could be construed as an illegal or corrupt practice;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640"/>
          </w:cols>
          <w:pgMar w:left="620" w:top="264" w:right="639" w:bottom="1440" w:gutter="0" w:footer="0" w:header="0"/>
        </w:sectPr>
      </w:pPr>
    </w:p>
    <w:bookmarkStart w:id="558" w:name="page559"/>
    <w:bookmarkEnd w:id="558"/>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12.6.5   it is not a Covered Person or not acting on behalf of any Covered Person; and</w:t>
      </w:r>
    </w:p>
    <w:p>
      <w:pPr>
        <w:spacing w:after="0" w:line="223" w:lineRule="exact"/>
        <w:rPr>
          <w:sz w:val="20"/>
          <w:szCs w:val="20"/>
          <w:color w:val="auto"/>
        </w:rPr>
      </w:pPr>
    </w:p>
    <w:p>
      <w:pPr>
        <w:ind w:right="60" w:firstLine="426"/>
        <w:spacing w:after="0" w:line="276" w:lineRule="auto"/>
        <w:rPr>
          <w:sz w:val="20"/>
          <w:szCs w:val="20"/>
          <w:color w:val="auto"/>
        </w:rPr>
      </w:pPr>
      <w:r>
        <w:rPr>
          <w:rFonts w:ascii="Times New Roman" w:cs="Times New Roman" w:eastAsia="Times New Roman" w:hAnsi="Times New Roman"/>
          <w:sz w:val="17"/>
          <w:szCs w:val="17"/>
          <w:color w:val="auto"/>
        </w:rPr>
        <w:t>12.6.6  it shall immediately notify the other Party of any attempt by any Covered Person to directly or indirectly solicit, ask for, or attempt to extort anything of value from it, its Affiliates or Sublicensees, and shall refuse any such solicitation, request or extortionate demand except a facilitating payment as expressly permitted under the Anti-Corruption Laws.</w:t>
      </w:r>
    </w:p>
    <w:p>
      <w:pPr>
        <w:spacing w:after="0" w:line="160"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7"/>
          <w:szCs w:val="17"/>
          <w:color w:val="auto"/>
        </w:rPr>
        <w:t xml:space="preserve">12.7  </w:t>
      </w:r>
      <w:r>
        <w:rPr>
          <w:rFonts w:ascii="Times New Roman" w:cs="Times New Roman" w:eastAsia="Times New Roman" w:hAnsi="Times New Roman"/>
          <w:sz w:val="17"/>
          <w:szCs w:val="17"/>
          <w:b w:val="1"/>
          <w:bCs w:val="1"/>
          <w:color w:val="auto"/>
        </w:rPr>
        <w:t>Independent Contractors</w:t>
      </w:r>
      <w:r>
        <w:rPr>
          <w:rFonts w:ascii="Times New Roman" w:cs="Times New Roman" w:eastAsia="Times New Roman" w:hAnsi="Times New Roman"/>
          <w:sz w:val="17"/>
          <w:szCs w:val="17"/>
          <w:color w:val="auto"/>
        </w:rPr>
        <w:t>. The Parties are independent contractors, and nothing contained in this Agreement shall be deemed or construed to create a partnership, joint venture, employment, franchise, agency or fiduciary relationship between the Parties.</w:t>
      </w:r>
    </w:p>
    <w:p>
      <w:pPr>
        <w:spacing w:after="0" w:line="14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 xml:space="preserve">12.8  </w:t>
      </w:r>
      <w:r>
        <w:rPr>
          <w:rFonts w:ascii="Times New Roman" w:cs="Times New Roman" w:eastAsia="Times New Roman" w:hAnsi="Times New Roman"/>
          <w:sz w:val="17"/>
          <w:szCs w:val="17"/>
          <w:b w:val="1"/>
          <w:bCs w:val="1"/>
          <w:color w:val="auto"/>
        </w:rPr>
        <w:t>Entire Agreement; Amendments</w:t>
      </w:r>
      <w:r>
        <w:rPr>
          <w:rFonts w:ascii="Times New Roman" w:cs="Times New Roman" w:eastAsia="Times New Roman" w:hAnsi="Times New Roman"/>
          <w:sz w:val="17"/>
          <w:szCs w:val="17"/>
          <w:color w:val="auto"/>
        </w:rPr>
        <w:t>. The JVA, the other ancillary agreements to the JVA and this Agreement, together with the Exhibits hereto and thereto, contain the entire understanding of the Parties with respect to the licenses granted herein. Any other express or implied agreements and understandings, negotiations, writings and commitments, either oral or written, in respect to the collaboration and the licenses granted hereunder are superseded by the terms of this Agreement. The Exhibits to this Agreement are incorporated herein by reference and shall be deemed a part of this Agreement. This Agreement may be amended, or any term hereof modified, only by a written instrument duly executed by authorized representative(s) of both Parties hereto. The Parties agree that, effective as of the Effective Date, the Non-Disclosure Agreement dated February 28, 2023 between the Parties shall be superseded by this Agreement, and that disclosures made prior to the Effective Date shall be subject to the confidentiality and non-use provisions of this Agreement.</w:t>
      </w:r>
    </w:p>
    <w:p>
      <w:pPr>
        <w:spacing w:after="0" w:line="17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12.9  </w:t>
      </w:r>
      <w:r>
        <w:rPr>
          <w:rFonts w:ascii="Times New Roman" w:cs="Times New Roman" w:eastAsia="Times New Roman" w:hAnsi="Times New Roman"/>
          <w:sz w:val="17"/>
          <w:szCs w:val="17"/>
          <w:b w:val="1"/>
          <w:bCs w:val="1"/>
          <w:color w:val="auto"/>
        </w:rPr>
        <w:t>Amendment; Waiver</w:t>
      </w:r>
      <w:r>
        <w:rPr>
          <w:rFonts w:ascii="Times New Roman" w:cs="Times New Roman" w:eastAsia="Times New Roman" w:hAnsi="Times New Roman"/>
          <w:sz w:val="17"/>
          <w:szCs w:val="17"/>
          <w:color w:val="auto"/>
        </w:rPr>
        <w:t>. Except as otherwise expressly provided herein, no alteration of or modification to this Agreement shall be effective unless made in writing and executed by an authorized representative of each Party. No course of dealing or failing of either Party to strictly enforce any term, right or condition of this Agreement in any instance shall be construed as a general waiver or relinquishment of such term, right or condition. The observance of any provision of this Agreement may be waived (either generally or any given instance and either retroactively or prospectively) only with the written consent of the Party granting such waiver.</w:t>
      </w:r>
    </w:p>
    <w:p>
      <w:pPr>
        <w:spacing w:after="0" w:line="16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 xml:space="preserve">12.10  </w:t>
      </w:r>
      <w:r>
        <w:rPr>
          <w:rFonts w:ascii="Times New Roman" w:cs="Times New Roman" w:eastAsia="Times New Roman" w:hAnsi="Times New Roman"/>
          <w:sz w:val="17"/>
          <w:szCs w:val="17"/>
          <w:b w:val="1"/>
          <w:bCs w:val="1"/>
          <w:color w:val="auto"/>
        </w:rPr>
        <w:t>Further Assurances</w:t>
      </w:r>
      <w:r>
        <w:rPr>
          <w:rFonts w:ascii="Times New Roman" w:cs="Times New Roman" w:eastAsia="Times New Roman" w:hAnsi="Times New Roman"/>
          <w:sz w:val="17"/>
          <w:szCs w:val="17"/>
          <w:color w:val="auto"/>
        </w:rPr>
        <w:t>. Upon the other Party’s request, each Party agrees to execute, acknowledge, and deliver such further instruments, and to do all such other acts, as may be reasonably agreed by the Parties as necessary or appropriate to carry out the purposes and intent of this Agreement.</w:t>
      </w:r>
    </w:p>
    <w:p>
      <w:pPr>
        <w:spacing w:after="0" w:line="14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 xml:space="preserve">12.11  </w:t>
      </w: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The Parties do not intend to violate any public policy or statutory or common law. However, if any sentence, paragraph, clause or combination of this Agreement is in violation of any law or is found to be otherwise unenforceable, such sentence, paragraph, clause or combination of the same shall be deleted and the remainder of this Agreement shall remain binding, provided that such deletion does not alter the basic purpose and structure of this Agreement.</w:t>
      </w:r>
    </w:p>
    <w:p>
      <w:pPr>
        <w:spacing w:after="0" w:line="16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 xml:space="preserve">12.12  </w:t>
      </w:r>
      <w:r>
        <w:rPr>
          <w:rFonts w:ascii="Times New Roman" w:cs="Times New Roman" w:eastAsia="Times New Roman" w:hAnsi="Times New Roman"/>
          <w:sz w:val="17"/>
          <w:szCs w:val="17"/>
          <w:b w:val="1"/>
          <w:bCs w:val="1"/>
          <w:color w:val="auto"/>
        </w:rPr>
        <w:t>Construction</w:t>
      </w:r>
      <w:r>
        <w:rPr>
          <w:rFonts w:ascii="Times New Roman" w:cs="Times New Roman" w:eastAsia="Times New Roman" w:hAnsi="Times New Roman"/>
          <w:sz w:val="17"/>
          <w:szCs w:val="17"/>
          <w:color w:val="auto"/>
        </w:rPr>
        <w:t>. The Parties mutually acknowledge that they and their attorneys have participated in the negotiation and preparation of this Agreement. Ambiguities, if any, in this Agreement shall not be construed against any Party, irrespective of which Party may be deemed to have drafted this Agreement or authorized the ambiguous provision.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640"/>
          </w:cols>
          <w:pgMar w:left="620" w:top="265" w:right="639" w:bottom="1440" w:gutter="0" w:footer="0" w:header="0"/>
        </w:sectPr>
      </w:pPr>
    </w:p>
    <w:bookmarkStart w:id="559" w:name="page560"/>
    <w:bookmarkEnd w:id="559"/>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12.13  </w:t>
      </w:r>
      <w:r>
        <w:rPr>
          <w:rFonts w:ascii="Times New Roman" w:cs="Times New Roman" w:eastAsia="Times New Roman" w:hAnsi="Times New Roman"/>
          <w:sz w:val="17"/>
          <w:szCs w:val="17"/>
          <w:b w:val="1"/>
          <w:bCs w:val="1"/>
          <w:color w:val="auto"/>
        </w:rPr>
        <w:t>Language; Translations</w:t>
      </w:r>
      <w:r>
        <w:rPr>
          <w:rFonts w:ascii="Times New Roman" w:cs="Times New Roman" w:eastAsia="Times New Roman" w:hAnsi="Times New Roman"/>
          <w:sz w:val="17"/>
          <w:szCs w:val="17"/>
          <w:color w:val="auto"/>
        </w:rPr>
        <w:t>. This Agreement is in the English language only, which language will be controlling in all respects, and all versions hereof in any other language will be for accommodation only and will not be binding upon the Parties. All communications and notices to be made or given by one Party to the other pursuant to this Agreement, and any dispute proceeding related to or arising hereunder, will be in the English language. If there is a discrepancy between any translation of this Agreement and any non-English translation of this Agreement, this Agreement will prevail.</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 xml:space="preserve">12.14  </w:t>
      </w:r>
      <w:r>
        <w:rPr>
          <w:rFonts w:ascii="Times New Roman" w:cs="Times New Roman" w:eastAsia="Times New Roman" w:hAnsi="Times New Roman"/>
          <w:sz w:val="17"/>
          <w:szCs w:val="17"/>
          <w:b w:val="1"/>
          <w:bCs w:val="1"/>
          <w:color w:val="auto"/>
        </w:rPr>
        <w:t>Interpretation</w:t>
      </w:r>
      <w:r>
        <w:rPr>
          <w:rFonts w:ascii="Times New Roman" w:cs="Times New Roman" w:eastAsia="Times New Roman" w:hAnsi="Times New Roman"/>
          <w:sz w:val="17"/>
          <w:szCs w:val="17"/>
          <w:color w:val="auto"/>
        </w:rPr>
        <w:t>. The captions and headings to this Agreement are for convenience only and are to be of no force or effect in construing or interpreting any of the provisions of this Agreement.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each be construed to refer to this Agreement in its entirety and not to any particular provision hereof, (g) all references herein to Articles, Sections, Schedules, or Exhibits will be construed to refer to Articles, Sections, Schedules, or Exhibits of this Agreement, and references to this Agreement include all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“approve,” or the like will require that such agreement, consent, or approval be specific and in writing, whether by written agreement, letter, approved minutes, or otherwise (but excluding e-mail and instant messaging), (j) references to any specific law, rule or regulation, or Section or other division thereof, will be deemed to include the then-current amendments thereto or any replacement or successor law, rule or regulation thereof, and (k) the term “or” will be interpreted in the inclusive sense commonly associated with the term “and/or.”</w:t>
      </w:r>
    </w:p>
    <w:p>
      <w:pPr>
        <w:spacing w:after="0" w:line="17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 xml:space="preserve">12.15  </w:t>
      </w: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This Agreement may be executed in two or more counterparts, each of which will be deemed an original, but all of which together will constitute one and the same instrument. This Agreement may be executed and delivered electronically or by facsimile and upon such delivery such electronic or facsimile signature will be deemed to have the same effect as if the original signature had been delivered to the other Party. For purposes hereof, an electronic or facsimile copy of this Agreement, including the signature pages hereto, will be deemed to be an original. Notwithstanding the foregoing, the Parties shall deliver original execution copies of this Agreement to one another as soon as practicable following execution thereof.</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660"/>
          </w:cols>
          <w:pgMar w:left="620" w:top="263" w:right="619" w:bottom="1440" w:gutter="0" w:footer="0" w:header="0"/>
        </w:sectPr>
      </w:pPr>
    </w:p>
    <w:bookmarkStart w:id="560" w:name="page561"/>
    <w:bookmarkEnd w:id="56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[Signature page follows – the rest of this page intentionally left blank.]</w:t>
      </w:r>
    </w:p>
    <w:p>
      <w:pPr>
        <w:sectPr>
          <w:pgSz w:w="11900" w:h="16838" w:orient="portrait"/>
          <w:cols w:equalWidth="0" w:num="1">
            <w:col w:w="9019"/>
          </w:cols>
          <w:pgMar w:left="1440" w:top="263" w:right="1440"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9019"/>
          </w:cols>
          <w:pgMar w:left="1440" w:top="263" w:right="1440" w:bottom="1440" w:gutter="0" w:footer="0" w:header="0"/>
          <w:type w:val="continuous"/>
        </w:sectPr>
      </w:pPr>
    </w:p>
    <w:bookmarkStart w:id="561" w:name="page562"/>
    <w:bookmarkEnd w:id="56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2">
                      <a:extLst>
                        <a:ext uri="{28A0092B-C50C-407E-A947-70E740481C1C}"/>
                      </a:extLst>
                    </a:blip>
                    <a:srcRect/>
                    <a:stretch>
                      <a:fillRect/>
                    </a:stretch>
                  </pic:blipFill>
                  <pic:spPr bwMode="auto">
                    <a:xfrm>
                      <a:off x="0" y="0"/>
                      <a:ext cx="7178675" cy="3683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have executed this Agreement by their respective officers hereunto duly authorized.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Jim Rogers</w:t>
            </w:r>
          </w:p>
        </w:tc>
      </w:tr>
      <w:tr>
        <w:trPr>
          <w:trHeight w:val="19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Jim Rogers</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Treasurer and Chief Financial Officer</w:t>
            </w:r>
          </w:p>
        </w:tc>
      </w:tr>
      <w:tr>
        <w:trPr>
          <w:trHeight w:val="418"/>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Pegasos Corp.</w:t>
            </w:r>
          </w:p>
        </w:tc>
      </w:tr>
      <w:tr>
        <w:trPr>
          <w:trHeight w:val="41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Ippei Mimura</w:t>
            </w:r>
          </w:p>
        </w:tc>
      </w:tr>
      <w:tr>
        <w:trPr>
          <w:trHeight w:val="19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Ippei Mimura</w:t>
            </w:r>
          </w:p>
        </w:tc>
      </w:tr>
      <w:tr>
        <w:trPr>
          <w:trHeight w:val="227"/>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Representative Director</w:t>
            </w:r>
          </w:p>
        </w:tc>
      </w:tr>
    </w:tbl>
    <w:p>
      <w:pPr>
        <w:sectPr>
          <w:pgSz w:w="11900" w:h="16838" w:orient="portrait"/>
          <w:cols w:equalWidth="0" w:num="1">
            <w:col w:w="9839"/>
          </w:cols>
          <w:pgMar w:left="620" w:top="262" w:right="1440" w:bottom="1440" w:gutter="0" w:footer="0" w:header="0"/>
        </w:sectPr>
      </w:pPr>
    </w:p>
    <w:bookmarkStart w:id="562" w:name="page563"/>
    <w:bookmarkEnd w:id="562"/>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1.30</w:t>
      </w:r>
    </w:p>
    <w:p>
      <w:pPr>
        <w:spacing w:after="0" w:line="3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TEMPUS KNOW-HOW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9839"/>
          </w:cols>
          <w:pgMar w:left="620" w:top="262" w:right="1440" w:bottom="1440" w:gutter="0" w:footer="0" w:header="0"/>
        </w:sectPr>
      </w:pPr>
    </w:p>
    <w:bookmarkStart w:id="563" w:name="page564"/>
    <w:bookmarkEnd w:id="563"/>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EXHIBIT A</w:t>
      </w:r>
    </w:p>
    <w:p>
      <w:pPr>
        <w:spacing w:after="0" w:line="34"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4"/>
          <w:szCs w:val="14"/>
          <w:b w:val="1"/>
          <w:bCs w:val="1"/>
          <w:color w:val="auto"/>
        </w:rPr>
        <w:t>ATENTS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9839"/>
          </w:cols>
          <w:pgMar w:left="620" w:top="263" w:right="1440" w:bottom="1440" w:gutter="0" w:footer="0" w:header="0"/>
        </w:sectPr>
      </w:pPr>
    </w:p>
    <w:bookmarkStart w:id="564" w:name="page565"/>
    <w:bookmarkEnd w:id="564"/>
    <w:p>
      <w:pPr>
        <w:ind w:left="9668"/>
        <w:spacing w:after="0"/>
        <w:rPr>
          <w:sz w:val="20"/>
          <w:szCs w:val="20"/>
          <w:color w:val="auto"/>
        </w:rPr>
      </w:pPr>
      <w:r>
        <w:rPr>
          <w:rFonts w:ascii="Times New Roman" w:cs="Times New Roman" w:eastAsia="Times New Roman" w:hAnsi="Times New Roman"/>
          <w:sz w:val="17"/>
          <w:szCs w:val="17"/>
          <w:b w:val="1"/>
          <w:bCs w:val="1"/>
          <w:color w:val="auto"/>
        </w:rPr>
        <w:t>Exhibit 10.30</w:t>
      </w:r>
    </w:p>
    <w:p>
      <w:pPr>
        <w:spacing w:after="0" w:line="225" w:lineRule="exact"/>
        <w:rPr>
          <w:sz w:val="20"/>
          <w:szCs w:val="20"/>
          <w:color w:val="auto"/>
        </w:rPr>
      </w:pPr>
    </w:p>
    <w:p>
      <w:pPr>
        <w:ind w:left="8" w:right="80"/>
        <w:spacing w:after="0" w:line="276" w:lineRule="auto"/>
        <w:rPr>
          <w:sz w:val="20"/>
          <w:szCs w:val="20"/>
          <w:color w:val="auto"/>
        </w:rPr>
      </w:pPr>
      <w:r>
        <w:rPr>
          <w:rFonts w:ascii="Times New Roman" w:cs="Times New Roman" w:eastAsia="Times New Roman" w:hAnsi="Times New Roman"/>
          <w:sz w:val="17"/>
          <w:szCs w:val="17"/>
          <w:color w:val="auto"/>
        </w:rPr>
        <w:t>CERTAIN CONFIDENTIAL INFORMATION CONTAINED IN THIS DOCUMENT, MARKED BY [***], HAS BEEN OMITTED BECAUSE TEMPUS AI, INC. HAS DETERMINED THE INFORMATION (I) IS NOT MATERIAL AND (II) IS THE TYPE THAT TEMPUS AI, INC. TREATS AS PRIVATE OR CONFIDENTIAL.</w:t>
      </w:r>
    </w:p>
    <w:p>
      <w:pPr>
        <w:spacing w:after="0" w:line="3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Amendment No. 1 to Strategic Collaboration Agreement</w:t>
      </w:r>
    </w:p>
    <w:p>
      <w:pPr>
        <w:spacing w:after="0" w:line="225" w:lineRule="exact"/>
        <w:rPr>
          <w:sz w:val="20"/>
          <w:szCs w:val="20"/>
          <w:color w:val="auto"/>
        </w:rPr>
      </w:pPr>
    </w:p>
    <w:p>
      <w:pPr>
        <w:jc w:val="both"/>
        <w:ind w:left="8" w:right="20"/>
        <w:spacing w:after="0" w:line="276" w:lineRule="auto"/>
        <w:rPr>
          <w:sz w:val="20"/>
          <w:szCs w:val="20"/>
          <w:color w:val="auto"/>
        </w:rPr>
      </w:pPr>
      <w:r>
        <w:rPr>
          <w:rFonts w:ascii="Times New Roman" w:cs="Times New Roman" w:eastAsia="Times New Roman" w:hAnsi="Times New Roman"/>
          <w:sz w:val="17"/>
          <w:szCs w:val="17"/>
          <w:color w:val="auto"/>
        </w:rPr>
        <w:t>This Amendment No. 1 to the Strategic Collaboration Agreement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is made by and between GlaxoSmithKline LLC (“</w:t>
      </w:r>
      <w:r>
        <w:rPr>
          <w:rFonts w:ascii="Times New Roman" w:cs="Times New Roman" w:eastAsia="Times New Roman" w:hAnsi="Times New Roman"/>
          <w:sz w:val="17"/>
          <w:szCs w:val="17"/>
          <w:u w:val="single" w:color="auto"/>
          <w:color w:val="auto"/>
        </w:rPr>
        <w:t>GSK</w:t>
      </w:r>
      <w:r>
        <w:rPr>
          <w:rFonts w:ascii="Times New Roman" w:cs="Times New Roman" w:eastAsia="Times New Roman" w:hAnsi="Times New Roman"/>
          <w:sz w:val="17"/>
          <w:szCs w:val="17"/>
          <w:color w:val="auto"/>
        </w:rPr>
        <w:t>”) and Tempus AI, Inc. (“</w:t>
      </w:r>
      <w:r>
        <w:rPr>
          <w:rFonts w:ascii="Times New Roman" w:cs="Times New Roman" w:eastAsia="Times New Roman" w:hAnsi="Times New Roman"/>
          <w:sz w:val="17"/>
          <w:szCs w:val="17"/>
          <w:u w:val="single" w:color="auto"/>
          <w:color w:val="auto"/>
        </w:rPr>
        <w:t>Tempus</w:t>
      </w:r>
      <w:r>
        <w:rPr>
          <w:rFonts w:ascii="Times New Roman" w:cs="Times New Roman" w:eastAsia="Times New Roman" w:hAnsi="Times New Roman"/>
          <w:sz w:val="17"/>
          <w:szCs w:val="17"/>
          <w:color w:val="auto"/>
        </w:rPr>
        <w:t>”) and amends the Strategic Collaboration Agreement between the Parties with an effective date of August 1, 2022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Capitalized terms used herein and not otherwise defined have the meanings provided in the Agreement.</w:t>
      </w:r>
    </w:p>
    <w:p>
      <w:pPr>
        <w:spacing w:after="0" w:line="3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25" w:lineRule="exact"/>
        <w:rPr>
          <w:sz w:val="20"/>
          <w:szCs w:val="20"/>
          <w:color w:val="auto"/>
        </w:rPr>
      </w:pPr>
    </w:p>
    <w:p>
      <w:pPr>
        <w:ind w:left="8" w:right="560"/>
        <w:spacing w:after="0" w:line="295" w:lineRule="auto"/>
        <w:rPr>
          <w:sz w:val="20"/>
          <w:szCs w:val="20"/>
          <w:color w:val="auto"/>
        </w:rPr>
      </w:pPr>
      <w:r>
        <w:rPr>
          <w:rFonts w:ascii="Times New Roman" w:cs="Times New Roman" w:eastAsia="Times New Roman" w:hAnsi="Times New Roman"/>
          <w:sz w:val="17"/>
          <w:szCs w:val="17"/>
          <w:color w:val="auto"/>
        </w:rPr>
        <w:t>Tempus and GSK have agreed to revise the terms of the Agreement to extend the Initial Term. Accordingly, the Parties have agreed to amend the Agreement as set forth below.</w:t>
      </w:r>
    </w:p>
    <w:p>
      <w:pPr>
        <w:spacing w:after="0" w:line="3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In consideration of the mutual promises described below, the Parties agree as follows:</w:t>
      </w:r>
    </w:p>
    <w:p>
      <w:pPr>
        <w:spacing w:after="0" w:line="129" w:lineRule="exact"/>
        <w:rPr>
          <w:sz w:val="20"/>
          <w:szCs w:val="20"/>
          <w:color w:val="auto"/>
        </w:rPr>
      </w:pPr>
    </w:p>
    <w:p>
      <w:pPr>
        <w:ind w:left="428" w:hanging="428"/>
        <w:spacing w:after="0"/>
        <w:tabs>
          <w:tab w:leader="none" w:pos="428" w:val="left"/>
        </w:tabs>
        <w:numPr>
          <w:ilvl w:val="0"/>
          <w:numId w:val="2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 </w:t>
      </w:r>
      <w:r>
        <w:rPr>
          <w:rFonts w:ascii="Times New Roman" w:cs="Times New Roman" w:eastAsia="Times New Roman" w:hAnsi="Times New Roman"/>
          <w:sz w:val="17"/>
          <w:szCs w:val="17"/>
          <w:color w:val="auto"/>
        </w:rPr>
        <w:t>Section 10 of the Agreement shall be deleted in its entirety and replaced with the following new Section 10:</w:t>
      </w:r>
    </w:p>
    <w:p>
      <w:pPr>
        <w:spacing w:after="0" w:line="118" w:lineRule="exact"/>
        <w:rPr>
          <w:rFonts w:ascii="Times New Roman" w:cs="Times New Roman" w:eastAsia="Times New Roman" w:hAnsi="Times New Roman"/>
          <w:sz w:val="17"/>
          <w:szCs w:val="17"/>
          <w:b w:val="1"/>
          <w:bCs w:val="1"/>
          <w:color w:val="auto"/>
        </w:rPr>
      </w:pPr>
    </w:p>
    <w:p>
      <w:pPr>
        <w:ind w:left="428"/>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This Agreement shall be effective as of the Effective Date and unless terminated earlier by mutual written agreement of the Parties (either in its entirety, including all Task Orders then in effect by terminating such Task Orders, or with respect to one or more Task Orders(s) by terminating such Task Order(s)) or pursuant to Section 11 below, the term of this Agreement shall continue in effect until December 31, 2027 (“</w:t>
      </w:r>
      <w:r>
        <w:rPr>
          <w:rFonts w:ascii="Times New Roman" w:cs="Times New Roman" w:eastAsia="Times New Roman" w:hAnsi="Times New Roman"/>
          <w:sz w:val="17"/>
          <w:szCs w:val="17"/>
          <w:b w:val="1"/>
          <w:bCs w:val="1"/>
          <w:i w:val="1"/>
          <w:iCs w:val="1"/>
          <w:color w:val="auto"/>
        </w:rPr>
        <w:t>Initial Term</w:t>
      </w:r>
      <w:r>
        <w:rPr>
          <w:rFonts w:ascii="Times New Roman" w:cs="Times New Roman" w:eastAsia="Times New Roman" w:hAnsi="Times New Roman"/>
          <w:sz w:val="17"/>
          <w:szCs w:val="17"/>
          <w:i w:val="1"/>
          <w:iCs w:val="1"/>
          <w:color w:val="auto"/>
        </w:rPr>
        <w:t>”). Thereafter, GSK shall have the option to renew this Agreement for an additional three (3) year term (the “</w:t>
      </w:r>
      <w:r>
        <w:rPr>
          <w:rFonts w:ascii="Times New Roman" w:cs="Times New Roman" w:eastAsia="Times New Roman" w:hAnsi="Times New Roman"/>
          <w:sz w:val="17"/>
          <w:szCs w:val="17"/>
          <w:b w:val="1"/>
          <w:bCs w:val="1"/>
          <w:i w:val="1"/>
          <w:iCs w:val="1"/>
          <w:color w:val="auto"/>
        </w:rPr>
        <w:t>Renewal Term</w:t>
      </w:r>
      <w:r>
        <w:rPr>
          <w:rFonts w:ascii="Times New Roman" w:cs="Times New Roman" w:eastAsia="Times New Roman" w:hAnsi="Times New Roman"/>
          <w:sz w:val="17"/>
          <w:szCs w:val="17"/>
          <w:i w:val="1"/>
          <w:iCs w:val="1"/>
          <w:color w:val="auto"/>
        </w:rPr>
        <w:t>”, and together with the Initial Term, the “</w:t>
      </w:r>
      <w:r>
        <w:rPr>
          <w:rFonts w:ascii="Times New Roman" w:cs="Times New Roman" w:eastAsia="Times New Roman" w:hAnsi="Times New Roman"/>
          <w:sz w:val="17"/>
          <w:szCs w:val="17"/>
          <w:b w:val="1"/>
          <w:bCs w:val="1"/>
          <w:i w:val="1"/>
          <w:iCs w:val="1"/>
          <w:color w:val="auto"/>
        </w:rPr>
        <w:t>Term</w:t>
      </w:r>
      <w:r>
        <w:rPr>
          <w:rFonts w:ascii="Times New Roman" w:cs="Times New Roman" w:eastAsia="Times New Roman" w:hAnsi="Times New Roman"/>
          <w:sz w:val="17"/>
          <w:szCs w:val="17"/>
          <w:i w:val="1"/>
          <w:iCs w:val="1"/>
          <w:color w:val="auto"/>
        </w:rPr>
        <w:t>”) by providing Tempus with written notice of renewal at least ninety (90) days prior to the end of the Initial Term. Notwithstanding the foregoing, the term of each Task Order (including any Task Order entered into pursuant to Section 24.5(i)) shall commence as of the applicable Task Order Effective Date set forth on the applicable Task Order and this Agreement shall remain in effect with respect to such Task Order until the earlier of (a) the completion of the Activities to be performed pursuant to the applicable Task Order, or (b) the termination of such Task Orders pursuant to Section 11 (each, a “</w:t>
      </w:r>
      <w:r>
        <w:rPr>
          <w:rFonts w:ascii="Times New Roman" w:cs="Times New Roman" w:eastAsia="Times New Roman" w:hAnsi="Times New Roman"/>
          <w:sz w:val="17"/>
          <w:szCs w:val="17"/>
          <w:b w:val="1"/>
          <w:bCs w:val="1"/>
          <w:i w:val="1"/>
          <w:iCs w:val="1"/>
          <w:color w:val="auto"/>
        </w:rPr>
        <w:t>Task Order Term</w:t>
      </w:r>
      <w:r>
        <w:rPr>
          <w:rFonts w:ascii="Times New Roman" w:cs="Times New Roman" w:eastAsia="Times New Roman" w:hAnsi="Times New Roman"/>
          <w:sz w:val="17"/>
          <w:szCs w:val="17"/>
          <w:i w:val="1"/>
          <w:iCs w:val="1"/>
          <w:color w:val="auto"/>
        </w:rPr>
        <w:t>”), notwithstanding any termination or expiration of this Agreement pursuant to the first two (2) sentences of this Section 10.</w:t>
      </w:r>
    </w:p>
    <w:p>
      <w:pPr>
        <w:spacing w:after="0" w:line="82" w:lineRule="exact"/>
        <w:rPr>
          <w:rFonts w:ascii="Times New Roman" w:cs="Times New Roman" w:eastAsia="Times New Roman" w:hAnsi="Times New Roman"/>
          <w:sz w:val="17"/>
          <w:szCs w:val="17"/>
          <w:b w:val="1"/>
          <w:bCs w:val="1"/>
          <w:color w:val="auto"/>
        </w:rPr>
      </w:pPr>
    </w:p>
    <w:p>
      <w:pPr>
        <w:ind w:left="428" w:hanging="428"/>
        <w:spacing w:after="0"/>
        <w:tabs>
          <w:tab w:leader="none" w:pos="428" w:val="left"/>
        </w:tabs>
        <w:numPr>
          <w:ilvl w:val="0"/>
          <w:numId w:val="2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Payments.</w:t>
      </w:r>
    </w:p>
    <w:p>
      <w:pPr>
        <w:spacing w:after="0" w:line="133" w:lineRule="exact"/>
        <w:rPr>
          <w:sz w:val="20"/>
          <w:szCs w:val="20"/>
          <w:color w:val="auto"/>
        </w:rPr>
      </w:pPr>
    </w:p>
    <w:p>
      <w:pPr>
        <w:ind w:left="1368" w:hanging="414"/>
        <w:spacing w:after="0"/>
        <w:tabs>
          <w:tab w:leader="none" w:pos="1368"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24.2(ii) of the Agreement shall be deleted in its entirety and replaced with the following new Section 24.2(ii):</w:t>
      </w:r>
    </w:p>
    <w:p>
      <w:pPr>
        <w:spacing w:after="0" w:line="114" w:lineRule="exact"/>
        <w:rPr>
          <w:sz w:val="20"/>
          <w:szCs w:val="20"/>
          <w:color w:val="auto"/>
        </w:rPr>
      </w:pPr>
    </w:p>
    <w:p>
      <w:pPr>
        <w:ind w:left="428" w:right="180"/>
        <w:spacing w:after="0" w:line="278" w:lineRule="auto"/>
        <w:rPr>
          <w:sz w:val="20"/>
          <w:szCs w:val="20"/>
          <w:color w:val="auto"/>
        </w:rPr>
      </w:pPr>
      <w:r>
        <w:rPr>
          <w:rFonts w:ascii="Times New Roman" w:cs="Times New Roman" w:eastAsia="Times New Roman" w:hAnsi="Times New Roman"/>
          <w:sz w:val="17"/>
          <w:szCs w:val="17"/>
          <w:i w:val="1"/>
          <w:iCs w:val="1"/>
          <w:color w:val="auto"/>
        </w:rPr>
        <w:t>For purposes of this Section 24.2, the “</w:t>
      </w:r>
      <w:r>
        <w:rPr>
          <w:rFonts w:ascii="Times New Roman" w:cs="Times New Roman" w:eastAsia="Times New Roman" w:hAnsi="Times New Roman"/>
          <w:sz w:val="17"/>
          <w:szCs w:val="17"/>
          <w:b w:val="1"/>
          <w:bCs w:val="1"/>
          <w:i w:val="1"/>
          <w:iCs w:val="1"/>
          <w:color w:val="auto"/>
        </w:rPr>
        <w:t>Initial Funding Term</w:t>
      </w:r>
      <w:r>
        <w:rPr>
          <w:rFonts w:ascii="Times New Roman" w:cs="Times New Roman" w:eastAsia="Times New Roman" w:hAnsi="Times New Roman"/>
          <w:sz w:val="17"/>
          <w:szCs w:val="17"/>
          <w:i w:val="1"/>
          <w:iCs w:val="1"/>
          <w:color w:val="auto"/>
        </w:rPr>
        <w:t>” shall mean the period commencing on the first day of the first calendar quarter beginning after the occurrence of the Quarterly Funding Trigger (the “</w:t>
      </w:r>
      <w:r>
        <w:rPr>
          <w:rFonts w:ascii="Times New Roman" w:cs="Times New Roman" w:eastAsia="Times New Roman" w:hAnsi="Times New Roman"/>
          <w:sz w:val="17"/>
          <w:szCs w:val="17"/>
          <w:b w:val="1"/>
          <w:bCs w:val="1"/>
          <w:i w:val="1"/>
          <w:iCs w:val="1"/>
          <w:color w:val="auto"/>
        </w:rPr>
        <w:t>Trigger Date</w:t>
      </w:r>
      <w:r>
        <w:rPr>
          <w:rFonts w:ascii="Times New Roman" w:cs="Times New Roman" w:eastAsia="Times New Roman" w:hAnsi="Times New Roman"/>
          <w:sz w:val="17"/>
          <w:szCs w:val="17"/>
          <w:i w:val="1"/>
          <w:iCs w:val="1"/>
          <w:color w:val="auto"/>
        </w:rPr>
        <w:t>”) and ending on December 31, 2027. The “Funding Term” shall mean the Initial Funding Term and any Additional Funding Term pursuant to Section 24.3.</w:t>
      </w:r>
    </w:p>
    <w:p>
      <w:pPr>
        <w:spacing w:after="0" w:line="70" w:lineRule="exact"/>
        <w:rPr>
          <w:sz w:val="20"/>
          <w:szCs w:val="20"/>
          <w:color w:val="auto"/>
        </w:rPr>
      </w:pPr>
    </w:p>
    <w:p>
      <w:pPr>
        <w:ind w:left="1368" w:hanging="414"/>
        <w:spacing w:after="0"/>
        <w:tabs>
          <w:tab w:leader="none" w:pos="1368"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24.2(iv) of the Agreement shall be deleted in its entirety and replaced with the following new Section 24.2(iv):</w:t>
      </w:r>
    </w:p>
    <w:p>
      <w:pPr>
        <w:spacing w:after="0" w:line="116" w:lineRule="exact"/>
        <w:rPr>
          <w:sz w:val="20"/>
          <w:szCs w:val="20"/>
          <w:color w:val="auto"/>
        </w:rPr>
      </w:pPr>
    </w:p>
    <w:p>
      <w:pPr>
        <w:ind w:left="428" w:right="240"/>
        <w:spacing w:after="0" w:line="270" w:lineRule="auto"/>
        <w:rPr>
          <w:sz w:val="20"/>
          <w:szCs w:val="20"/>
          <w:color w:val="auto"/>
        </w:rPr>
      </w:pPr>
      <w:r>
        <w:rPr>
          <w:rFonts w:ascii="Times New Roman" w:cs="Times New Roman" w:eastAsia="Times New Roman" w:hAnsi="Times New Roman"/>
          <w:sz w:val="17"/>
          <w:szCs w:val="17"/>
          <w:i w:val="1"/>
          <w:iCs w:val="1"/>
          <w:color w:val="auto"/>
        </w:rPr>
        <w:t>During the Initial Funding Term, the Quarterly Funding Payment shall be an amount equal to [***]. The amount of the Quarterly Funding Payment shall be subject to adjustment pursuant to Section 24.4 and in no event shall any Quarterly Funding Payment exceed [***] during the Funding Term. The Parties anticipate that the Service Fees may be accrued annually on the following approximate schedule: $[***] in 2022, $[***] in 2023, $[***] in 2024, $[***] in 2025, $[***] in 2026 and $[***] in 2027;</w:t>
      </w:r>
    </w:p>
    <w:p>
      <w:pPr>
        <w:sectPr>
          <w:pgSz w:w="11900" w:h="16838" w:orient="portrait"/>
          <w:cols w:equalWidth="0" w:num="1">
            <w:col w:w="10668"/>
          </w:cols>
          <w:pgMar w:left="612" w:top="119" w:right="619" w:bottom="1440" w:gutter="0" w:footer="0" w:header="0"/>
        </w:sectPr>
      </w:pPr>
    </w:p>
    <w:bookmarkStart w:id="565" w:name="page566"/>
    <w:bookmarkEnd w:id="565"/>
    <w:p>
      <w:pPr>
        <w:jc w:val="both"/>
        <w:ind w:left="428" w:right="60"/>
        <w:spacing w:after="0" w:line="27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683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5">
                      <a:extLst>
                        <a:ext uri="{28A0092B-C50C-407E-A947-70E740481C1C}"/>
                      </a:extLst>
                    </a:blip>
                    <a:srcRect/>
                    <a:stretch>
                      <a:fillRect/>
                    </a:stretch>
                  </pic:blipFill>
                  <pic:spPr bwMode="auto">
                    <a:xfrm>
                      <a:off x="0" y="0"/>
                      <a:ext cx="7178675" cy="36830"/>
                    </a:xfrm>
                    <a:prstGeom prst="rect">
                      <a:avLst/>
                    </a:prstGeom>
                    <a:noFill/>
                  </pic:spPr>
                </pic:pic>
              </a:graphicData>
            </a:graphic>
          </wp:anchor>
        </w:drawing>
        <w:t>provided, that the foregoing schedule shall not impose any commitment or obligation on the part of GSK to incur any Service Fees in accordance with any such timeline or schedule (except as otherwise expressly set forth in this Agreement) and GSK shall have the sole discretion to determine the accrual of any such Service Fees, subject to Section 24.2(v) below.</w:t>
      </w:r>
    </w:p>
    <w:p>
      <w:pPr>
        <w:spacing w:after="0" w:line="70" w:lineRule="exact"/>
        <w:rPr>
          <w:sz w:val="20"/>
          <w:szCs w:val="20"/>
          <w:color w:val="auto"/>
        </w:rPr>
      </w:pPr>
    </w:p>
    <w:p>
      <w:pPr>
        <w:ind w:left="1368" w:hanging="414"/>
        <w:spacing w:after="0"/>
        <w:tabs>
          <w:tab w:leader="none" w:pos="1368"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24.3 of the Agreement shall be deleted in its entirety and replaced with the following new Section 24.3:</w:t>
      </w:r>
    </w:p>
    <w:p>
      <w:pPr>
        <w:spacing w:after="0" w:line="116" w:lineRule="exact"/>
        <w:rPr>
          <w:sz w:val="20"/>
          <w:szCs w:val="20"/>
          <w:color w:val="auto"/>
        </w:rPr>
      </w:pPr>
    </w:p>
    <w:p>
      <w:pPr>
        <w:ind w:left="428" w:right="260"/>
        <w:spacing w:after="0" w:line="267" w:lineRule="auto"/>
        <w:rPr>
          <w:sz w:val="20"/>
          <w:szCs w:val="20"/>
          <w:color w:val="auto"/>
        </w:rPr>
      </w:pPr>
      <w:r>
        <w:rPr>
          <w:rFonts w:ascii="Times New Roman" w:cs="Times New Roman" w:eastAsia="Times New Roman" w:hAnsi="Times New Roman"/>
          <w:sz w:val="17"/>
          <w:szCs w:val="17"/>
          <w:i w:val="1"/>
          <w:iCs w:val="1"/>
          <w:color w:val="auto"/>
        </w:rPr>
        <w:t>If GSK elects, in its sole discretion, at any time prior to the end of the Term, to extend the Term for an additional three (3) years in accordance with Section 10 (the “Additional Funding Term”), then GSK shall make an aggregate amount of Quarterly Funding Payments during the Additional Funding Term initially equal to One Hundred Twenty Million Dollars ($120,000,000) (such amount, as may be adjusted pursuant to Section 24.4, the “Additional Funding Commitment”) and the Quarterly Funding Payment for each calendar quarter during the Additional Funding Term shall initially be equal to [***], subject, in each case, to adjustment pursuant to Section 24.4.</w:t>
      </w:r>
    </w:p>
    <w:p>
      <w:pPr>
        <w:spacing w:after="0" w:line="76" w:lineRule="exact"/>
        <w:rPr>
          <w:sz w:val="20"/>
          <w:szCs w:val="20"/>
          <w:color w:val="auto"/>
        </w:rPr>
      </w:pPr>
    </w:p>
    <w:p>
      <w:pPr>
        <w:ind w:left="428" w:right="260" w:hanging="428"/>
        <w:spacing w:after="0" w:line="277" w:lineRule="auto"/>
        <w:tabs>
          <w:tab w:leader="none" w:pos="428" w:val="left"/>
        </w:tabs>
        <w:numPr>
          <w:ilvl w:val="0"/>
          <w:numId w:val="2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Incorporation</w:t>
      </w:r>
      <w:r>
        <w:rPr>
          <w:rFonts w:ascii="Times New Roman" w:cs="Times New Roman" w:eastAsia="Times New Roman" w:hAnsi="Times New Roman"/>
          <w:sz w:val="17"/>
          <w:szCs w:val="17"/>
          <w:color w:val="auto"/>
        </w:rPr>
        <w:t>. Except as otherwise provided in this Amendment, all terms and conditions previously set forth in the Agreement will remain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 as set forth in the Agreement. If this Amendment and the Agreement are inconsistent, the terms and provisions of this Amendment will supersede the terms and provisions of the Agreement, but only to the extent necessary to satisfy the purposes of this Amendment.</w:t>
      </w:r>
    </w:p>
    <w:p>
      <w:pPr>
        <w:spacing w:after="0" w:line="68" w:lineRule="exact"/>
        <w:rPr>
          <w:rFonts w:ascii="Times New Roman" w:cs="Times New Roman" w:eastAsia="Times New Roman" w:hAnsi="Times New Roman"/>
          <w:sz w:val="17"/>
          <w:szCs w:val="17"/>
          <w:b w:val="1"/>
          <w:bCs w:val="1"/>
          <w:color w:val="auto"/>
        </w:rPr>
      </w:pPr>
    </w:p>
    <w:p>
      <w:pPr>
        <w:ind w:left="428" w:right="480" w:hanging="428"/>
        <w:spacing w:after="0" w:line="298" w:lineRule="auto"/>
        <w:tabs>
          <w:tab w:leader="none" w:pos="428" w:val="left"/>
        </w:tabs>
        <w:numPr>
          <w:ilvl w:val="0"/>
          <w:numId w:val="2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Governing Law. </w:t>
      </w:r>
      <w:r>
        <w:rPr>
          <w:rFonts w:ascii="Times New Roman" w:cs="Times New Roman" w:eastAsia="Times New Roman" w:hAnsi="Times New Roman"/>
          <w:sz w:val="17"/>
          <w:szCs w:val="17"/>
          <w:color w:val="auto"/>
        </w:rPr>
        <w:t>This Amendment shall be governed by and construed in accordance with the laws of Delaware, USA, without reference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conflicts of law principles.</w:t>
      </w:r>
    </w:p>
    <w:p>
      <w:pPr>
        <w:spacing w:after="0" w:line="1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This Amendment is effective as of the later date of signature below.</w:t>
      </w:r>
    </w:p>
    <w:p>
      <w:pPr>
        <w:spacing w:after="0" w:line="247" w:lineRule="exact"/>
        <w:rPr>
          <w:sz w:val="20"/>
          <w:szCs w:val="20"/>
          <w:color w:val="auto"/>
        </w:rPr>
      </w:pPr>
    </w:p>
    <w:tbl>
      <w:tblPr>
        <w:tblLayout w:type="fixed"/>
        <w:tblInd w:w="8" w:type="dxa"/>
        <w:tblCellMar>
          <w:top w:w="0" w:type="dxa"/>
          <w:left w:w="0" w:type="dxa"/>
          <w:bottom w:w="0" w:type="dxa"/>
          <w:right w:w="0" w:type="dxa"/>
        </w:tblCellMar>
      </w:tblPr>
      <w:tr>
        <w:trPr>
          <w:trHeight w:val="229"/>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GlaxoSmithKline LLC</w:t>
            </w:r>
          </w:p>
        </w:tc>
        <w:tc>
          <w:tcPr>
            <w:tcW w:w="7020" w:type="dxa"/>
            <w:vAlign w:val="bottom"/>
            <w:gridSpan w:val="2"/>
          </w:tcPr>
          <w:p>
            <w:pPr>
              <w:ind w:left="3300"/>
              <w:spacing w:after="0"/>
              <w:rPr>
                <w:sz w:val="20"/>
                <w:szCs w:val="20"/>
                <w:color w:val="auto"/>
              </w:rPr>
            </w:pPr>
            <w:r>
              <w:rPr>
                <w:rFonts w:ascii="Times New Roman" w:cs="Times New Roman" w:eastAsia="Times New Roman" w:hAnsi="Times New Roman"/>
                <w:sz w:val="17"/>
                <w:szCs w:val="17"/>
                <w:b w:val="1"/>
                <w:bCs w:val="1"/>
                <w:color w:val="auto"/>
              </w:rPr>
              <w:t>Tempus AI, Inc.</w:t>
            </w:r>
          </w:p>
        </w:tc>
      </w:tr>
      <w:tr>
        <w:trPr>
          <w:trHeight w:val="41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w:t>
            </w:r>
          </w:p>
        </w:tc>
        <w:tc>
          <w:tcPr>
            <w:tcW w:w="3940" w:type="dxa"/>
            <w:vAlign w:val="bottom"/>
          </w:tcPr>
          <w:p>
            <w:pPr>
              <w:ind w:left="3300"/>
              <w:spacing w:after="0"/>
              <w:rPr>
                <w:sz w:val="20"/>
                <w:szCs w:val="20"/>
                <w:color w:val="auto"/>
              </w:rPr>
            </w:pPr>
            <w:r>
              <w:rPr>
                <w:rFonts w:ascii="Times New Roman" w:cs="Times New Roman" w:eastAsia="Times New Roman" w:hAnsi="Times New Roman"/>
                <w:sz w:val="17"/>
                <w:szCs w:val="17"/>
                <w:color w:val="auto"/>
              </w:rPr>
              <w:t>By:</w:t>
            </w: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Ryan Bartolucci</w:t>
            </w:r>
          </w:p>
        </w:tc>
      </w:tr>
      <w:tr>
        <w:trPr>
          <w:trHeight w:val="19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3300"/>
              <w:spacing w:after="0"/>
              <w:rPr>
                <w:sz w:val="20"/>
                <w:szCs w:val="20"/>
                <w:color w:val="auto"/>
              </w:rPr>
            </w:pPr>
            <w:r>
              <w:rPr>
                <w:rFonts w:ascii="Times New Roman" w:cs="Times New Roman" w:eastAsia="Times New Roman" w:hAnsi="Times New Roman"/>
                <w:sz w:val="17"/>
                <w:szCs w:val="17"/>
                <w:color w:val="auto"/>
              </w:rPr>
              <w:t>Name:</w:t>
            </w: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Ryan Bartolucci</w:t>
            </w: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940" w:type="dxa"/>
            <w:vAlign w:val="bottom"/>
          </w:tcPr>
          <w:p>
            <w:pPr>
              <w:ind w:left="3300"/>
              <w:spacing w:after="0"/>
              <w:rPr>
                <w:sz w:val="20"/>
                <w:szCs w:val="20"/>
                <w:color w:val="auto"/>
              </w:rPr>
            </w:pPr>
            <w:r>
              <w:rPr>
                <w:rFonts w:ascii="Times New Roman" w:cs="Times New Roman" w:eastAsia="Times New Roman" w:hAnsi="Times New Roman"/>
                <w:sz w:val="17"/>
                <w:szCs w:val="17"/>
                <w:color w:val="auto"/>
              </w:rPr>
              <w:t>Title:</w:t>
            </w: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CAO</w:t>
            </w:r>
          </w:p>
        </w:tc>
      </w:tr>
      <w:tr>
        <w:trPr>
          <w:trHeight w:val="227"/>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20-May-2024</w:t>
            </w:r>
          </w:p>
        </w:tc>
        <w:tc>
          <w:tcPr>
            <w:tcW w:w="3940" w:type="dxa"/>
            <w:vAlign w:val="bottom"/>
          </w:tcPr>
          <w:p>
            <w:pPr>
              <w:ind w:left="3300"/>
              <w:spacing w:after="0"/>
              <w:rPr>
                <w:sz w:val="20"/>
                <w:szCs w:val="20"/>
                <w:color w:val="auto"/>
              </w:rPr>
            </w:pPr>
            <w:r>
              <w:rPr>
                <w:rFonts w:ascii="Times New Roman" w:cs="Times New Roman" w:eastAsia="Times New Roman" w:hAnsi="Times New Roman"/>
                <w:sz w:val="17"/>
                <w:szCs w:val="17"/>
                <w:color w:val="auto"/>
              </w:rPr>
              <w:t>Date:</w:t>
            </w:r>
          </w:p>
        </w:tc>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14-May-2024</w:t>
            </w:r>
          </w:p>
        </w:tc>
      </w:tr>
    </w:tbl>
    <w:p>
      <w:pPr>
        <w:sectPr>
          <w:pgSz w:w="11900" w:h="16838" w:orient="portrait"/>
          <w:cols w:equalWidth="0" w:num="1">
            <w:col w:w="10668"/>
          </w:cols>
          <w:pgMar w:left="612" w:top="262" w:right="619" w:bottom="1440" w:gutter="0" w:footer="0" w:header="0"/>
        </w:sectPr>
      </w:pPr>
    </w:p>
    <w:bookmarkStart w:id="566" w:name="page567"/>
    <w:bookmarkEnd w:id="566"/>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6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 of Tempus Labs, Inc.</w:t>
            </w:r>
          </w:p>
        </w:tc>
      </w:tr>
      <w:tr>
        <w:trPr>
          <w:trHeight w:val="39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97"/>
        </w:trPr>
        <w:tc>
          <w:tcPr>
            <w:tcW w:w="20" w:type="dxa"/>
            <w:vAlign w:val="bottom"/>
          </w:tcPr>
          <w:p>
            <w:pPr>
              <w:spacing w:after="0"/>
              <w:rPr>
                <w:sz w:val="17"/>
                <w:szCs w:val="17"/>
                <w:color w:val="auto"/>
              </w:rPr>
            </w:pPr>
          </w:p>
        </w:tc>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Tempus Compass, LLC (f/k/a Highline Consulting, LLC)</w:t>
            </w: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United States (California)</w:t>
            </w:r>
          </w:p>
        </w:tc>
      </w:tr>
      <w:tr>
        <w:trPr>
          <w:trHeight w:val="209"/>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Tempus Labs Singapore PTE. LTD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Singapore</w:t>
            </w:r>
          </w:p>
        </w:tc>
      </w:tr>
      <w:tr>
        <w:trPr>
          <w:trHeight w:val="209"/>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Tempus Labs Spain, SL</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Spain</w:t>
            </w:r>
          </w:p>
        </w:tc>
      </w:tr>
      <w:tr>
        <w:trPr>
          <w:trHeight w:val="209"/>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Arterys Inc.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 (Delaware)</w:t>
            </w:r>
          </w:p>
        </w:tc>
      </w:tr>
      <w:tr>
        <w:trPr>
          <w:trHeight w:val="209"/>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Arterys Inc. (Canada)</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Canada</w:t>
            </w:r>
          </w:p>
        </w:tc>
      </w:tr>
      <w:tr>
        <w:trPr>
          <w:trHeight w:val="209"/>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Arterys SAS (France)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r>
      <w:tr>
        <w:trPr>
          <w:trHeight w:val="209"/>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Mpirik, Inc.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 (Delaware)</w:t>
            </w:r>
          </w:p>
        </w:tc>
      </w:tr>
      <w:tr>
        <w:trPr>
          <w:trHeight w:val="227"/>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SEngine Precision Medicine, LLC</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 (Delaware)</w:t>
            </w:r>
          </w:p>
        </w:tc>
      </w:tr>
    </w:tbl>
    <w:p>
      <w:pPr>
        <w:sectPr>
          <w:pgSz w:w="11900" w:h="16838" w:orient="portrait"/>
          <w:cols w:equalWidth="0" w:num="1">
            <w:col w:w="10660"/>
          </w:cols>
          <w:pgMar w:left="620" w:top="119" w:right="619" w:bottom="1440" w:gutter="0" w:footer="0" w:header="0"/>
        </w:sectPr>
      </w:pPr>
    </w:p>
    <w:bookmarkStart w:id="567" w:name="page568"/>
    <w:bookmarkEnd w:id="56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2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7"/>
          <w:szCs w:val="17"/>
          <w:color w:val="auto"/>
        </w:rPr>
        <w:t>We hereby consent to the use in this Amendment No. 1 to the Registration Statement on Form S-1 of Tempus AI, Inc. of our report dated February 28, 2024 relating to the financial statements of Tempus AI, Inc., which appears in this Registration Statement.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5, 2024</w:t>
      </w:r>
    </w:p>
    <w:p>
      <w:pPr>
        <w:sectPr>
          <w:pgSz w:w="11900" w:h="16838" w:orient="portrait"/>
          <w:cols w:equalWidth="0" w:num="1">
            <w:col w:w="11300"/>
          </w:cols>
          <w:pgMar w:left="320" w:top="118" w:right="279" w:bottom="1440" w:gutter="0" w:footer="0" w:header="0"/>
        </w:sectPr>
      </w:pPr>
    </w:p>
    <w:bookmarkStart w:id="568" w:name="page569"/>
    <w:bookmarkEnd w:id="568"/>
    <w:p>
      <w:pPr>
        <w:ind w:left="9808"/>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Tempus AI, Inc.</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u w:val="single" w:color="auto"/>
          <w:color w:val="auto"/>
        </w:rPr>
        <w:t>Table 1: Newly Registered Securities</w:t>
      </w:r>
    </w:p>
    <w:p>
      <w:pPr>
        <w:spacing w:after="0" w:line="247" w:lineRule="exact"/>
        <w:rPr>
          <w:sz w:val="20"/>
          <w:szCs w:val="20"/>
          <w:color w:val="auto"/>
        </w:rPr>
      </w:pPr>
    </w:p>
    <w:tbl>
      <w:tblPr>
        <w:tblLayout w:type="fixed"/>
        <w:tblInd w:w="18" w:type="dxa"/>
        <w:tblCellMar>
          <w:top w:w="0" w:type="dxa"/>
          <w:left w:w="0" w:type="dxa"/>
          <w:bottom w:w="0" w:type="dxa"/>
          <w:right w:w="0" w:type="dxa"/>
        </w:tblCellMar>
      </w:tblPr>
      <w:tr>
        <w:trPr>
          <w:trHeight w:val="126"/>
        </w:trPr>
        <w:tc>
          <w:tcPr>
            <w:tcW w:w="2060" w:type="dxa"/>
            <w:vAlign w:val="bottom"/>
            <w:tcBorders>
              <w:top w:val="single" w:sz="8" w:color="auto"/>
              <w:left w:val="single" w:sz="8" w:color="auto"/>
              <w:right w:val="single" w:sz="8" w:color="auto"/>
            </w:tcBorders>
          </w:tcPr>
          <w:p>
            <w:pPr>
              <w:spacing w:after="0"/>
              <w:rPr>
                <w:sz w:val="10"/>
                <w:szCs w:val="10"/>
                <w:color w:val="auto"/>
              </w:rPr>
            </w:pPr>
          </w:p>
        </w:tc>
        <w:tc>
          <w:tcPr>
            <w:tcW w:w="640" w:type="dxa"/>
            <w:vAlign w:val="bottom"/>
            <w:tcBorders>
              <w:top w:val="single" w:sz="8" w:color="auto"/>
              <w:right w:val="single" w:sz="8" w:color="auto"/>
            </w:tcBorders>
          </w:tcPr>
          <w:p>
            <w:pPr>
              <w:spacing w:after="0"/>
              <w:rPr>
                <w:sz w:val="10"/>
                <w:szCs w:val="10"/>
                <w:color w:val="auto"/>
              </w:rPr>
            </w:pPr>
          </w:p>
        </w:tc>
        <w:tc>
          <w:tcPr>
            <w:tcW w:w="2040" w:type="dxa"/>
            <w:vAlign w:val="bottom"/>
            <w:tcBorders>
              <w:top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color w:val="auto"/>
                <w:w w:val="92"/>
              </w:rPr>
              <w:t>Fee</w:t>
            </w:r>
          </w:p>
        </w:tc>
        <w:tc>
          <w:tcPr>
            <w:tcW w:w="960" w:type="dxa"/>
            <w:vAlign w:val="bottom"/>
            <w:tcBorders>
              <w:top w:val="single" w:sz="8" w:color="auto"/>
              <w:right w:val="single" w:sz="8" w:color="auto"/>
            </w:tcBorders>
          </w:tcPr>
          <w:p>
            <w:pPr>
              <w:spacing w:after="0"/>
              <w:rPr>
                <w:sz w:val="10"/>
                <w:szCs w:val="10"/>
                <w:color w:val="auto"/>
              </w:rPr>
            </w:pPr>
          </w:p>
        </w:tc>
        <w:tc>
          <w:tcPr>
            <w:tcW w:w="720" w:type="dxa"/>
            <w:vAlign w:val="bottom"/>
            <w:tcBorders>
              <w:top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color w:val="auto"/>
              </w:rPr>
              <w:t>Proposed</w:t>
            </w:r>
          </w:p>
        </w:tc>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Maximum</w:t>
            </w:r>
          </w:p>
        </w:tc>
        <w:tc>
          <w:tcPr>
            <w:tcW w:w="1060" w:type="dxa"/>
            <w:vAlign w:val="bottom"/>
            <w:tcBorders>
              <w:top w:val="single" w:sz="8" w:color="auto"/>
              <w:right w:val="single" w:sz="8" w:color="auto"/>
            </w:tcBorders>
          </w:tcPr>
          <w:p>
            <w:pPr>
              <w:spacing w:after="0"/>
              <w:rPr>
                <w:sz w:val="10"/>
                <w:szCs w:val="10"/>
                <w:color w:val="auto"/>
              </w:rPr>
            </w:pPr>
          </w:p>
        </w:tc>
        <w:tc>
          <w:tcPr>
            <w:tcW w:w="11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60" w:type="dxa"/>
            <w:vAlign w:val="bottom"/>
            <w:tcBorders>
              <w:left w:val="single" w:sz="8" w:color="auto"/>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2"/>
                <w:szCs w:val="12"/>
                <w:color w:val="auto"/>
              </w:rPr>
              <w:t>Calculation</w:t>
            </w: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2"/>
                <w:szCs w:val="12"/>
                <w:color w:val="auto"/>
                <w:w w:val="99"/>
              </w:rPr>
              <w:t>Maximum</w:t>
            </w:r>
          </w:p>
        </w:tc>
        <w:tc>
          <w:tcPr>
            <w:tcW w:w="12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6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Security</w:t>
            </w:r>
          </w:p>
        </w:tc>
        <w:tc>
          <w:tcPr>
            <w:tcW w:w="8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or Carry</w:t>
            </w:r>
          </w:p>
        </w:tc>
        <w:tc>
          <w:tcPr>
            <w:tcW w:w="9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rPr>
              <w:t>Offering</w:t>
            </w:r>
          </w:p>
        </w:tc>
        <w:tc>
          <w:tcPr>
            <w:tcW w:w="12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9"/>
              </w:rPr>
              <w:t>Aggregate</w:t>
            </w:r>
          </w:p>
        </w:tc>
        <w:tc>
          <w:tcPr>
            <w:tcW w:w="10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rPr>
              <w:t>Amount of</w:t>
            </w:r>
          </w:p>
        </w:tc>
        <w:tc>
          <w:tcPr>
            <w:tcW w:w="0" w:type="dxa"/>
            <w:vAlign w:val="bottom"/>
          </w:tcPr>
          <w:p>
            <w:pPr>
              <w:spacing w:after="0"/>
              <w:rPr>
                <w:sz w:val="1"/>
                <w:szCs w:val="1"/>
                <w:color w:val="auto"/>
              </w:rPr>
            </w:pPr>
          </w:p>
        </w:tc>
      </w:tr>
      <w:tr>
        <w:trPr>
          <w:trHeight w:val="131"/>
        </w:trPr>
        <w:tc>
          <w:tcPr>
            <w:tcW w:w="206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jc w:val="center"/>
              <w:ind w:left="10"/>
              <w:spacing w:after="0" w:line="131" w:lineRule="exact"/>
              <w:rPr>
                <w:sz w:val="20"/>
                <w:szCs w:val="20"/>
                <w:color w:val="auto"/>
              </w:rPr>
            </w:pPr>
            <w:r>
              <w:rPr>
                <w:rFonts w:ascii="Times New Roman" w:cs="Times New Roman" w:eastAsia="Times New Roman" w:hAnsi="Times New Roman"/>
                <w:sz w:val="12"/>
                <w:szCs w:val="12"/>
                <w:color w:val="auto"/>
                <w:w w:val="99"/>
              </w:rPr>
              <w:t>Security</w:t>
            </w:r>
          </w:p>
        </w:tc>
        <w:tc>
          <w:tcPr>
            <w:tcW w:w="2040" w:type="dxa"/>
            <w:vAlign w:val="bottom"/>
            <w:tcBorders>
              <w:right w:val="single" w:sz="8" w:color="auto"/>
            </w:tcBorders>
          </w:tcPr>
          <w:p>
            <w:pPr>
              <w:jc w:val="center"/>
              <w:ind w:left="20"/>
              <w:spacing w:after="0" w:line="131" w:lineRule="exact"/>
              <w:rPr>
                <w:sz w:val="20"/>
                <w:szCs w:val="20"/>
                <w:color w:val="auto"/>
              </w:rPr>
            </w:pPr>
            <w:r>
              <w:rPr>
                <w:rFonts w:ascii="Times New Roman" w:cs="Times New Roman" w:eastAsia="Times New Roman" w:hAnsi="Times New Roman"/>
                <w:sz w:val="12"/>
                <w:szCs w:val="12"/>
                <w:color w:val="auto"/>
                <w:w w:val="99"/>
              </w:rPr>
              <w:t>Class</w:t>
            </w:r>
          </w:p>
        </w:tc>
        <w:tc>
          <w:tcPr>
            <w:tcW w:w="8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8"/>
              </w:rPr>
              <w:t>Forward</w:t>
            </w:r>
          </w:p>
        </w:tc>
        <w:tc>
          <w:tcPr>
            <w:tcW w:w="960" w:type="dxa"/>
            <w:vAlign w:val="bottom"/>
            <w:tcBorders>
              <w:right w:val="single" w:sz="8" w:color="auto"/>
            </w:tcBorders>
          </w:tcPr>
          <w:p>
            <w:pPr>
              <w:ind w:left="320"/>
              <w:spacing w:after="0" w:line="131" w:lineRule="exact"/>
              <w:rPr>
                <w:sz w:val="20"/>
                <w:szCs w:val="20"/>
                <w:color w:val="auto"/>
              </w:rPr>
            </w:pPr>
            <w:r>
              <w:rPr>
                <w:rFonts w:ascii="Times New Roman" w:cs="Times New Roman" w:eastAsia="Times New Roman" w:hAnsi="Times New Roman"/>
                <w:sz w:val="12"/>
                <w:szCs w:val="12"/>
                <w:color w:val="auto"/>
              </w:rPr>
              <w:t>Amount</w:t>
            </w:r>
          </w:p>
        </w:tc>
        <w:tc>
          <w:tcPr>
            <w:tcW w:w="720" w:type="dxa"/>
            <w:vAlign w:val="bottom"/>
            <w:tcBorders>
              <w:right w:val="single" w:sz="8" w:color="auto"/>
            </w:tcBorders>
          </w:tcPr>
          <w:p>
            <w:pPr>
              <w:jc w:val="center"/>
              <w:ind w:left="15"/>
              <w:spacing w:after="0" w:line="131" w:lineRule="exact"/>
              <w:rPr>
                <w:sz w:val="20"/>
                <w:szCs w:val="20"/>
                <w:color w:val="auto"/>
              </w:rPr>
            </w:pPr>
            <w:r>
              <w:rPr>
                <w:rFonts w:ascii="Times New Roman" w:cs="Times New Roman" w:eastAsia="Times New Roman" w:hAnsi="Times New Roman"/>
                <w:sz w:val="12"/>
                <w:szCs w:val="12"/>
                <w:color w:val="auto"/>
              </w:rPr>
              <w:t>Price Per</w:t>
            </w:r>
          </w:p>
        </w:tc>
        <w:tc>
          <w:tcPr>
            <w:tcW w:w="12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rPr>
              <w:t>Offering</w:t>
            </w:r>
          </w:p>
        </w:tc>
        <w:tc>
          <w:tcPr>
            <w:tcW w:w="10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rPr>
              <w:t>Fee</w:t>
            </w:r>
          </w:p>
        </w:tc>
        <w:tc>
          <w:tcPr>
            <w:tcW w:w="116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8"/>
              </w:rPr>
              <w:t>Registration</w:t>
            </w:r>
          </w:p>
        </w:tc>
        <w:tc>
          <w:tcPr>
            <w:tcW w:w="0" w:type="dxa"/>
            <w:vAlign w:val="bottom"/>
          </w:tcPr>
          <w:p>
            <w:pPr>
              <w:spacing w:after="0"/>
              <w:rPr>
                <w:sz w:val="1"/>
                <w:szCs w:val="1"/>
                <w:color w:val="auto"/>
              </w:rPr>
            </w:pPr>
          </w:p>
        </w:tc>
      </w:tr>
      <w:tr>
        <w:trPr>
          <w:trHeight w:val="157"/>
        </w:trPr>
        <w:tc>
          <w:tcPr>
            <w:tcW w:w="20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2"/>
                <w:szCs w:val="12"/>
                <w:color w:val="auto"/>
                <w:w w:val="97"/>
              </w:rPr>
              <w:t>Type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Rule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Registered(1)</w:t>
            </w:r>
          </w:p>
        </w:tc>
        <w:tc>
          <w:tcPr>
            <w:tcW w:w="72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2"/>
                <w:szCs w:val="12"/>
                <w:color w:val="auto"/>
              </w:rPr>
              <w:t>Unit(2)</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Price(3)</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Rate</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Fee(4)</w:t>
            </w:r>
          </w:p>
        </w:tc>
        <w:tc>
          <w:tcPr>
            <w:tcW w:w="0" w:type="dxa"/>
            <w:vAlign w:val="bottom"/>
          </w:tcPr>
          <w:p>
            <w:pPr>
              <w:spacing w:after="0"/>
              <w:rPr>
                <w:sz w:val="1"/>
                <w:szCs w:val="1"/>
                <w:color w:val="auto"/>
              </w:rPr>
            </w:pPr>
          </w:p>
        </w:tc>
      </w:tr>
      <w:tr>
        <w:trPr>
          <w:trHeight w:val="184"/>
        </w:trPr>
        <w:tc>
          <w:tcPr>
            <w:tcW w:w="2060" w:type="dxa"/>
            <w:vAlign w:val="bottom"/>
            <w:tcBorders>
              <w:left w:val="single" w:sz="8" w:color="auto"/>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7"/>
                <w:szCs w:val="17"/>
                <w:color w:val="auto"/>
              </w:rPr>
              <w:t>Class A common stock,</w:t>
            </w:r>
          </w:p>
        </w:tc>
        <w:tc>
          <w:tcPr>
            <w:tcW w:w="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60" w:type="dxa"/>
            <w:vAlign w:val="bottom"/>
            <w:tcBorders>
              <w:left w:val="single" w:sz="8" w:color="auto"/>
              <w:right w:val="single" w:sz="8" w:color="auto"/>
            </w:tcBorders>
            <w:vMerge w:val="restart"/>
          </w:tcPr>
          <w:p>
            <w:pPr>
              <w:ind w:left="540"/>
              <w:spacing w:after="0"/>
              <w:rPr>
                <w:sz w:val="20"/>
                <w:szCs w:val="20"/>
                <w:color w:val="auto"/>
              </w:rPr>
            </w:pPr>
            <w:r>
              <w:rPr>
                <w:rFonts w:ascii="Times New Roman" w:cs="Times New Roman" w:eastAsia="Times New Roman" w:hAnsi="Times New Roman"/>
                <w:sz w:val="17"/>
                <w:szCs w:val="17"/>
                <w:color w:val="auto"/>
              </w:rPr>
              <w:t>Fees to Be Paid</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par value</w:t>
            </w:r>
          </w:p>
        </w:tc>
        <w:tc>
          <w:tcPr>
            <w:tcW w:w="8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60" w:type="dxa"/>
            <w:vAlign w:val="bottom"/>
            <w:tcBorders>
              <w:left w:val="single" w:sz="8" w:color="auto"/>
              <w:right w:val="single" w:sz="8" w:color="auto"/>
            </w:tcBorders>
            <w:vMerge w:val="continue"/>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$0.0001 per</w:t>
            </w:r>
          </w:p>
        </w:tc>
        <w:tc>
          <w:tcPr>
            <w:tcW w:w="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tcBorders>
              <w:left w:val="single" w:sz="8" w:color="auto"/>
              <w:righ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457(a) </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12,765,000</w:t>
            </w:r>
          </w:p>
        </w:tc>
        <w:tc>
          <w:tcPr>
            <w:tcW w:w="72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$37.00</w:t>
            </w:r>
          </w:p>
        </w:tc>
        <w:tc>
          <w:tcPr>
            <w:tcW w:w="128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7"/>
                <w:szCs w:val="17"/>
                <w:color w:val="auto"/>
              </w:rPr>
              <w:t>$472,305,000 </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0.00014760 </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$69,712.22</w:t>
            </w:r>
          </w:p>
        </w:tc>
        <w:tc>
          <w:tcPr>
            <w:tcW w:w="0" w:type="dxa"/>
            <w:vAlign w:val="bottom"/>
          </w:tcPr>
          <w:p>
            <w:pPr>
              <w:spacing w:after="0"/>
              <w:rPr>
                <w:sz w:val="1"/>
                <w:szCs w:val="1"/>
                <w:color w:val="auto"/>
              </w:rPr>
            </w:pPr>
          </w:p>
        </w:tc>
      </w:tr>
      <w:tr>
        <w:trPr>
          <w:trHeight w:val="202"/>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center"/>
              <w:ind w:left="320"/>
              <w:spacing w:after="0"/>
              <w:rPr>
                <w:sz w:val="20"/>
                <w:szCs w:val="20"/>
                <w:color w:val="auto"/>
              </w:rPr>
            </w:pPr>
            <w:r>
              <w:rPr>
                <w:rFonts w:ascii="Times New Roman" w:cs="Times New Roman" w:eastAsia="Times New Roman" w:hAnsi="Times New Roman"/>
                <w:sz w:val="17"/>
                <w:szCs w:val="17"/>
                <w:color w:val="auto"/>
              </w:rPr>
              <w:t>Total Offering Amounts </w:t>
            </w:r>
          </w:p>
        </w:tc>
        <w:tc>
          <w:tcPr>
            <w:tcW w:w="96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7"/>
                <w:szCs w:val="17"/>
                <w:color w:val="auto"/>
              </w:rPr>
              <w:t>$472,305,000 </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$69,712.22</w:t>
            </w:r>
          </w:p>
        </w:tc>
        <w:tc>
          <w:tcPr>
            <w:tcW w:w="0" w:type="dxa"/>
            <w:vAlign w:val="bottom"/>
          </w:tcPr>
          <w:p>
            <w:pPr>
              <w:spacing w:after="0"/>
              <w:rPr>
                <w:sz w:val="1"/>
                <w:szCs w:val="1"/>
                <w:color w:val="auto"/>
              </w:rPr>
            </w:pPr>
          </w:p>
        </w:tc>
      </w:tr>
      <w:tr>
        <w:trPr>
          <w:trHeight w:val="202"/>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center"/>
              <w:ind w:left="300"/>
              <w:spacing w:after="0"/>
              <w:rPr>
                <w:sz w:val="20"/>
                <w:szCs w:val="20"/>
                <w:color w:val="auto"/>
              </w:rPr>
            </w:pPr>
            <w:r>
              <w:rPr>
                <w:rFonts w:ascii="Times New Roman" w:cs="Times New Roman" w:eastAsia="Times New Roman" w:hAnsi="Times New Roman"/>
                <w:sz w:val="17"/>
                <w:szCs w:val="17"/>
                <w:color w:val="auto"/>
              </w:rPr>
              <w:t>Total Fees Previously Paid </w:t>
            </w:r>
          </w:p>
        </w:tc>
        <w:tc>
          <w:tcPr>
            <w:tcW w:w="96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14,760.00(5)</w:t>
            </w:r>
          </w:p>
        </w:tc>
        <w:tc>
          <w:tcPr>
            <w:tcW w:w="0" w:type="dxa"/>
            <w:vAlign w:val="bottom"/>
          </w:tcPr>
          <w:p>
            <w:pPr>
              <w:spacing w:after="0"/>
              <w:rPr>
                <w:sz w:val="1"/>
                <w:szCs w:val="1"/>
                <w:color w:val="auto"/>
              </w:rPr>
            </w:pPr>
          </w:p>
        </w:tc>
      </w:tr>
      <w:tr>
        <w:trPr>
          <w:trHeight w:val="202"/>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center"/>
              <w:ind w:left="320"/>
              <w:spacing w:after="0"/>
              <w:rPr>
                <w:sz w:val="20"/>
                <w:szCs w:val="20"/>
                <w:color w:val="auto"/>
              </w:rPr>
            </w:pPr>
            <w:r>
              <w:rPr>
                <w:rFonts w:ascii="Times New Roman" w:cs="Times New Roman" w:eastAsia="Times New Roman" w:hAnsi="Times New Roman"/>
                <w:sz w:val="17"/>
                <w:szCs w:val="17"/>
                <w:color w:val="auto"/>
              </w:rPr>
              <w:t>Total Fee Offsets </w:t>
            </w:r>
          </w:p>
        </w:tc>
        <w:tc>
          <w:tcPr>
            <w:tcW w:w="96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60" w:type="dxa"/>
            <w:vAlign w:val="bottom"/>
            <w:tcBorders>
              <w:left w:val="single" w:sz="8" w:color="auto"/>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center"/>
              <w:ind w:left="1000"/>
              <w:spacing w:after="0"/>
              <w:rPr>
                <w:sz w:val="20"/>
                <w:szCs w:val="20"/>
                <w:color w:val="auto"/>
              </w:rPr>
            </w:pPr>
            <w:r>
              <w:rPr>
                <w:rFonts w:ascii="Times New Roman" w:cs="Times New Roman" w:eastAsia="Times New Roman" w:hAnsi="Times New Roman"/>
                <w:sz w:val="17"/>
                <w:szCs w:val="17"/>
                <w:color w:val="auto"/>
              </w:rPr>
              <w:t>Net Fee Due </w:t>
            </w: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$54,952.22</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28" w:hanging="428"/>
        <w:spacing w:after="0"/>
        <w:tabs>
          <w:tab w:leader="none" w:pos="428"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up to 1,665,000 additional shares that the underwriters have the option to purchase from the Registrant, if any.</w:t>
      </w:r>
    </w:p>
    <w:p>
      <w:pPr>
        <w:spacing w:after="0" w:line="31" w:lineRule="exact"/>
        <w:rPr>
          <w:rFonts w:ascii="Times New Roman" w:cs="Times New Roman" w:eastAsia="Times New Roman" w:hAnsi="Times New Roman"/>
          <w:sz w:val="17"/>
          <w:szCs w:val="17"/>
          <w:color w:val="auto"/>
        </w:rPr>
      </w:pPr>
    </w:p>
    <w:p>
      <w:pPr>
        <w:ind w:left="428" w:right="440" w:hanging="428"/>
        <w:spacing w:after="0" w:line="256" w:lineRule="auto"/>
        <w:tabs>
          <w:tab w:leader="none" w:pos="428"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computing the amount of the registration fee pursuant to Rule 457(a) under the Securities Act of 1933, as amended (the “Securities Act”).</w:t>
      </w:r>
    </w:p>
    <w:p>
      <w:pPr>
        <w:spacing w:after="0" w:line="1"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aggregate offering price of additional shares that the underwriters have the option to purchase from the Registrant, if any.</w:t>
      </w:r>
    </w:p>
    <w:p>
      <w:pPr>
        <w:spacing w:after="0" w:line="13" w:lineRule="exact"/>
        <w:rPr>
          <w:rFonts w:ascii="Times New Roman" w:cs="Times New Roman" w:eastAsia="Times New Roman" w:hAnsi="Times New Roman"/>
          <w:sz w:val="17"/>
          <w:szCs w:val="17"/>
          <w:color w:val="auto"/>
        </w:rPr>
      </w:pPr>
    </w:p>
    <w:p>
      <w:pPr>
        <w:ind w:left="428" w:hanging="428"/>
        <w:spacing w:after="0"/>
        <w:tabs>
          <w:tab w:leader="none" w:pos="428"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pursuant to Rule 457(a) under the Securities Act.</w:t>
      </w:r>
    </w:p>
    <w:p>
      <w:pPr>
        <w:spacing w:after="0" w:line="13" w:lineRule="exact"/>
        <w:rPr>
          <w:rFonts w:ascii="Times New Roman" w:cs="Times New Roman" w:eastAsia="Times New Roman" w:hAnsi="Times New Roman"/>
          <w:sz w:val="17"/>
          <w:szCs w:val="17"/>
          <w:color w:val="auto"/>
        </w:rPr>
      </w:pPr>
    </w:p>
    <w:p>
      <w:pPr>
        <w:ind w:left="428" w:right="360" w:hanging="428"/>
        <w:spacing w:after="0" w:line="273" w:lineRule="auto"/>
        <w:tabs>
          <w:tab w:leader="none" w:pos="428"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previously paid a registration fee of $14,760 in connection with the initial filing of this Registration Statement on Form S-1 on May 20, 2024.</w:t>
      </w:r>
    </w:p>
    <w:sectPr>
      <w:pgSz w:w="11900" w:h="16838" w:orient="portrait"/>
      <w:cols w:equalWidth="0" w:num="1">
        <w:col w:w="10668"/>
      </w:cols>
      <w:pgMar w:left="612" w:top="11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BEE5A5B"/>
    <w:multiLevelType w:val="hybridMultilevel"/>
    <w:lvl w:ilvl="0">
      <w:lvlJc w:val="left"/>
      <w:lvlText w:val="•"/>
      <w:numFmt w:val="bullet"/>
      <w:start w:val="1"/>
    </w:lvl>
  </w:abstractNum>
  <w:abstractNum w:abstractNumId="1">
    <w:nsid w:val="5551B9F3"/>
    <w:multiLevelType w:val="hybridMultilevel"/>
    <w:lvl w:ilvl="0">
      <w:lvlJc w:val="left"/>
      <w:lvlText w:val="•"/>
      <w:numFmt w:val="bullet"/>
      <w:start w:val="1"/>
    </w:lvl>
  </w:abstractNum>
  <w:abstractNum w:abstractNumId="2">
    <w:nsid w:val="24F6AB8E"/>
    <w:multiLevelType w:val="hybridMultilevel"/>
    <w:lvl w:ilvl="0">
      <w:lvlJc w:val="left"/>
      <w:lvlText w:val="•"/>
      <w:numFmt w:val="bullet"/>
      <w:start w:val="1"/>
    </w:lvl>
  </w:abstractNum>
  <w:abstractNum w:abstractNumId="3">
    <w:nsid w:val="634C574C"/>
    <w:multiLevelType w:val="hybridMultilevel"/>
    <w:lvl w:ilvl="0">
      <w:lvlJc w:val="left"/>
      <w:lvlText w:val="•"/>
      <w:numFmt w:val="bullet"/>
      <w:start w:val="1"/>
    </w:lvl>
  </w:abstractNum>
  <w:abstractNum w:abstractNumId="4">
    <w:nsid w:val="24E99DD7"/>
    <w:multiLevelType w:val="hybridMultilevel"/>
    <w:lvl w:ilvl="0">
      <w:lvlJc w:val="left"/>
      <w:lvlText w:val="•"/>
      <w:numFmt w:val="bullet"/>
      <w:start w:val="1"/>
    </w:lvl>
  </w:abstractNum>
  <w:abstractNum w:abstractNumId="5">
    <w:nsid w:val="2A31B62D"/>
    <w:multiLevelType w:val="hybridMultilevel"/>
    <w:lvl w:ilvl="0">
      <w:lvlJc w:val="left"/>
      <w:lvlText w:val="•"/>
      <w:numFmt w:val="bullet"/>
      <w:start w:val="1"/>
    </w:lvl>
  </w:abstractNum>
  <w:abstractNum w:abstractNumId="6">
    <w:nsid w:val="1849C29B"/>
    <w:multiLevelType w:val="hybridMultilevel"/>
    <w:lvl w:ilvl="0">
      <w:lvlJc w:val="left"/>
      <w:lvlText w:val="•"/>
      <w:numFmt w:val="bullet"/>
      <w:start w:val="1"/>
    </w:lvl>
  </w:abstractNum>
  <w:abstractNum w:abstractNumId="7">
    <w:nsid w:val="7DFF9D09"/>
    <w:multiLevelType w:val="hybridMultilevel"/>
    <w:lvl w:ilvl="0">
      <w:lvlJc w:val="left"/>
      <w:lvlText w:val="•"/>
      <w:numFmt w:val="bullet"/>
      <w:start w:val="1"/>
    </w:lvl>
  </w:abstractNum>
  <w:abstractNum w:abstractNumId="8">
    <w:nsid w:val="754342"/>
    <w:multiLevelType w:val="hybridMultilevel"/>
    <w:lvl w:ilvl="0">
      <w:lvlJc w:val="left"/>
      <w:lvlText w:val="•"/>
      <w:numFmt w:val="bullet"/>
      <w:start w:val="1"/>
    </w:lvl>
  </w:abstractNum>
  <w:abstractNum w:abstractNumId="9">
    <w:nsid w:val="69E7F3E5"/>
    <w:multiLevelType w:val="hybridMultilevel"/>
    <w:lvl w:ilvl="0">
      <w:lvlJc w:val="left"/>
      <w:lvlText w:val="•"/>
      <w:numFmt w:val="bullet"/>
      <w:start w:val="1"/>
    </w:lvl>
  </w:abstractNum>
  <w:abstractNum w:abstractNumId="10">
    <w:nsid w:val="2A6DE806"/>
    <w:multiLevelType w:val="hybridMultilevel"/>
    <w:lvl w:ilvl="0">
      <w:lvlJc w:val="left"/>
      <w:lvlText w:val="(%1)"/>
      <w:numFmt w:val="decimal"/>
      <w:start w:val="1"/>
    </w:lvl>
  </w:abstractNum>
  <w:abstractNum w:abstractNumId="11">
    <w:nsid w:val="1816F8C4"/>
    <w:multiLevelType w:val="hybridMultilevel"/>
    <w:lvl w:ilvl="0">
      <w:lvlJc w:val="left"/>
      <w:lvlText w:val="(%1)"/>
      <w:numFmt w:val="decimal"/>
      <w:start w:val="1"/>
    </w:lvl>
  </w:abstractNum>
  <w:abstractNum w:abstractNumId="12">
    <w:nsid w:val="37DF2233"/>
    <w:multiLevelType w:val="hybridMultilevel"/>
    <w:lvl w:ilvl="0">
      <w:lvlJc w:val="left"/>
      <w:lvlText w:val="(%1)"/>
      <w:numFmt w:val="decimal"/>
      <w:start w:val="1"/>
    </w:lvl>
  </w:abstractNum>
  <w:abstractNum w:abstractNumId="13">
    <w:nsid w:val="7AB49DAF"/>
    <w:multiLevelType w:val="hybridMultilevel"/>
    <w:lvl w:ilvl="0">
      <w:lvlJc w:val="left"/>
      <w:lvlText w:val="%1"/>
      <w:numFmt w:val="decimal"/>
      <w:start w:val="1"/>
    </w:lvl>
    <w:lvl w:ilvl="1">
      <w:lvlJc w:val="left"/>
      <w:lvlText w:val="(%2)"/>
      <w:numFmt w:val="lowerRoman"/>
      <w:start w:val="1"/>
    </w:lvl>
  </w:abstractNum>
  <w:abstractNum w:abstractNumId="14">
    <w:nsid w:val="759F82CD"/>
    <w:multiLevelType w:val="hybridMultilevel"/>
    <w:lvl w:ilvl="0">
      <w:lvlJc w:val="left"/>
      <w:lvlText w:val="(%1)"/>
      <w:numFmt w:val="decimal"/>
      <w:start w:val="2"/>
    </w:lvl>
    <w:lvl w:ilvl="1">
      <w:lvlJc w:val="left"/>
      <w:lvlText w:val="%2"/>
      <w:numFmt w:val="lowerRoman"/>
      <w:start w:val="1"/>
    </w:lvl>
  </w:abstractNum>
  <w:abstractNum w:abstractNumId="15">
    <w:nsid w:val="61E74EA3"/>
    <w:multiLevelType w:val="hybridMultilevel"/>
    <w:lvl w:ilvl="0">
      <w:lvlJc w:val="left"/>
      <w:lvlText w:val="•"/>
      <w:numFmt w:val="bullet"/>
      <w:start w:val="1"/>
    </w:lvl>
  </w:abstractNum>
  <w:abstractNum w:abstractNumId="16">
    <w:nsid w:val="597B4D84"/>
    <w:multiLevelType w:val="hybridMultilevel"/>
    <w:lvl w:ilvl="0">
      <w:lvlJc w:val="left"/>
      <w:lvlText w:val="•"/>
      <w:numFmt w:val="bullet"/>
      <w:start w:val="1"/>
    </w:lvl>
  </w:abstractNum>
  <w:abstractNum w:abstractNumId="17">
    <w:nsid w:val="F819E7F"/>
    <w:multiLevelType w:val="hybridMultilevel"/>
    <w:lvl w:ilvl="0">
      <w:lvlJc w:val="left"/>
      <w:lvlText w:val="•"/>
      <w:numFmt w:val="bullet"/>
      <w:start w:val="1"/>
    </w:lvl>
  </w:abstractNum>
  <w:abstractNum w:abstractNumId="18">
    <w:nsid w:val="57C7D42D"/>
    <w:multiLevelType w:val="hybridMultilevel"/>
    <w:lvl w:ilvl="0">
      <w:lvlJc w:val="left"/>
      <w:lvlText w:val="•"/>
      <w:numFmt w:val="bullet"/>
      <w:start w:val="1"/>
    </w:lvl>
  </w:abstractNum>
  <w:abstractNum w:abstractNumId="19">
    <w:nsid w:val="312167AD"/>
    <w:multiLevelType w:val="hybridMultilevel"/>
    <w:lvl w:ilvl="0">
      <w:lvlJc w:val="left"/>
      <w:lvlText w:val="•"/>
      <w:numFmt w:val="bullet"/>
      <w:start w:val="1"/>
    </w:lvl>
  </w:abstractNum>
  <w:abstractNum w:abstractNumId="20">
    <w:nsid w:val="631B64D4"/>
    <w:multiLevelType w:val="hybridMultilevel"/>
    <w:lvl w:ilvl="0">
      <w:lvlJc w:val="left"/>
      <w:lvlText w:val="•"/>
      <w:numFmt w:val="bullet"/>
      <w:start w:val="1"/>
    </w:lvl>
  </w:abstractNum>
  <w:abstractNum w:abstractNumId="21">
    <w:nsid w:val="78B5E776"/>
    <w:multiLevelType w:val="hybridMultilevel"/>
    <w:lvl w:ilvl="0">
      <w:lvlJc w:val="left"/>
      <w:lvlText w:val="•"/>
      <w:numFmt w:val="bullet"/>
      <w:start w:val="1"/>
    </w:lvl>
  </w:abstractNum>
  <w:abstractNum w:abstractNumId="22">
    <w:nsid w:val="75486E47"/>
    <w:multiLevelType w:val="hybridMultilevel"/>
    <w:lvl w:ilvl="0">
      <w:lvlJc w:val="left"/>
      <w:lvlText w:val="•"/>
      <w:numFmt w:val="bullet"/>
      <w:start w:val="1"/>
    </w:lvl>
  </w:abstractNum>
  <w:abstractNum w:abstractNumId="23">
    <w:nsid w:val="6E534CDE"/>
    <w:multiLevelType w:val="hybridMultilevel"/>
    <w:lvl w:ilvl="0">
      <w:lvlJc w:val="left"/>
      <w:lvlText w:val="•"/>
      <w:numFmt w:val="bullet"/>
      <w:start w:val="1"/>
    </w:lvl>
  </w:abstractNum>
  <w:abstractNum w:abstractNumId="24">
    <w:nsid w:val="1A0DDE32"/>
    <w:multiLevelType w:val="hybridMultilevel"/>
    <w:lvl w:ilvl="0">
      <w:lvlJc w:val="left"/>
      <w:lvlText w:val="•"/>
      <w:numFmt w:val="bullet"/>
      <w:start w:val="1"/>
    </w:lvl>
  </w:abstractNum>
  <w:abstractNum w:abstractNumId="25">
    <w:nsid w:val="65968C1C"/>
    <w:multiLevelType w:val="hybridMultilevel"/>
    <w:lvl w:ilvl="0">
      <w:lvlJc w:val="left"/>
      <w:lvlText w:val="•"/>
      <w:numFmt w:val="bullet"/>
      <w:start w:val="1"/>
    </w:lvl>
  </w:abstractNum>
  <w:abstractNum w:abstractNumId="26">
    <w:nsid w:val="46263DEC"/>
    <w:multiLevelType w:val="hybridMultilevel"/>
    <w:lvl w:ilvl="0">
      <w:lvlJc w:val="left"/>
      <w:lvlText w:val="•"/>
      <w:numFmt w:val="bullet"/>
      <w:start w:val="1"/>
    </w:lvl>
  </w:abstractNum>
  <w:abstractNum w:abstractNumId="27">
    <w:nsid w:val="260D8C4A"/>
    <w:multiLevelType w:val="hybridMultilevel"/>
    <w:lvl w:ilvl="0">
      <w:lvlJc w:val="left"/>
      <w:lvlText w:val="•"/>
      <w:numFmt w:val="bullet"/>
      <w:start w:val="1"/>
    </w:lvl>
  </w:abstractNum>
  <w:abstractNum w:abstractNumId="28">
    <w:nsid w:val="73D4D3C4"/>
    <w:multiLevelType w:val="hybridMultilevel"/>
    <w:lvl w:ilvl="0">
      <w:lvlJc w:val="left"/>
      <w:lvlText w:val="•"/>
      <w:numFmt w:val="bullet"/>
      <w:start w:val="1"/>
    </w:lvl>
  </w:abstractNum>
  <w:abstractNum w:abstractNumId="29">
    <w:nsid w:val="746F2E30"/>
    <w:multiLevelType w:val="hybridMultilevel"/>
    <w:lvl w:ilvl="0">
      <w:lvlJc w:val="left"/>
      <w:lvlText w:val="•"/>
      <w:numFmt w:val="bullet"/>
      <w:start w:val="1"/>
    </w:lvl>
  </w:abstractNum>
  <w:abstractNum w:abstractNumId="30">
    <w:nsid w:val="6FDE8AF6"/>
    <w:multiLevelType w:val="hybridMultilevel"/>
    <w:lvl w:ilvl="0">
      <w:lvlJc w:val="left"/>
      <w:lvlText w:val="•"/>
      <w:numFmt w:val="bullet"/>
      <w:start w:val="1"/>
    </w:lvl>
  </w:abstractNum>
  <w:abstractNum w:abstractNumId="31">
    <w:nsid w:val="3FC32E20"/>
    <w:multiLevelType w:val="hybridMultilevel"/>
    <w:lvl w:ilvl="0">
      <w:lvlJc w:val="left"/>
      <w:lvlText w:val="•"/>
      <w:numFmt w:val="bullet"/>
      <w:start w:val="1"/>
    </w:lvl>
  </w:abstractNum>
  <w:abstractNum w:abstractNumId="32">
    <w:nsid w:val="49C0E823"/>
    <w:multiLevelType w:val="hybridMultilevel"/>
    <w:lvl w:ilvl="0">
      <w:lvlJc w:val="left"/>
      <w:lvlText w:val="•"/>
      <w:numFmt w:val="bullet"/>
      <w:start w:val="1"/>
    </w:lvl>
  </w:abstractNum>
  <w:abstractNum w:abstractNumId="33">
    <w:nsid w:val="14D53685"/>
    <w:multiLevelType w:val="hybridMultilevel"/>
    <w:lvl w:ilvl="0">
      <w:lvlJc w:val="left"/>
      <w:lvlText w:val="•"/>
      <w:numFmt w:val="bullet"/>
      <w:start w:val="1"/>
    </w:lvl>
  </w:abstractNum>
  <w:abstractNum w:abstractNumId="34">
    <w:nsid w:val="230F856C"/>
    <w:multiLevelType w:val="hybridMultilevel"/>
    <w:lvl w:ilvl="0">
      <w:lvlJc w:val="left"/>
      <w:lvlText w:val="•"/>
      <w:numFmt w:val="bullet"/>
      <w:start w:val="1"/>
    </w:lvl>
  </w:abstractNum>
  <w:abstractNum w:abstractNumId="35">
    <w:nsid w:val="6EAA85FB"/>
    <w:multiLevelType w:val="hybridMultilevel"/>
    <w:lvl w:ilvl="0">
      <w:lvlJc w:val="left"/>
      <w:lvlText w:val="•"/>
      <w:numFmt w:val="bullet"/>
      <w:start w:val="1"/>
    </w:lvl>
  </w:abstractNum>
  <w:abstractNum w:abstractNumId="36">
    <w:nsid w:val="3F06ECB2"/>
    <w:multiLevelType w:val="hybridMultilevel"/>
    <w:lvl w:ilvl="0">
      <w:lvlJc w:val="left"/>
      <w:lvlText w:val="•"/>
      <w:numFmt w:val="bullet"/>
      <w:start w:val="1"/>
    </w:lvl>
  </w:abstractNum>
  <w:abstractNum w:abstractNumId="37">
    <w:nsid w:val="3B594807"/>
    <w:multiLevelType w:val="hybridMultilevel"/>
    <w:lvl w:ilvl="0">
      <w:lvlJc w:val="left"/>
      <w:lvlText w:val="•"/>
      <w:numFmt w:val="bullet"/>
      <w:start w:val="1"/>
    </w:lvl>
  </w:abstractNum>
  <w:abstractNum w:abstractNumId="38">
    <w:nsid w:val="6CAA2304"/>
    <w:multiLevelType w:val="hybridMultilevel"/>
    <w:lvl w:ilvl="0">
      <w:lvlJc w:val="left"/>
      <w:lvlText w:val="•"/>
      <w:numFmt w:val="bullet"/>
      <w:start w:val="1"/>
    </w:lvl>
  </w:abstractNum>
  <w:abstractNum w:abstractNumId="39">
    <w:nsid w:val="3F7C2FF4"/>
    <w:multiLevelType w:val="hybridMultilevel"/>
    <w:lvl w:ilvl="0">
      <w:lvlJc w:val="left"/>
      <w:lvlText w:val="•"/>
      <w:numFmt w:val="bullet"/>
      <w:start w:val="1"/>
    </w:lvl>
  </w:abstractNum>
  <w:abstractNum w:abstractNumId="40">
    <w:nsid w:val="25413BEC"/>
    <w:multiLevelType w:val="hybridMultilevel"/>
    <w:lvl w:ilvl="0">
      <w:lvlJc w:val="left"/>
      <w:lvlText w:val="•"/>
      <w:numFmt w:val="bullet"/>
      <w:start w:val="1"/>
    </w:lvl>
  </w:abstractNum>
  <w:abstractNum w:abstractNumId="41">
    <w:nsid w:val="17180B0B"/>
    <w:multiLevelType w:val="hybridMultilevel"/>
    <w:lvl w:ilvl="0">
      <w:lvlJc w:val="left"/>
      <w:lvlText w:val="•"/>
      <w:numFmt w:val="bullet"/>
      <w:start w:val="1"/>
    </w:lvl>
  </w:abstractNum>
  <w:abstractNum w:abstractNumId="42">
    <w:nsid w:val="579328B9"/>
    <w:multiLevelType w:val="hybridMultilevel"/>
    <w:lvl w:ilvl="0">
      <w:lvlJc w:val="left"/>
      <w:lvlText w:val="•"/>
      <w:numFmt w:val="bullet"/>
      <w:start w:val="1"/>
    </w:lvl>
  </w:abstractNum>
  <w:abstractNum w:abstractNumId="43">
    <w:nsid w:val="5D205E20"/>
    <w:multiLevelType w:val="hybridMultilevel"/>
    <w:lvl w:ilvl="0">
      <w:lvlJc w:val="left"/>
      <w:lvlText w:val="(%1)"/>
      <w:numFmt w:val="decimal"/>
      <w:start w:val="1"/>
    </w:lvl>
  </w:abstractNum>
  <w:abstractNum w:abstractNumId="44">
    <w:nsid w:val="11CCA8BA"/>
    <w:multiLevelType w:val="hybridMultilevel"/>
    <w:lvl w:ilvl="0">
      <w:lvlJc w:val="left"/>
      <w:lvlText w:val="•"/>
      <w:numFmt w:val="bullet"/>
      <w:start w:val="1"/>
    </w:lvl>
  </w:abstractNum>
  <w:abstractNum w:abstractNumId="45">
    <w:nsid w:val="4D32AB86"/>
    <w:multiLevelType w:val="hybridMultilevel"/>
    <w:lvl w:ilvl="0">
      <w:lvlJc w:val="left"/>
      <w:lvlText w:val="•"/>
      <w:numFmt w:val="bullet"/>
      <w:start w:val="1"/>
    </w:lvl>
  </w:abstractNum>
  <w:abstractNum w:abstractNumId="46">
    <w:nsid w:val="3F07ACC3"/>
    <w:multiLevelType w:val="hybridMultilevel"/>
    <w:lvl w:ilvl="0">
      <w:lvlJc w:val="left"/>
      <w:lvlText w:val="•"/>
      <w:numFmt w:val="bullet"/>
      <w:start w:val="1"/>
    </w:lvl>
  </w:abstractNum>
  <w:abstractNum w:abstractNumId="47">
    <w:nsid w:val="6B47F63E"/>
    <w:multiLevelType w:val="hybridMultilevel"/>
    <w:lvl w:ilvl="0">
      <w:lvlJc w:val="left"/>
      <w:lvlText w:val="•"/>
      <w:numFmt w:val="bullet"/>
      <w:start w:val="1"/>
    </w:lvl>
  </w:abstractNum>
  <w:abstractNum w:abstractNumId="48">
    <w:nsid w:val="5CB44A05"/>
    <w:multiLevelType w:val="hybridMultilevel"/>
    <w:lvl w:ilvl="0">
      <w:lvlJc w:val="left"/>
      <w:lvlText w:val="•"/>
      <w:numFmt w:val="bullet"/>
      <w:start w:val="1"/>
    </w:lvl>
  </w:abstractNum>
  <w:abstractNum w:abstractNumId="49">
    <w:nsid w:val="16CF80F1"/>
    <w:multiLevelType w:val="hybridMultilevel"/>
    <w:lvl w:ilvl="0">
      <w:lvlJc w:val="left"/>
      <w:lvlText w:val="•"/>
      <w:numFmt w:val="bullet"/>
      <w:start w:val="1"/>
    </w:lvl>
  </w:abstractNum>
  <w:abstractNum w:abstractNumId="50">
    <w:nsid w:val="1C695DEC"/>
    <w:multiLevelType w:val="hybridMultilevel"/>
    <w:lvl w:ilvl="0">
      <w:lvlJc w:val="left"/>
      <w:lvlText w:val="•"/>
      <w:numFmt w:val="bullet"/>
      <w:start w:val="1"/>
    </w:lvl>
  </w:abstractNum>
  <w:abstractNum w:abstractNumId="51">
    <w:nsid w:val="3FCFAED9"/>
    <w:multiLevelType w:val="hybridMultilevel"/>
    <w:lvl w:ilvl="0">
      <w:lvlJc w:val="left"/>
      <w:lvlText w:val="•"/>
      <w:numFmt w:val="bullet"/>
      <w:start w:val="1"/>
    </w:lvl>
  </w:abstractNum>
  <w:abstractNum w:abstractNumId="52">
    <w:nsid w:val="F856867"/>
    <w:multiLevelType w:val="hybridMultilevel"/>
    <w:lvl w:ilvl="0">
      <w:lvlJc w:val="left"/>
      <w:lvlText w:val="•"/>
      <w:numFmt w:val="bullet"/>
      <w:start w:val="1"/>
    </w:lvl>
  </w:abstractNum>
  <w:abstractNum w:abstractNumId="53">
    <w:nsid w:val="11B1CC33"/>
    <w:multiLevelType w:val="hybridMultilevel"/>
    <w:lvl w:ilvl="0">
      <w:lvlJc w:val="left"/>
      <w:lvlText w:val="•"/>
      <w:numFmt w:val="bullet"/>
      <w:start w:val="1"/>
    </w:lvl>
  </w:abstractNum>
  <w:abstractNum w:abstractNumId="54">
    <w:nsid w:val="2E22FBB7"/>
    <w:multiLevelType w:val="hybridMultilevel"/>
    <w:lvl w:ilvl="0">
      <w:lvlJc w:val="left"/>
      <w:lvlText w:val="(%1)"/>
      <w:numFmt w:val="decimal"/>
      <w:start w:val="1"/>
    </w:lvl>
  </w:abstractNum>
  <w:abstractNum w:abstractNumId="55">
    <w:nsid w:val="29934699"/>
    <w:multiLevelType w:val="hybridMultilevel"/>
    <w:lvl w:ilvl="0">
      <w:lvlJc w:val="left"/>
      <w:lvlText w:val="(%1)"/>
      <w:numFmt w:val="decimal"/>
      <w:start w:val="4"/>
    </w:lvl>
  </w:abstractNum>
  <w:abstractNum w:abstractNumId="56">
    <w:nsid w:val="77485850"/>
    <w:multiLevelType w:val="hybridMultilevel"/>
    <w:lvl w:ilvl="0">
      <w:lvlJc w:val="left"/>
      <w:lvlText w:val="(%1)"/>
      <w:numFmt w:val="decimal"/>
      <w:start w:val="9"/>
    </w:lvl>
  </w:abstractNum>
  <w:abstractNum w:abstractNumId="57">
    <w:nsid w:val="744939A3"/>
    <w:multiLevelType w:val="hybridMultilevel"/>
    <w:lvl w:ilvl="0">
      <w:lvlJc w:val="left"/>
      <w:lvlText w:val="•"/>
      <w:numFmt w:val="bullet"/>
      <w:start w:val="1"/>
    </w:lvl>
  </w:abstractNum>
  <w:abstractNum w:abstractNumId="58">
    <w:nsid w:val="4FA0D2E3"/>
    <w:multiLevelType w:val="hybridMultilevel"/>
    <w:lvl w:ilvl="0">
      <w:lvlJc w:val="left"/>
      <w:lvlText w:val="•"/>
      <w:numFmt w:val="bullet"/>
      <w:start w:val="1"/>
    </w:lvl>
  </w:abstractNum>
  <w:abstractNum w:abstractNumId="59">
    <w:nsid w:val="6B1D2C14"/>
    <w:multiLevelType w:val="hybridMultilevel"/>
    <w:lvl w:ilvl="0">
      <w:lvlJc w:val="left"/>
      <w:lvlText w:val="*"/>
      <w:numFmt w:val="bullet"/>
      <w:start w:val="1"/>
    </w:lvl>
  </w:abstractNum>
  <w:abstractNum w:abstractNumId="60">
    <w:nsid w:val="68B867D3"/>
    <w:multiLevelType w:val="hybridMultilevel"/>
    <w:lvl w:ilvl="0">
      <w:lvlJc w:val="left"/>
      <w:lvlText w:val="(%1)"/>
      <w:numFmt w:val="lowerRoman"/>
      <w:start w:val="1"/>
    </w:lvl>
  </w:abstractNum>
  <w:abstractNum w:abstractNumId="61">
    <w:nsid w:val="3F7F5DD9"/>
    <w:multiLevelType w:val="hybridMultilevel"/>
    <w:lvl w:ilvl="0">
      <w:lvlJc w:val="left"/>
      <w:lvlText w:val="•"/>
      <w:numFmt w:val="bullet"/>
      <w:start w:val="1"/>
    </w:lvl>
  </w:abstractNum>
  <w:abstractNum w:abstractNumId="62">
    <w:nsid w:val="2AE05A34"/>
    <w:multiLevelType w:val="hybridMultilevel"/>
    <w:lvl w:ilvl="0">
      <w:lvlJc w:val="left"/>
      <w:lvlText w:val="(%1)"/>
      <w:numFmt w:val="decimal"/>
      <w:start w:val="1"/>
    </w:lvl>
  </w:abstractNum>
  <w:abstractNum w:abstractNumId="63">
    <w:nsid w:val="32794FF7"/>
    <w:multiLevelType w:val="hybridMultilevel"/>
    <w:lvl w:ilvl="0">
      <w:lvlJc w:val="left"/>
      <w:lvlText w:val="•"/>
      <w:numFmt w:val="bullet"/>
      <w:start w:val="1"/>
    </w:lvl>
  </w:abstractNum>
  <w:abstractNum w:abstractNumId="64">
    <w:nsid w:val="5454945E"/>
    <w:multiLevelType w:val="hybridMultilevel"/>
    <w:lvl w:ilvl="0">
      <w:lvlJc w:val="left"/>
      <w:lvlText w:val="(%1)"/>
      <w:numFmt w:val="lowerRoman"/>
      <w:start w:val="2"/>
    </w:lvl>
  </w:abstractNum>
  <w:abstractNum w:abstractNumId="65">
    <w:nsid w:val="4DEFDFA0"/>
    <w:multiLevelType w:val="hybridMultilevel"/>
    <w:lvl w:ilvl="0">
      <w:lvlJc w:val="left"/>
      <w:lvlText w:val="(%1)"/>
      <w:numFmt w:val="lowerRoman"/>
      <w:start w:val="5"/>
    </w:lvl>
  </w:abstractNum>
  <w:abstractNum w:abstractNumId="66">
    <w:nsid w:val="2123D5F2"/>
    <w:multiLevelType w:val="hybridMultilevel"/>
    <w:lvl w:ilvl="0">
      <w:lvlJc w:val="left"/>
      <w:lvlText w:val="(%1)"/>
      <w:numFmt w:val="lowerRoman"/>
      <w:start w:val="1"/>
    </w:lvl>
  </w:abstractNum>
  <w:abstractNum w:abstractNumId="67">
    <w:nsid w:val="135B8110"/>
    <w:multiLevelType w:val="hybridMultilevel"/>
    <w:lvl w:ilvl="0">
      <w:lvlJc w:val="left"/>
      <w:lvlText w:val="•"/>
      <w:numFmt w:val="bullet"/>
      <w:start w:val="1"/>
    </w:lvl>
  </w:abstractNum>
  <w:abstractNum w:abstractNumId="68">
    <w:nsid w:val="94927A8"/>
    <w:multiLevelType w:val="hybridMultilevel"/>
    <w:lvl w:ilvl="0">
      <w:lvlJc w:val="left"/>
      <w:lvlText w:val="%1."/>
      <w:numFmt w:val="decimal"/>
      <w:start w:val="498"/>
    </w:lvl>
  </w:abstractNum>
  <w:abstractNum w:abstractNumId="69">
    <w:nsid w:val="DCDF8F6"/>
    <w:multiLevelType w:val="hybridMultilevel"/>
    <w:lvl w:ilvl="0">
      <w:lvlJc w:val="left"/>
      <w:lvlText w:val="•"/>
      <w:numFmt w:val="bullet"/>
      <w:start w:val="1"/>
    </w:lvl>
  </w:abstractNum>
  <w:abstractNum w:abstractNumId="70">
    <w:nsid w:val="52D7B105"/>
    <w:multiLevelType w:val="hybridMultilevel"/>
    <w:lvl w:ilvl="0">
      <w:lvlJc w:val="left"/>
      <w:lvlText w:val="•"/>
      <w:numFmt w:val="bullet"/>
      <w:start w:val="1"/>
    </w:lvl>
  </w:abstractNum>
  <w:abstractNum w:abstractNumId="71">
    <w:nsid w:val="2E8A6394"/>
    <w:multiLevelType w:val="hybridMultilevel"/>
    <w:lvl w:ilvl="0">
      <w:lvlJc w:val="left"/>
      <w:lvlText w:val="•"/>
      <w:numFmt w:val="bullet"/>
      <w:start w:val="1"/>
    </w:lvl>
  </w:abstractNum>
  <w:abstractNum w:abstractNumId="72">
    <w:nsid w:val="24E60401"/>
    <w:multiLevelType w:val="hybridMultilevel"/>
    <w:lvl w:ilvl="0">
      <w:lvlJc w:val="left"/>
      <w:lvlText w:val="•"/>
      <w:numFmt w:val="bullet"/>
      <w:start w:val="1"/>
    </w:lvl>
  </w:abstractNum>
  <w:abstractNum w:abstractNumId="73">
    <w:nsid w:val="2A6AD9BE"/>
    <w:multiLevelType w:val="hybridMultilevel"/>
    <w:lvl w:ilvl="0">
      <w:lvlJc w:val="left"/>
      <w:lvlText w:val="•"/>
      <w:numFmt w:val="bullet"/>
      <w:start w:val="1"/>
    </w:lvl>
  </w:abstractNum>
  <w:abstractNum w:abstractNumId="74">
    <w:nsid w:val="BAAC1B4"/>
    <w:multiLevelType w:val="hybridMultilevel"/>
    <w:lvl w:ilvl="0">
      <w:lvlJc w:val="left"/>
      <w:lvlText w:val="•"/>
      <w:numFmt w:val="bullet"/>
      <w:start w:val="1"/>
    </w:lvl>
  </w:abstractNum>
  <w:abstractNum w:abstractNumId="75">
    <w:nsid w:val="36B2ACBC"/>
    <w:multiLevelType w:val="hybridMultilevel"/>
    <w:lvl w:ilvl="0">
      <w:lvlJc w:val="left"/>
      <w:lvlText w:val="•"/>
      <w:numFmt w:val="bullet"/>
      <w:start w:val="1"/>
    </w:lvl>
  </w:abstractNum>
  <w:abstractNum w:abstractNumId="76">
    <w:nsid w:val="779D8544"/>
    <w:multiLevelType w:val="hybridMultilevel"/>
    <w:lvl w:ilvl="0">
      <w:lvlJc w:val="left"/>
      <w:lvlText w:val="(%1)"/>
      <w:numFmt w:val="decimal"/>
      <w:start w:val="1"/>
    </w:lvl>
  </w:abstractNum>
  <w:abstractNum w:abstractNumId="77">
    <w:nsid w:val="4AB26E78"/>
    <w:multiLevelType w:val="hybridMultilevel"/>
    <w:lvl w:ilvl="0">
      <w:lvlJc w:val="left"/>
      <w:lvlText w:val="•"/>
      <w:numFmt w:val="bullet"/>
      <w:start w:val="1"/>
    </w:lvl>
  </w:abstractNum>
  <w:abstractNum w:abstractNumId="78">
    <w:nsid w:val="21FAA2FA"/>
    <w:multiLevelType w:val="hybridMultilevel"/>
    <w:lvl w:ilvl="0">
      <w:lvlJc w:val="left"/>
      <w:lvlText w:val="•"/>
      <w:numFmt w:val="bullet"/>
      <w:start w:val="1"/>
    </w:lvl>
  </w:abstractNum>
  <w:abstractNum w:abstractNumId="79">
    <w:nsid w:val="5451CF49"/>
    <w:multiLevelType w:val="hybridMultilevel"/>
    <w:lvl w:ilvl="0">
      <w:lvlJc w:val="left"/>
      <w:lvlText w:val="•"/>
      <w:numFmt w:val="bullet"/>
      <w:start w:val="1"/>
    </w:lvl>
  </w:abstractNum>
  <w:abstractNum w:abstractNumId="80">
    <w:nsid w:val="6181EF69"/>
    <w:multiLevelType w:val="hybridMultilevel"/>
    <w:lvl w:ilvl="0">
      <w:lvlJc w:val="left"/>
      <w:lvlText w:val="•"/>
      <w:numFmt w:val="bullet"/>
      <w:start w:val="1"/>
    </w:lvl>
  </w:abstractNum>
  <w:abstractNum w:abstractNumId="81">
    <w:nsid w:val="3E6400E6"/>
    <w:multiLevelType w:val="hybridMultilevel"/>
    <w:lvl w:ilvl="0">
      <w:lvlJc w:val="left"/>
      <w:lvlText w:val="(%1)"/>
      <w:numFmt w:val="decimal"/>
      <w:start w:val="1"/>
    </w:lvl>
  </w:abstractNum>
  <w:abstractNum w:abstractNumId="82">
    <w:nsid w:val="14217E23"/>
    <w:multiLevelType w:val="hybridMultilevel"/>
    <w:lvl w:ilvl="0">
      <w:lvlJc w:val="left"/>
      <w:lvlText w:val="(%1)"/>
      <w:numFmt w:val="lowerLetter"/>
      <w:start w:val="1"/>
    </w:lvl>
  </w:abstractNum>
  <w:abstractNum w:abstractNumId="83">
    <w:nsid w:val="710757D0"/>
    <w:multiLevelType w:val="hybridMultilevel"/>
    <w:lvl w:ilvl="0">
      <w:lvlJc w:val="left"/>
      <w:lvlText w:val="•"/>
      <w:numFmt w:val="bullet"/>
      <w:start w:val="1"/>
    </w:lvl>
  </w:abstractNum>
  <w:abstractNum w:abstractNumId="84">
    <w:nsid w:val="5015CD1A"/>
    <w:multiLevelType w:val="hybridMultilevel"/>
    <w:lvl w:ilvl="0">
      <w:lvlJc w:val="left"/>
      <w:lvlText w:val="•"/>
      <w:numFmt w:val="bullet"/>
      <w:start w:val="1"/>
    </w:lvl>
  </w:abstractNum>
  <w:abstractNum w:abstractNumId="85">
    <w:nsid w:val="424479DA"/>
    <w:multiLevelType w:val="hybridMultilevel"/>
    <w:lvl w:ilvl="0">
      <w:lvlJc w:val="left"/>
      <w:lvlText w:val="(%1)"/>
      <w:numFmt w:val="decimal"/>
      <w:start w:val="1"/>
    </w:lvl>
  </w:abstractNum>
  <w:abstractNum w:abstractNumId="86">
    <w:nsid w:val="1A9A9E69"/>
    <w:multiLevelType w:val="hybridMultilevel"/>
    <w:lvl w:ilvl="0">
      <w:lvlJc w:val="left"/>
      <w:lvlText w:val="(%1)"/>
      <w:numFmt w:val="decimal"/>
      <w:start w:val="1"/>
    </w:lvl>
  </w:abstractNum>
  <w:abstractNum w:abstractNumId="87">
    <w:nsid w:val="475E256A"/>
    <w:multiLevelType w:val="hybridMultilevel"/>
    <w:lvl w:ilvl="0">
      <w:lvlJc w:val="left"/>
      <w:lvlText w:val="(%1)"/>
      <w:numFmt w:val="decimal"/>
      <w:start w:val="6"/>
    </w:lvl>
  </w:abstractNum>
  <w:abstractNum w:abstractNumId="88">
    <w:nsid w:val="368DB37E"/>
    <w:multiLevelType w:val="hybridMultilevel"/>
    <w:lvl w:ilvl="0">
      <w:lvlJc w:val="left"/>
      <w:lvlText w:val="(%1)"/>
      <w:numFmt w:val="lowerRoman"/>
      <w:start w:val="2"/>
    </w:lvl>
  </w:abstractNum>
  <w:abstractNum w:abstractNumId="89">
    <w:nsid w:val="6A3B714C"/>
    <w:multiLevelType w:val="hybridMultilevel"/>
    <w:lvl w:ilvl="0">
      <w:lvlJc w:val="left"/>
      <w:lvlText w:val="(%1)"/>
      <w:numFmt w:val="decimal"/>
      <w:start w:val="2"/>
    </w:lvl>
  </w:abstractNum>
  <w:abstractNum w:abstractNumId="90">
    <w:nsid w:val="327B517E"/>
    <w:multiLevelType w:val="hybridMultilevel"/>
    <w:lvl w:ilvl="0">
      <w:lvlJc w:val="left"/>
      <w:lvlText w:val="(%1)"/>
      <w:numFmt w:val="decimal"/>
      <w:start w:val="2"/>
    </w:lvl>
  </w:abstractNum>
  <w:abstractNum w:abstractNumId="91">
    <w:nsid w:val="1F461B51"/>
    <w:multiLevelType w:val="hybridMultilevel"/>
    <w:lvl w:ilvl="0">
      <w:lvlJc w:val="left"/>
      <w:lvlText w:val="•"/>
      <w:numFmt w:val="bullet"/>
      <w:start w:val="1"/>
    </w:lvl>
  </w:abstractNum>
  <w:abstractNum w:abstractNumId="92">
    <w:nsid w:val="29BACF25"/>
    <w:multiLevelType w:val="hybridMultilevel"/>
    <w:lvl w:ilvl="0">
      <w:lvlJc w:val="left"/>
      <w:lvlText w:val="•"/>
      <w:numFmt w:val="bullet"/>
      <w:start w:val="1"/>
    </w:lvl>
  </w:abstractNum>
  <w:abstractNum w:abstractNumId="93">
    <w:nsid w:val="5D5BABB3"/>
    <w:multiLevelType w:val="hybridMultilevel"/>
    <w:lvl w:ilvl="0">
      <w:lvlJc w:val="left"/>
      <w:lvlText w:val="•"/>
      <w:numFmt w:val="bullet"/>
      <w:start w:val="1"/>
    </w:lvl>
  </w:abstractNum>
  <w:abstractNum w:abstractNumId="94">
    <w:nsid w:val="51BF6B48"/>
    <w:multiLevelType w:val="hybridMultilevel"/>
    <w:lvl w:ilvl="0">
      <w:lvlJc w:val="left"/>
      <w:lvlText w:val="•"/>
      <w:numFmt w:val="bullet"/>
      <w:start w:val="1"/>
    </w:lvl>
  </w:abstractNum>
  <w:abstractNum w:abstractNumId="95">
    <w:nsid w:val="7E0F6384"/>
    <w:multiLevelType w:val="hybridMultilevel"/>
    <w:lvl w:ilvl="0">
      <w:lvlJc w:val="left"/>
      <w:lvlText w:val="•"/>
      <w:numFmt w:val="bullet"/>
      <w:start w:val="1"/>
    </w:lvl>
  </w:abstractNum>
  <w:abstractNum w:abstractNumId="96">
    <w:nsid w:val="2B4B8B53"/>
    <w:multiLevelType w:val="hybridMultilevel"/>
    <w:lvl w:ilvl="0">
      <w:lvlJc w:val="left"/>
      <w:lvlText w:val="(%1)"/>
      <w:numFmt w:val="decimal"/>
      <w:start w:val="1"/>
    </w:lvl>
  </w:abstractNum>
  <w:abstractNum w:abstractNumId="97">
    <w:nsid w:val="72E3413A"/>
    <w:multiLevelType w:val="hybridMultilevel"/>
    <w:lvl w:ilvl="0">
      <w:lvlJc w:val="left"/>
      <w:lvlText w:val="(%1)"/>
      <w:numFmt w:val="decimal"/>
      <w:start w:val="1"/>
    </w:lvl>
  </w:abstractNum>
  <w:abstractNum w:abstractNumId="98">
    <w:nsid w:val="116AE494"/>
    <w:multiLevelType w:val="hybridMultilevel"/>
    <w:lvl w:ilvl="0">
      <w:lvlJc w:val="left"/>
      <w:lvlText w:val="(%1)"/>
      <w:numFmt w:val="decimal"/>
      <w:start w:val="1"/>
    </w:lvl>
  </w:abstractNum>
  <w:abstractNum w:abstractNumId="99">
    <w:nsid w:val="3494B2FB"/>
    <w:multiLevelType w:val="hybridMultilevel"/>
    <w:lvl w:ilvl="0">
      <w:lvlJc w:val="left"/>
      <w:lvlText w:val="•"/>
      <w:numFmt w:val="bullet"/>
      <w:start w:val="1"/>
    </w:lvl>
  </w:abstractNum>
  <w:abstractNum w:abstractNumId="100">
    <w:nsid w:val="B13A31"/>
    <w:multiLevelType w:val="hybridMultilevel"/>
    <w:lvl w:ilvl="0">
      <w:lvlJc w:val="left"/>
      <w:lvlText w:val="*"/>
      <w:numFmt w:val="bullet"/>
      <w:start w:val="1"/>
    </w:lvl>
  </w:abstractNum>
  <w:abstractNum w:abstractNumId="101">
    <w:nsid w:val="64429599"/>
    <w:multiLevelType w:val="hybridMultilevel"/>
    <w:lvl w:ilvl="0">
      <w:lvlJc w:val="left"/>
      <w:lvlText w:val="†"/>
      <w:numFmt w:val="bullet"/>
      <w:start w:val="1"/>
    </w:lvl>
  </w:abstractNum>
  <w:abstractNum w:abstractNumId="102">
    <w:nsid w:val="631F1690"/>
    <w:multiLevelType w:val="hybridMultilevel"/>
    <w:lvl w:ilvl="0">
      <w:lvlJc w:val="left"/>
      <w:lvlText w:val="(%1)"/>
      <w:numFmt w:val="decimal"/>
      <w:start w:val="1"/>
    </w:lvl>
  </w:abstractNum>
  <w:abstractNum w:abstractNumId="103">
    <w:nsid w:val="25973E32"/>
    <w:multiLevelType w:val="hybridMultilevel"/>
    <w:lvl w:ilvl="0">
      <w:lvlJc w:val="left"/>
      <w:lvlText w:val="(%1)"/>
      <w:numFmt w:val="decimal"/>
      <w:start w:val="2"/>
    </w:lvl>
  </w:abstractNum>
  <w:abstractNum w:abstractNumId="104">
    <w:nsid w:val="EAD6F57"/>
    <w:multiLevelType w:val="hybridMultilevel"/>
    <w:lvl w:ilvl="0">
      <w:lvlJc w:val="left"/>
      <w:lvlText w:val="(%1)"/>
      <w:numFmt w:val="decimal"/>
      <w:start w:val="14"/>
    </w:lvl>
  </w:abstractNum>
  <w:abstractNum w:abstractNumId="105">
    <w:nsid w:val="6EC9D844"/>
    <w:multiLevelType w:val="hybridMultilevel"/>
    <w:lvl w:ilvl="0">
      <w:lvlJc w:val="left"/>
      <w:lvlText w:val="•"/>
      <w:numFmt w:val="bullet"/>
      <w:start w:val="1"/>
    </w:lvl>
  </w:abstractNum>
  <w:abstractNum w:abstractNumId="106">
    <w:nsid w:val="5C49EAEE"/>
    <w:multiLevelType w:val="hybridMultilevel"/>
    <w:lvl w:ilvl="0">
      <w:lvlJc w:val="left"/>
      <w:lvlText w:val="•"/>
      <w:numFmt w:val="bullet"/>
      <w:start w:val="1"/>
    </w:lvl>
  </w:abstractNum>
  <w:abstractNum w:abstractNumId="107">
    <w:nsid w:val="64AF49B"/>
    <w:multiLevelType w:val="hybridMultilevel"/>
    <w:lvl w:ilvl="0">
      <w:lvlJc w:val="left"/>
      <w:lvlText w:val="(%1)"/>
      <w:numFmt w:val="decimal"/>
      <w:start w:val="4"/>
    </w:lvl>
  </w:abstractNum>
  <w:abstractNum w:abstractNumId="108">
    <w:nsid w:val="397C46BC"/>
    <w:multiLevelType w:val="hybridMultilevel"/>
    <w:lvl w:ilvl="0">
      <w:lvlJc w:val="left"/>
      <w:lvlText w:val="(%1)"/>
      <w:numFmt w:val="decimal"/>
      <w:start w:val="1"/>
    </w:lvl>
  </w:abstractNum>
  <w:abstractNum w:abstractNumId="109">
    <w:nsid w:val="7E448DE9"/>
    <w:multiLevelType w:val="hybridMultilevel"/>
    <w:lvl w:ilvl="0">
      <w:lvlJc w:val="left"/>
      <w:lvlText w:val="•"/>
      <w:numFmt w:val="bullet"/>
      <w:start w:val="1"/>
    </w:lvl>
  </w:abstractNum>
  <w:abstractNum w:abstractNumId="110">
    <w:nsid w:val="5A9CC3E5"/>
    <w:multiLevelType w:val="hybridMultilevel"/>
    <w:lvl w:ilvl="0">
      <w:lvlJc w:val="left"/>
      <w:lvlText w:val="•"/>
      <w:numFmt w:val="bullet"/>
      <w:start w:val="1"/>
    </w:lvl>
  </w:abstractNum>
  <w:abstractNum w:abstractNumId="111">
    <w:nsid w:val="1AFE3625"/>
    <w:multiLevelType w:val="hybridMultilevel"/>
    <w:lvl w:ilvl="0">
      <w:lvlJc w:val="left"/>
      <w:lvlText w:val="(%1)"/>
      <w:numFmt w:val="lowerRoman"/>
      <w:start w:val="2"/>
    </w:lvl>
  </w:abstractNum>
  <w:abstractNum w:abstractNumId="112">
    <w:nsid w:val="3CA88ECF"/>
    <w:multiLevelType w:val="hybridMultilevel"/>
    <w:lvl w:ilvl="0">
      <w:lvlJc w:val="left"/>
      <w:lvlText w:val="(%1)"/>
      <w:numFmt w:val="decimal"/>
      <w:start w:val="1"/>
    </w:lvl>
  </w:abstractNum>
  <w:abstractNum w:abstractNumId="113">
    <w:nsid w:val="6EBE4208"/>
    <w:multiLevelType w:val="hybridMultilevel"/>
    <w:lvl w:ilvl="0">
      <w:lvlJc w:val="left"/>
      <w:lvlText w:val="(%1)"/>
      <w:numFmt w:val="decimal"/>
      <w:start w:val="6"/>
    </w:lvl>
  </w:abstractNum>
  <w:abstractNum w:abstractNumId="114">
    <w:nsid w:val="C058DF5"/>
    <w:multiLevelType w:val="hybridMultilevel"/>
    <w:lvl w:ilvl="0">
      <w:lvlJc w:val="left"/>
      <w:lvlText w:val="(%1)"/>
      <w:numFmt w:val="lowerRoman"/>
      <w:start w:val="1"/>
    </w:lvl>
  </w:abstractNum>
  <w:abstractNum w:abstractNumId="115">
    <w:nsid w:val="CBE5BE9"/>
    <w:multiLevelType w:val="hybridMultilevel"/>
    <w:lvl w:ilvl="0">
      <w:lvlJc w:val="left"/>
      <w:lvlText w:val="(%1)"/>
      <w:numFmt w:val="lowerLetter"/>
      <w:start w:val="1"/>
    </w:lvl>
  </w:abstractNum>
  <w:abstractNum w:abstractNumId="116">
    <w:nsid w:val="3102BBE2"/>
    <w:multiLevelType w:val="hybridMultilevel"/>
    <w:lvl w:ilvl="0">
      <w:lvlJc w:val="left"/>
      <w:lvlText w:val="(%1)"/>
      <w:numFmt w:val="lowerLetter"/>
      <w:start w:val="5"/>
    </w:lvl>
  </w:abstractNum>
  <w:abstractNum w:abstractNumId="117">
    <w:nsid w:val="26A02C5E"/>
    <w:multiLevelType w:val="hybridMultilevel"/>
    <w:lvl w:ilvl="0">
      <w:lvlJc w:val="left"/>
      <w:lvlText w:val="(%1)"/>
      <w:numFmt w:val="decimal"/>
      <w:start w:val="1"/>
    </w:lvl>
  </w:abstractNum>
  <w:abstractNum w:abstractNumId="118">
    <w:nsid w:val="541C8153"/>
    <w:multiLevelType w:val="hybridMultilevel"/>
    <w:lvl w:ilvl="0">
      <w:lvlJc w:val="left"/>
      <w:lvlText w:val="(%1)"/>
      <w:numFmt w:val="lowerLetter"/>
      <w:start w:val="1"/>
    </w:lvl>
  </w:abstractNum>
  <w:abstractNum w:abstractNumId="119">
    <w:nsid w:val="67906F60"/>
    <w:multiLevelType w:val="hybridMultilevel"/>
    <w:lvl w:ilvl="0">
      <w:lvlJc w:val="left"/>
      <w:lvlText w:val="(%1)"/>
      <w:numFmt w:val="lowerLetter"/>
      <w:start w:val="2"/>
    </w:lvl>
  </w:abstractNum>
  <w:abstractNum w:abstractNumId="120">
    <w:nsid w:val="10DB9DAA"/>
    <w:multiLevelType w:val="hybridMultilevel"/>
    <w:lvl w:ilvl="0">
      <w:lvlJc w:val="left"/>
      <w:lvlText w:val="(%1)"/>
      <w:numFmt w:val="lowerLetter"/>
      <w:start w:val="1"/>
    </w:lvl>
  </w:abstractNum>
  <w:abstractNum w:abstractNumId="121">
    <w:nsid w:val="697D2D2"/>
    <w:multiLevelType w:val="hybridMultilevel"/>
    <w:lvl w:ilvl="0">
      <w:lvlJc w:val="left"/>
      <w:lvlText w:val="(%1)"/>
      <w:numFmt w:val="decimal"/>
      <w:start w:val="1"/>
    </w:lvl>
  </w:abstractNum>
  <w:abstractNum w:abstractNumId="122">
    <w:nsid w:val="6D68AB2"/>
    <w:multiLevelType w:val="hybridMultilevel"/>
    <w:lvl w:ilvl="0">
      <w:lvlJc w:val="left"/>
      <w:lvlText w:val="%1."/>
      <w:numFmt w:val="decimal"/>
      <w:start w:val="1"/>
    </w:lvl>
  </w:abstractNum>
  <w:abstractNum w:abstractNumId="123">
    <w:nsid w:val="3A966CD0"/>
    <w:multiLevelType w:val="hybridMultilevel"/>
    <w:lvl w:ilvl="0">
      <w:lvlJc w:val="left"/>
      <w:lvlText w:val="%1."/>
      <w:numFmt w:val="decimal"/>
      <w:start w:val="2"/>
    </w:lvl>
  </w:abstractNum>
  <w:abstractNum w:abstractNumId="124">
    <w:nsid w:val="63F37E85"/>
    <w:multiLevelType w:val="hybridMultilevel"/>
    <w:lvl w:ilvl="0">
      <w:lvlJc w:val="left"/>
      <w:lvlText w:val="(%1)"/>
      <w:numFmt w:val="lowerRoman"/>
      <w:start w:val="1"/>
    </w:lvl>
  </w:abstractNum>
  <w:abstractNum w:abstractNumId="125">
    <w:nsid w:val="5895F5FA"/>
    <w:multiLevelType w:val="hybridMultilevel"/>
    <w:lvl w:ilvl="0">
      <w:lvlJc w:val="left"/>
      <w:lvlText w:val="•"/>
      <w:numFmt w:val="bullet"/>
      <w:start w:val="1"/>
    </w:lvl>
  </w:abstractNum>
  <w:abstractNum w:abstractNumId="126">
    <w:nsid w:val="38A5D054"/>
    <w:multiLevelType w:val="hybridMultilevel"/>
    <w:lvl w:ilvl="0">
      <w:lvlJc w:val="left"/>
      <w:lvlText w:val="%1."/>
      <w:numFmt w:val="decimal"/>
      <w:start w:val="3"/>
    </w:lvl>
  </w:abstractNum>
  <w:abstractNum w:abstractNumId="127">
    <w:nsid w:val="F3F09D8"/>
    <w:multiLevelType w:val="hybridMultilevel"/>
    <w:lvl w:ilvl="0">
      <w:lvlJc w:val="left"/>
      <w:lvlText w:val="%1."/>
      <w:numFmt w:val="decimal"/>
      <w:start w:val="4"/>
    </w:lvl>
  </w:abstractNum>
  <w:abstractNum w:abstractNumId="128">
    <w:nsid w:val="4B793735"/>
    <w:multiLevelType w:val="hybridMultilevel"/>
    <w:lvl w:ilvl="0">
      <w:lvlJc w:val="left"/>
      <w:lvlText w:val="%1."/>
      <w:numFmt w:val="decimal"/>
      <w:start w:val="5"/>
    </w:lvl>
  </w:abstractNum>
  <w:abstractNum w:abstractNumId="129">
    <w:nsid w:val="4A10B4E8"/>
    <w:multiLevelType w:val="hybridMultilevel"/>
    <w:lvl w:ilvl="0">
      <w:lvlJc w:val="left"/>
      <w:lvlText w:val="%1."/>
      <w:numFmt w:val="decimal"/>
      <w:start w:val="6"/>
    </w:lvl>
  </w:abstractNum>
  <w:abstractNum w:abstractNumId="130">
    <w:nsid w:val="43D3BCD4"/>
    <w:multiLevelType w:val="hybridMultilevel"/>
    <w:lvl w:ilvl="0">
      <w:lvlJc w:val="left"/>
      <w:lvlText w:val="%1."/>
      <w:numFmt w:val="decimal"/>
      <w:start w:val="7"/>
    </w:lvl>
  </w:abstractNum>
  <w:abstractNum w:abstractNumId="131">
    <w:nsid w:val="4C2A7166"/>
    <w:multiLevelType w:val="hybridMultilevel"/>
    <w:lvl w:ilvl="0">
      <w:lvlJc w:val="left"/>
      <w:lvlText w:val="%1."/>
      <w:numFmt w:val="decimal"/>
      <w:start w:val="8"/>
    </w:lvl>
  </w:abstractNum>
  <w:abstractNum w:abstractNumId="132">
    <w:nsid w:val="2E534A82"/>
    <w:multiLevelType w:val="hybridMultilevel"/>
    <w:lvl w:ilvl="0">
      <w:lvlJc w:val="left"/>
      <w:lvlText w:val="%1."/>
      <w:numFmt w:val="decimal"/>
      <w:start w:val="9"/>
    </w:lvl>
  </w:abstractNum>
  <w:abstractNum w:abstractNumId="133">
    <w:nsid w:val="26F2D364"/>
    <w:multiLevelType w:val="hybridMultilevel"/>
    <w:lvl w:ilvl="0">
      <w:lvlJc w:val="left"/>
      <w:lvlText w:val="*"/>
      <w:numFmt w:val="bullet"/>
      <w:start w:val="1"/>
    </w:lvl>
  </w:abstractNum>
  <w:abstractNum w:abstractNumId="134">
    <w:nsid w:val="71C1AF98"/>
    <w:multiLevelType w:val="hybridMultilevel"/>
    <w:lvl w:ilvl="0">
      <w:lvlJc w:val="left"/>
      <w:lvlText w:val="*"/>
      <w:numFmt w:val="bullet"/>
      <w:start w:val="1"/>
    </w:lvl>
  </w:abstractNum>
  <w:abstractNum w:abstractNumId="135">
    <w:nsid w:val="3D00B9D9"/>
    <w:multiLevelType w:val="hybridMultilevel"/>
    <w:lvl w:ilvl="0">
      <w:lvlJc w:val="left"/>
      <w:lvlText w:val="%1."/>
      <w:numFmt w:val="decimal"/>
      <w:start w:val="10"/>
    </w:lvl>
  </w:abstractNum>
  <w:abstractNum w:abstractNumId="136">
    <w:nsid w:val="15BCABA8"/>
    <w:multiLevelType w:val="hybridMultilevel"/>
    <w:lvl w:ilvl="0">
      <w:lvlJc w:val="left"/>
      <w:lvlText w:val="%1."/>
      <w:numFmt w:val="decimal"/>
      <w:start w:val="11"/>
    </w:lvl>
  </w:abstractNum>
  <w:abstractNum w:abstractNumId="137">
    <w:nsid w:val="4E0B9A87"/>
    <w:multiLevelType w:val="hybridMultilevel"/>
    <w:lvl w:ilvl="0">
      <w:lvlJc w:val="left"/>
      <w:lvlText w:val="(%1)"/>
      <w:numFmt w:val="lowerRoman"/>
      <w:start w:val="1"/>
    </w:lvl>
  </w:abstractNum>
  <w:abstractNum w:abstractNumId="138">
    <w:nsid w:val="434BAE75"/>
    <w:multiLevelType w:val="hybridMultilevel"/>
    <w:lvl w:ilvl="0">
      <w:lvlJc w:val="left"/>
      <w:lvlText w:val="(%1)"/>
      <w:numFmt w:val="lowerRoman"/>
      <w:start w:val="3"/>
    </w:lvl>
  </w:abstractNum>
  <w:abstractNum w:abstractNumId="139">
    <w:nsid w:val="4F38F265"/>
    <w:multiLevelType w:val="hybridMultilevel"/>
    <w:lvl w:ilvl="0">
      <w:lvlJc w:val="left"/>
      <w:lvlText w:val="%1."/>
      <w:numFmt w:val="decimal"/>
      <w:start w:val="12"/>
    </w:lvl>
  </w:abstractNum>
  <w:abstractNum w:abstractNumId="140">
    <w:nsid w:val="4C502870"/>
    <w:multiLevelType w:val="hybridMultilevel"/>
    <w:lvl w:ilvl="0">
      <w:lvlJc w:val="left"/>
      <w:lvlText w:val="%1."/>
      <w:numFmt w:val="decimal"/>
      <w:start w:val="14"/>
    </w:lvl>
  </w:abstractNum>
  <w:abstractNum w:abstractNumId="141">
    <w:nsid w:val="1DE8725A"/>
    <w:multiLevelType w:val="hybridMultilevel"/>
    <w:lvl w:ilvl="0">
      <w:lvlJc w:val="left"/>
      <w:lvlText w:val="%1."/>
      <w:numFmt w:val="decimal"/>
      <w:start w:val="15"/>
    </w:lvl>
  </w:abstractNum>
  <w:abstractNum w:abstractNumId="142">
    <w:nsid w:val="6A37288A"/>
    <w:multiLevelType w:val="hybridMultilevel"/>
    <w:lvl w:ilvl="0">
      <w:lvlJc w:val="left"/>
      <w:lvlText w:val="%1."/>
      <w:numFmt w:val="decimal"/>
      <w:start w:val="16"/>
    </w:lvl>
  </w:abstractNum>
  <w:abstractNum w:abstractNumId="143">
    <w:nsid w:val="8F8B73F"/>
    <w:multiLevelType w:val="hybridMultilevel"/>
    <w:lvl w:ilvl="0">
      <w:lvlJc w:val="left"/>
      <w:lvlText w:val="%1."/>
      <w:numFmt w:val="decimal"/>
      <w:start w:val="17"/>
    </w:lvl>
  </w:abstractNum>
  <w:abstractNum w:abstractNumId="144">
    <w:nsid w:val="CA6B462"/>
    <w:multiLevelType w:val="hybridMultilevel"/>
    <w:lvl w:ilvl="0">
      <w:lvlJc w:val="left"/>
      <w:lvlText w:val="(%1)"/>
      <w:numFmt w:val="decimal"/>
      <w:start w:val="1"/>
    </w:lvl>
  </w:abstractNum>
  <w:abstractNum w:abstractNumId="145">
    <w:nsid w:val="763CB680"/>
    <w:multiLevelType w:val="hybridMultilevel"/>
    <w:lvl w:ilvl="0">
      <w:lvlJc w:val="left"/>
      <w:lvlText w:val="(%1)"/>
      <w:numFmt w:val="decimal"/>
      <w:start w:val="12"/>
    </w:lvl>
  </w:abstractNum>
  <w:abstractNum w:abstractNumId="146">
    <w:nsid w:val="15B71329"/>
    <w:multiLevelType w:val="hybridMultilevel"/>
    <w:lvl w:ilvl="0">
      <w:lvlJc w:val="left"/>
      <w:lvlText w:val="(%1)"/>
      <w:numFmt w:val="lowerLetter"/>
      <w:start w:val="1"/>
    </w:lvl>
  </w:abstractNum>
  <w:abstractNum w:abstractNumId="147">
    <w:nsid w:val="3DA97044"/>
    <w:multiLevelType w:val="hybridMultilevel"/>
    <w:lvl w:ilvl="0">
      <w:lvlJc w:val="left"/>
      <w:lvlText w:val="(%1)"/>
      <w:numFmt w:val="lowerLetter"/>
      <w:start w:val="2"/>
    </w:lvl>
  </w:abstractNum>
  <w:abstractNum w:abstractNumId="148">
    <w:nsid w:val="1CDCE2DE"/>
    <w:multiLevelType w:val="hybridMultilevel"/>
    <w:lvl w:ilvl="0">
      <w:lvlJc w:val="left"/>
      <w:lvlText w:val="(%1)"/>
      <w:numFmt w:val="decimal"/>
      <w:start w:val="1"/>
    </w:lvl>
  </w:abstractNum>
  <w:abstractNum w:abstractNumId="149">
    <w:nsid w:val="69D3947C"/>
    <w:multiLevelType w:val="hybridMultilevel"/>
    <w:lvl w:ilvl="0">
      <w:lvlJc w:val="left"/>
      <w:lvlText w:val="%1"/>
      <w:numFmt w:val="decimal"/>
      <w:start w:val="107"/>
    </w:lvl>
  </w:abstractNum>
  <w:abstractNum w:abstractNumId="150">
    <w:nsid w:val="2539DFA5"/>
    <w:multiLevelType w:val="hybridMultilevel"/>
    <w:lvl w:ilvl="0">
      <w:lvlJc w:val="left"/>
      <w:lvlText w:val="*"/>
      <w:numFmt w:val="bullet"/>
      <w:start w:val="1"/>
    </w:lvl>
  </w:abstractNum>
  <w:abstractNum w:abstractNumId="151">
    <w:nsid w:val="2DB88089"/>
    <w:multiLevelType w:val="hybridMultilevel"/>
    <w:lvl w:ilvl="0">
      <w:lvlJc w:val="left"/>
      <w:lvlText w:val="+"/>
      <w:numFmt w:val="bullet"/>
      <w:start w:val="1"/>
    </w:lvl>
  </w:abstractNum>
  <w:abstractNum w:abstractNumId="152">
    <w:nsid w:val="706B674E"/>
    <w:multiLevelType w:val="hybridMultilevel"/>
    <w:lvl w:ilvl="0">
      <w:lvlJc w:val="left"/>
      <w:lvlText w:val="†"/>
      <w:numFmt w:val="bullet"/>
      <w:start w:val="1"/>
    </w:lvl>
  </w:abstractNum>
  <w:abstractNum w:abstractNumId="153">
    <w:nsid w:val="2C106A57"/>
    <w:multiLevelType w:val="hybridMultilevel"/>
    <w:lvl w:ilvl="0">
      <w:lvlJc w:val="left"/>
      <w:lvlText w:val="#"/>
      <w:numFmt w:val="bullet"/>
      <w:start w:val="1"/>
    </w:lvl>
  </w:abstractNum>
  <w:abstractNum w:abstractNumId="154">
    <w:nsid w:val="684EED59"/>
    <w:multiLevelType w:val="hybridMultilevel"/>
    <w:lvl w:ilvl="0">
      <w:lvlJc w:val="left"/>
      <w:lvlText w:val=" "/>
      <w:numFmt w:val="bullet"/>
      <w:start w:val="1"/>
    </w:lvl>
  </w:abstractNum>
  <w:abstractNum w:abstractNumId="155">
    <w:nsid w:val="545EE5D3"/>
    <w:multiLevelType w:val="hybridMultilevel"/>
    <w:lvl w:ilvl="0">
      <w:lvlJc w:val="left"/>
      <w:lvlText w:val=" "/>
      <w:numFmt w:val="bullet"/>
      <w:start w:val="1"/>
    </w:lvl>
  </w:abstractNum>
  <w:abstractNum w:abstractNumId="156">
    <w:nsid w:val="4A66051"/>
    <w:multiLevelType w:val="hybridMultilevel"/>
    <w:lvl w:ilvl="0">
      <w:lvlJc w:val="left"/>
      <w:lvlText w:val=" "/>
      <w:numFmt w:val="bullet"/>
      <w:start w:val="1"/>
    </w:lvl>
  </w:abstractNum>
  <w:abstractNum w:abstractNumId="157">
    <w:nsid w:val="20F4BDAD"/>
    <w:multiLevelType w:val="hybridMultilevel"/>
    <w:lvl w:ilvl="0">
      <w:lvlJc w:val="left"/>
      <w:lvlText w:val="(%1)"/>
      <w:numFmt w:val="lowerRoman"/>
      <w:start w:val="5"/>
    </w:lvl>
  </w:abstractNum>
  <w:abstractNum w:abstractNumId="158">
    <w:nsid w:val="639DEFAC"/>
    <w:multiLevelType w:val="hybridMultilevel"/>
    <w:lvl w:ilvl="0">
      <w:lvlJc w:val="left"/>
      <w:lvlText w:val="(%1)"/>
      <w:numFmt w:val="lowerRoman"/>
      <w:start w:val="2"/>
    </w:lvl>
  </w:abstractNum>
  <w:abstractNum w:abstractNumId="159">
    <w:nsid w:val="501F9786"/>
    <w:multiLevelType w:val="hybridMultilevel"/>
    <w:lvl w:ilvl="0">
      <w:lvlJc w:val="left"/>
      <w:lvlText w:val="(%1)"/>
      <w:numFmt w:val="decimal"/>
      <w:start w:val="1"/>
    </w:lvl>
  </w:abstractNum>
  <w:abstractNum w:abstractNumId="160">
    <w:nsid w:val="6B057295"/>
    <w:multiLevelType w:val="hybridMultilevel"/>
    <w:lvl w:ilvl="0">
      <w:lvlJc w:val="left"/>
      <w:lvlText w:val="(%1)"/>
      <w:numFmt w:val="lowerRoman"/>
      <w:start w:val="6"/>
    </w:lvl>
  </w:abstractNum>
  <w:abstractNum w:abstractNumId="161">
    <w:nsid w:val="2771AC80"/>
    <w:multiLevelType w:val="hybridMultilevel"/>
    <w:lvl w:ilvl="0">
      <w:lvlJc w:val="left"/>
      <w:lvlText w:val="(%1)"/>
      <w:numFmt w:val="lowerRoman"/>
      <w:start w:val="2"/>
    </w:lvl>
  </w:abstractNum>
  <w:abstractNum w:abstractNumId="162">
    <w:nsid w:val="1C4A08EC"/>
    <w:multiLevelType w:val="hybridMultilevel"/>
    <w:lvl w:ilvl="0">
      <w:lvlJc w:val="left"/>
      <w:lvlText w:val="%1."/>
      <w:numFmt w:val="decimal"/>
      <w:start w:val="1"/>
    </w:lvl>
    <w:lvl w:ilvl="1">
      <w:lvlJc w:val="left"/>
      <w:lvlText w:val="●"/>
      <w:numFmt w:val="bullet"/>
      <w:start w:val="1"/>
    </w:lvl>
  </w:abstractNum>
  <w:abstractNum w:abstractNumId="163">
    <w:nsid w:val="1958BD17"/>
    <w:multiLevelType w:val="hybridMultilevel"/>
    <w:lvl w:ilvl="0">
      <w:lvlJc w:val="left"/>
      <w:lvlText w:val="(%1)"/>
      <w:numFmt w:val="decimal"/>
      <w:start w:val="1"/>
    </w:lvl>
  </w:abstractNum>
  <w:abstractNum w:abstractNumId="164">
    <w:nsid w:val="4E647FE4"/>
    <w:multiLevelType w:val="hybridMultilevel"/>
    <w:lvl w:ilvl="0">
      <w:lvlJc w:val="left"/>
      <w:lvlText w:val="%1"/>
      <w:numFmt w:val="lowerLetter"/>
      <w:start w:val="1"/>
    </w:lvl>
    <w:lvl w:ilvl="1">
      <w:lvlJc w:val="left"/>
      <w:lvlText w:val="(%2)"/>
      <w:numFmt w:val="lowerLetter"/>
      <w:start w:val="1"/>
    </w:lvl>
  </w:abstractNum>
  <w:abstractNum w:abstractNumId="165">
    <w:nsid w:val="E0BB885"/>
    <w:multiLevelType w:val="hybridMultilevel"/>
    <w:lvl w:ilvl="0">
      <w:lvlJc w:val="left"/>
      <w:lvlText w:val="(%1)"/>
      <w:numFmt w:val="lowerLetter"/>
      <w:start w:val="35"/>
    </w:lvl>
    <w:lvl w:ilvl="1">
      <w:lvlJc w:val="left"/>
      <w:lvlText w:val="%2"/>
      <w:numFmt w:val="lowerLetter"/>
      <w:start w:val="1"/>
    </w:lvl>
  </w:abstractNum>
  <w:abstractNum w:abstractNumId="166">
    <w:nsid w:val="565976F1"/>
    <w:multiLevelType w:val="hybridMultilevel"/>
    <w:lvl w:ilvl="0">
      <w:lvlJc w:val="left"/>
      <w:lvlText w:val="(%1)"/>
      <w:numFmt w:val="lowerLetter"/>
      <w:start w:val="9"/>
    </w:lvl>
    <w:lvl w:ilvl="1">
      <w:lvlJc w:val="left"/>
      <w:lvlText w:val="(%2)"/>
      <w:numFmt w:val="lowerLetter"/>
      <w:start w:val="3"/>
    </w:lvl>
  </w:abstractNum>
  <w:abstractNum w:abstractNumId="167">
    <w:nsid w:val="64212B8C"/>
    <w:multiLevelType w:val="hybridMultilevel"/>
    <w:lvl w:ilvl="0">
      <w:lvlJc w:val="left"/>
      <w:lvlText w:val="(%1)"/>
      <w:numFmt w:val="lowerLetter"/>
      <w:start w:val="4"/>
    </w:lvl>
  </w:abstractNum>
  <w:abstractNum w:abstractNumId="168">
    <w:nsid w:val="5C17530C"/>
    <w:multiLevelType w:val="hybridMultilevel"/>
    <w:lvl w:ilvl="0">
      <w:lvlJc w:val="left"/>
      <w:lvlText w:val="(%1)"/>
      <w:numFmt w:val="lowerLetter"/>
      <w:start w:val="9"/>
    </w:lvl>
  </w:abstractNum>
  <w:abstractNum w:abstractNumId="169">
    <w:nsid w:val="19A52566"/>
    <w:multiLevelType w:val="hybridMultilevel"/>
    <w:lvl w:ilvl="0">
      <w:lvlJc w:val="left"/>
      <w:lvlText w:val="(%1)"/>
      <w:numFmt w:val="lowerRoman"/>
      <w:start w:val="2"/>
    </w:lvl>
  </w:abstractNum>
  <w:abstractNum w:abstractNumId="170">
    <w:nsid w:val="335A1DF1"/>
    <w:multiLevelType w:val="hybridMultilevel"/>
    <w:lvl w:ilvl="0">
      <w:lvlJc w:val="left"/>
      <w:lvlText w:val="%1:"/>
      <w:numFmt w:val="upperLetter"/>
      <w:start w:val="20"/>
    </w:lvl>
  </w:abstractNum>
  <w:abstractNum w:abstractNumId="171">
    <w:nsid w:val="28677B7C"/>
    <w:multiLevelType w:val="hybridMultilevel"/>
    <w:lvl w:ilvl="0">
      <w:lvlJc w:val="left"/>
      <w:lvlText w:val="%1."/>
      <w:numFmt w:val="decimal"/>
      <w:start w:val="1"/>
    </w:lvl>
  </w:abstractNum>
  <w:abstractNum w:abstractNumId="172">
    <w:nsid w:val="378D97C0"/>
    <w:multiLevelType w:val="hybridMultilevel"/>
    <w:lvl w:ilvl="0">
      <w:lvlJc w:val="left"/>
      <w:lvlText w:val="(%1)"/>
      <w:numFmt w:val="lowerRoman"/>
      <w:start w:val="1"/>
    </w:lvl>
  </w:abstractNum>
  <w:abstractNum w:abstractNumId="173">
    <w:nsid w:val="1D91467C"/>
    <w:multiLevelType w:val="hybridMultilevel"/>
    <w:lvl w:ilvl="0">
      <w:lvlJc w:val="left"/>
      <w:lvlText w:val="%1."/>
      <w:numFmt w:val="decimal"/>
      <w:start w:val="2"/>
    </w:lvl>
  </w:abstractNum>
  <w:abstractNum w:abstractNumId="174">
    <w:nsid w:val="316032BB"/>
    <w:multiLevelType w:val="hybridMultilevel"/>
    <w:lvl w:ilvl="0">
      <w:lvlJc w:val="left"/>
      <w:lvlText w:val="%1."/>
      <w:numFmt w:val="decimal"/>
      <w:start w:val="3"/>
    </w:lvl>
  </w:abstractNum>
  <w:abstractNum w:abstractNumId="175">
    <w:nsid w:val="44344C22"/>
    <w:multiLevelType w:val="hybridMultilevel"/>
    <w:lvl w:ilvl="0">
      <w:lvlJc w:val="left"/>
      <w:lvlText w:val="%1."/>
      <w:numFmt w:val="decimal"/>
      <w:start w:val="4"/>
    </w:lvl>
  </w:abstractNum>
  <w:abstractNum w:abstractNumId="176">
    <w:nsid w:val="13CDFCFC"/>
    <w:multiLevelType w:val="hybridMultilevel"/>
    <w:lvl w:ilvl="0">
      <w:lvlJc w:val="left"/>
      <w:lvlText w:val="%1."/>
      <w:numFmt w:val="decimal"/>
      <w:start w:val="5"/>
    </w:lvl>
  </w:abstractNum>
  <w:abstractNum w:abstractNumId="177">
    <w:nsid w:val="471745E4"/>
    <w:multiLevelType w:val="hybridMultilevel"/>
    <w:lvl w:ilvl="0">
      <w:lvlJc w:val="left"/>
      <w:lvlText w:val="%1."/>
      <w:numFmt w:val="decimal"/>
      <w:start w:val="6"/>
    </w:lvl>
  </w:abstractNum>
  <w:abstractNum w:abstractNumId="178">
    <w:nsid w:val="1DDBC66"/>
    <w:multiLevelType w:val="hybridMultilevel"/>
    <w:lvl w:ilvl="0">
      <w:lvlJc w:val="left"/>
      <w:lvlText w:val="%1."/>
      <w:numFmt w:val="decimal"/>
      <w:start w:val="7"/>
    </w:lvl>
  </w:abstractNum>
  <w:abstractNum w:abstractNumId="179">
    <w:nsid w:val="30AADFDA"/>
    <w:multiLevelType w:val="hybridMultilevel"/>
    <w:lvl w:ilvl="0">
      <w:lvlJc w:val="left"/>
      <w:lvlText w:val="(%1)"/>
      <w:numFmt w:val="decimal"/>
      <w:start w:val="5"/>
    </w:lvl>
  </w:abstractNum>
  <w:abstractNum w:abstractNumId="180">
    <w:nsid w:val="30EADA61"/>
    <w:multiLevelType w:val="hybridMultilevel"/>
    <w:lvl w:ilvl="0">
      <w:lvlJc w:val="left"/>
      <w:lvlText w:val="%1."/>
      <w:numFmt w:val="decimal"/>
      <w:start w:val="8"/>
    </w:lvl>
  </w:abstractNum>
  <w:abstractNum w:abstractNumId="181">
    <w:nsid w:val="27179C0B"/>
    <w:multiLevelType w:val="hybridMultilevel"/>
    <w:lvl w:ilvl="0">
      <w:lvlJc w:val="left"/>
      <w:lvlText w:val="%1."/>
      <w:numFmt w:val="decimal"/>
      <w:start w:val="9"/>
    </w:lvl>
  </w:abstractNum>
  <w:abstractNum w:abstractNumId="182">
    <w:nsid w:val="5E636063"/>
    <w:multiLevelType w:val="hybridMultilevel"/>
    <w:lvl w:ilvl="0">
      <w:lvlJc w:val="left"/>
      <w:lvlText w:val="%1."/>
      <w:numFmt w:val="decimal"/>
      <w:start w:val="10"/>
    </w:lvl>
  </w:abstractNum>
  <w:abstractNum w:abstractNumId="183">
    <w:nsid w:val="215641AF"/>
    <w:multiLevelType w:val="hybridMultilevel"/>
    <w:lvl w:ilvl="0">
      <w:lvlJc w:val="left"/>
      <w:lvlText w:val="%1."/>
      <w:numFmt w:val="decimal"/>
      <w:start w:val="11"/>
    </w:lvl>
  </w:abstractNum>
  <w:abstractNum w:abstractNumId="184">
    <w:nsid w:val="53280662"/>
    <w:multiLevelType w:val="hybridMultilevel"/>
    <w:lvl w:ilvl="0">
      <w:lvlJc w:val="left"/>
      <w:lvlText w:val="(%1)"/>
      <w:numFmt w:val="lowerLetter"/>
      <w:start w:val="3"/>
    </w:lvl>
  </w:abstractNum>
  <w:abstractNum w:abstractNumId="185">
    <w:nsid w:val="46B24DBC"/>
    <w:multiLevelType w:val="hybridMultilevel"/>
    <w:lvl w:ilvl="0">
      <w:lvlJc w:val="left"/>
      <w:lvlText w:val="%1."/>
      <w:numFmt w:val="decimal"/>
      <w:start w:val="12"/>
    </w:lvl>
  </w:abstractNum>
  <w:abstractNum w:abstractNumId="186">
    <w:nsid w:val="75B52783"/>
    <w:multiLevelType w:val="hybridMultilevel"/>
    <w:lvl w:ilvl="0">
      <w:lvlJc w:val="left"/>
      <w:lvlText w:val="%1."/>
      <w:numFmt w:val="decimal"/>
      <w:start w:val="13"/>
    </w:lvl>
  </w:abstractNum>
  <w:abstractNum w:abstractNumId="187">
    <w:nsid w:val="57CE66B4"/>
    <w:multiLevelType w:val="hybridMultilevel"/>
    <w:lvl w:ilvl="0">
      <w:lvlJc w:val="left"/>
      <w:lvlText w:val="(%1)"/>
      <w:numFmt w:val="lowerRoman"/>
      <w:start w:val="1"/>
    </w:lvl>
  </w:abstractNum>
  <w:abstractNum w:abstractNumId="188">
    <w:nsid w:val="67A70B69"/>
    <w:multiLevelType w:val="hybridMultilevel"/>
    <w:lvl w:ilvl="0">
      <w:lvlJc w:val="left"/>
      <w:lvlText w:val="%1."/>
      <w:numFmt w:val="decimal"/>
      <w:start w:val="14"/>
    </w:lvl>
  </w:abstractNum>
  <w:abstractNum w:abstractNumId="189">
    <w:nsid w:val="5953172F"/>
    <w:multiLevelType w:val="hybridMultilevel"/>
    <w:lvl w:ilvl="0">
      <w:lvlJc w:val="left"/>
      <w:lvlText w:val="(%1)"/>
      <w:numFmt w:val="decimal"/>
      <w:start w:val="8"/>
    </w:lvl>
  </w:abstractNum>
  <w:abstractNum w:abstractNumId="190">
    <w:nsid w:val="27EDFE3A"/>
    <w:multiLevelType w:val="hybridMultilevel"/>
    <w:lvl w:ilvl="0">
      <w:lvlJc w:val="left"/>
      <w:lvlText w:val="(%1)"/>
      <w:numFmt w:val="decimal"/>
      <w:start w:val="9"/>
    </w:lvl>
  </w:abstractNum>
  <w:abstractNum w:abstractNumId="191">
    <w:nsid w:val="52AC7DFF"/>
    <w:multiLevelType w:val="hybridMultilevel"/>
    <w:lvl w:ilvl="0">
      <w:lvlJc w:val="left"/>
      <w:lvlText w:val="%1."/>
      <w:numFmt w:val="decimal"/>
      <w:start w:val="1"/>
    </w:lvl>
  </w:abstractNum>
  <w:abstractNum w:abstractNumId="192">
    <w:nsid w:val="C4C3AF"/>
    <w:multiLevelType w:val="hybridMultilevel"/>
    <w:lvl w:ilvl="0">
      <w:lvlJc w:val="left"/>
      <w:lvlText w:val="%1."/>
      <w:numFmt w:val="decimal"/>
      <w:start w:val="4"/>
    </w:lvl>
    <w:lvl w:ilvl="1">
      <w:lvlJc w:val="left"/>
      <w:lvlText w:val="%2."/>
      <w:numFmt w:val="lowerLetter"/>
      <w:start w:val="1"/>
    </w:lvl>
  </w:abstractNum>
  <w:abstractNum w:abstractNumId="193">
    <w:nsid w:val="44380727"/>
    <w:multiLevelType w:val="hybridMultilevel"/>
    <w:lvl w:ilvl="0">
      <w:lvlJc w:val="left"/>
      <w:lvlText w:val="%1"/>
      <w:numFmt w:val="decimal"/>
      <w:start w:val="1"/>
    </w:lvl>
    <w:lvl w:ilvl="1">
      <w:lvlJc w:val="left"/>
      <w:lvlText w:val="%2."/>
      <w:numFmt w:val="lowerLetter"/>
      <w:start w:val="4"/>
    </w:lvl>
  </w:abstractNum>
  <w:abstractNum w:abstractNumId="194">
    <w:nsid w:val="6C053B16"/>
    <w:multiLevelType w:val="hybridMultilevel"/>
    <w:lvl w:ilvl="0">
      <w:lvlJc w:val="left"/>
      <w:lvlText w:val="%1."/>
      <w:numFmt w:val="decimal"/>
      <w:start w:val="7"/>
    </w:lvl>
    <w:lvl w:ilvl="1">
      <w:lvlJc w:val="left"/>
      <w:lvlText w:val="%2."/>
      <w:numFmt w:val="lowerLetter"/>
      <w:start w:val="1"/>
    </w:lvl>
  </w:abstractNum>
  <w:abstractNum w:abstractNumId="195">
    <w:nsid w:val="4F294393"/>
    <w:multiLevelType w:val="hybridMultilevel"/>
    <w:lvl w:ilvl="0">
      <w:lvlJc w:val="left"/>
      <w:lvlText w:val="%1."/>
      <w:numFmt w:val="decimal"/>
      <w:start w:val="9"/>
    </w:lvl>
    <w:lvl w:ilvl="1">
      <w:lvlJc w:val="left"/>
      <w:lvlText w:val="%2."/>
      <w:numFmt w:val="lowerLetter"/>
      <w:start w:val="1"/>
    </w:lvl>
  </w:abstractNum>
  <w:abstractNum w:abstractNumId="196">
    <w:nsid w:val="5243BFAC"/>
    <w:multiLevelType w:val="hybridMultilevel"/>
    <w:lvl w:ilvl="0">
      <w:lvlJc w:val="left"/>
      <w:lvlText w:val="%1."/>
      <w:numFmt w:val="lowerLetter"/>
      <w:start w:val="2"/>
    </w:lvl>
  </w:abstractNum>
  <w:abstractNum w:abstractNumId="197">
    <w:nsid w:val="425EB207"/>
    <w:multiLevelType w:val="hybridMultilevel"/>
    <w:lvl w:ilvl="0">
      <w:lvlJc w:val="left"/>
      <w:lvlText w:val="%1."/>
      <w:numFmt w:val="lowerLetter"/>
      <w:start w:val="7"/>
    </w:lvl>
  </w:abstractNum>
  <w:abstractNum w:abstractNumId="198">
    <w:nsid w:val="334A6F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9">
    <w:nsid w:val="2E5B12B8"/>
    <w:multiLevelType w:val="hybridMultilevel"/>
    <w:lvl w:ilvl="0">
      <w:lvlJc w:val="left"/>
      <w:lvlText w:val="%1."/>
      <w:numFmt w:val="lowerRoman"/>
      <w:start w:val="2"/>
    </w:lvl>
  </w:abstractNum>
  <w:abstractNum w:abstractNumId="200">
    <w:nsid w:val="5C03D76D"/>
    <w:multiLevelType w:val="hybridMultilevel"/>
    <w:lvl w:ilvl="0">
      <w:lvlJc w:val="left"/>
      <w:lvlText w:val="%1"/>
      <w:numFmt w:val="decimal"/>
      <w:start w:val="1"/>
    </w:lvl>
    <w:lvl w:ilvl="1">
      <w:lvlJc w:val="left"/>
      <w:lvlText w:val="%2."/>
      <w:numFmt w:val="lowerLetter"/>
      <w:start w:val="10"/>
    </w:lvl>
  </w:abstractNum>
  <w:abstractNum w:abstractNumId="201">
    <w:nsid w:val="66A48D11"/>
    <w:multiLevelType w:val="hybridMultilevel"/>
    <w:lvl w:ilvl="0">
      <w:lvlJc w:val="left"/>
      <w:lvlText w:val="%1."/>
      <w:numFmt w:val="decimal"/>
      <w:start w:val="2"/>
    </w:lvl>
    <w:lvl w:ilvl="1">
      <w:lvlJc w:val="left"/>
      <w:lvlText w:val="%2."/>
      <w:numFmt w:val="lowerLetter"/>
      <w:start w:val="1"/>
    </w:lvl>
  </w:abstractNum>
  <w:abstractNum w:abstractNumId="202">
    <w:nsid w:val="56C28E34"/>
    <w:multiLevelType w:val="hybridMultilevel"/>
    <w:lvl w:ilvl="0">
      <w:lvlJc w:val="left"/>
      <w:lvlText w:val="%1."/>
      <w:numFmt w:val="decimal"/>
      <w:start w:val="3"/>
    </w:lvl>
    <w:lvl w:ilvl="1">
      <w:lvlJc w:val="left"/>
      <w:lvlText w:val="%2."/>
      <w:numFmt w:val="lowerLetter"/>
      <w:start w:val="1"/>
    </w:lvl>
  </w:abstractNum>
  <w:abstractNum w:abstractNumId="203">
    <w:nsid w:val="13916F2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lvl w:ilvl="3">
      <w:lvlJc w:val="left"/>
      <w:lvlText w:val="%4"/>
      <w:numFmt w:val="lowerRoman"/>
      <w:start w:val="1"/>
    </w:lvl>
  </w:abstractNum>
  <w:abstractNum w:abstractNumId="204">
    <w:nsid w:val="435D38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205">
    <w:nsid w:val="822C0EF"/>
    <w:multiLevelType w:val="hybridMultilevel"/>
    <w:lvl w:ilvl="0">
      <w:lvlJc w:val="left"/>
      <w:lvlText w:val="%1."/>
      <w:numFmt w:val="lowerRoman"/>
      <w:start w:val="2"/>
    </w:lvl>
  </w:abstractNum>
  <w:abstractNum w:abstractNumId="206">
    <w:nsid w:val="57C5BB4F"/>
    <w:multiLevelType w:val="hybridMultilevel"/>
    <w:lvl w:ilvl="0">
      <w:lvlJc w:val="left"/>
      <w:lvlText w:val="%1."/>
      <w:numFmt w:val="lowerLetter"/>
      <w:start w:val="2"/>
    </w:lvl>
    <w:lvl w:ilvl="1">
      <w:lvlJc w:val="left"/>
      <w:lvlText w:val="%2."/>
      <w:numFmt w:val="lowerRoman"/>
      <w:start w:val="1"/>
    </w:lvl>
  </w:abstractNum>
  <w:abstractNum w:abstractNumId="207">
    <w:nsid w:val="1803D089"/>
    <w:multiLevelType w:val="hybridMultilevel"/>
    <w:lvl w:ilvl="0">
      <w:lvlJc w:val="left"/>
      <w:lvlText w:val="%1."/>
      <w:numFmt w:val="lowerLetter"/>
      <w:start w:val="5"/>
    </w:lvl>
    <w:lvl w:ilvl="1">
      <w:lvlJc w:val="left"/>
      <w:lvlText w:val="%2."/>
      <w:numFmt w:val="lowerRoman"/>
      <w:start w:val="1"/>
    </w:lvl>
  </w:abstractNum>
  <w:abstractNum w:abstractNumId="208">
    <w:nsid w:val="4F3A06D4"/>
    <w:multiLevelType w:val="hybridMultilevel"/>
    <w:lvl w:ilvl="0">
      <w:lvlJc w:val="left"/>
      <w:lvlText w:val="%1."/>
      <w:numFmt w:val="decimal"/>
      <w:start w:val="1"/>
    </w:lvl>
    <w:lvl w:ilvl="1">
      <w:lvlJc w:val="left"/>
      <w:lvlText w:val="%2."/>
      <w:numFmt w:val="lowerLetter"/>
      <w:start w:val="1"/>
    </w:lvl>
  </w:abstractNum>
  <w:abstractNum w:abstractNumId="209">
    <w:nsid w:val="59A377B6"/>
    <w:multiLevelType w:val="hybridMultilevel"/>
    <w:lvl w:ilvl="0">
      <w:lvlJc w:val="left"/>
      <w:lvlText w:val="%1."/>
      <w:numFmt w:val="decimal"/>
      <w:start w:val="5"/>
    </w:lvl>
    <w:lvl w:ilvl="1">
      <w:lvlJc w:val="left"/>
      <w:lvlText w:val="%2."/>
      <w:numFmt w:val="lowerLetter"/>
      <w:start w:val="1"/>
    </w:lvl>
  </w:abstractNum>
  <w:abstractNum w:abstractNumId="210">
    <w:nsid w:val="48AEB063"/>
    <w:multiLevelType w:val="hybridMultilevel"/>
    <w:lvl w:ilvl="0">
      <w:lvlJc w:val="left"/>
      <w:lvlText w:val="(%1)"/>
      <w:numFmt w:val="lowerLetter"/>
      <w:start w:val="4"/>
    </w:lvl>
  </w:abstractNum>
  <w:abstractNum w:abstractNumId="211">
    <w:nsid w:val="24E135"/>
    <w:multiLevelType w:val="hybridMultilevel"/>
    <w:lvl w:ilvl="0">
      <w:lvlJc w:val="left"/>
      <w:lvlText w:val="(%1)"/>
      <w:numFmt w:val="lowerLetter"/>
      <w:start w:val="2"/>
    </w:lvl>
  </w:abstractNum>
  <w:abstractNum w:abstractNumId="212">
    <w:nsid w:val="BB13C1"/>
    <w:multiLevelType w:val="hybridMultilevel"/>
    <w:lvl w:ilvl="0">
      <w:lvlJc w:val="left"/>
      <w:lvlText w:val="[***]"/>
      <w:numFmt w:val="bullet"/>
      <w:start w:val="1"/>
    </w:lvl>
  </w:abstractNum>
  <w:abstractNum w:abstractNumId="213">
    <w:nsid w:val="271210C7"/>
    <w:multiLevelType w:val="hybridMultilevel"/>
    <w:lvl w:ilvl="0">
      <w:lvlJc w:val="left"/>
      <w:lvlText w:val="%1."/>
      <w:numFmt w:val="decimal"/>
      <w:start w:val="7"/>
    </w:lvl>
  </w:abstractNum>
  <w:abstractNum w:abstractNumId="214">
    <w:nsid w:val="217B22E4"/>
    <w:multiLevelType w:val="hybridMultilevel"/>
    <w:lvl w:ilvl="0">
      <w:lvlJc w:val="left"/>
      <w:lvlText w:val="(%1)"/>
      <w:numFmt w:val="lowerLetter"/>
      <w:start w:val="2"/>
    </w:lvl>
  </w:abstractNum>
  <w:abstractNum w:abstractNumId="215">
    <w:nsid w:val="53E31A24"/>
    <w:multiLevelType w:val="hybridMultilevel"/>
    <w:lvl w:ilvl="0">
      <w:lvlJc w:val="left"/>
      <w:lvlText w:val="(%1)"/>
      <w:numFmt w:val="lowerRoman"/>
      <w:start w:val="2"/>
    </w:lvl>
  </w:abstractNum>
  <w:abstractNum w:abstractNumId="216">
    <w:nsid w:val="6DC45E83"/>
    <w:multiLevelType w:val="hybridMultilevel"/>
    <w:lvl w:ilvl="0">
      <w:lvlJc w:val="left"/>
      <w:lvlText w:val="(%1)"/>
      <w:numFmt w:val="lowerRoman"/>
      <w:start w:val="2"/>
    </w:lvl>
  </w:abstractNum>
  <w:abstractNum w:abstractNumId="217">
    <w:nsid w:val="17304A67"/>
    <w:multiLevelType w:val="hybridMultilevel"/>
    <w:lvl w:ilvl="0">
      <w:lvlJc w:val="left"/>
      <w:lvlText w:val="(%1)"/>
      <w:numFmt w:val="lowerRoman"/>
      <w:start w:val="1"/>
    </w:lvl>
  </w:abstractNum>
  <w:abstractNum w:abstractNumId="218">
    <w:nsid w:val="2BB180D8"/>
    <w:multiLevelType w:val="hybridMultilevel"/>
    <w:lvl w:ilvl="0">
      <w:lvlJc w:val="left"/>
      <w:lvlText w:val="[***]"/>
      <w:numFmt w:val="bullet"/>
      <w:start w:val="1"/>
    </w:lvl>
  </w:abstractNum>
  <w:abstractNum w:abstractNumId="219">
    <w:nsid w:val="556B69ED"/>
    <w:multiLevelType w:val="hybridMultilevel"/>
    <w:lvl w:ilvl="0">
      <w:lvlJc w:val="left"/>
      <w:lvlText w:val="(%1)"/>
      <w:numFmt w:val="lowerLetter"/>
      <w:start w:val="3"/>
    </w:lvl>
  </w:abstractNum>
  <w:abstractNum w:abstractNumId="220">
    <w:nsid w:val="70836196"/>
    <w:multiLevelType w:val="hybridMultilevel"/>
    <w:lvl w:ilvl="0">
      <w:lvlJc w:val="left"/>
      <w:lvlText w:val="(%1)"/>
      <w:numFmt w:val="lowerLetter"/>
      <w:start w:val="3"/>
    </w:lvl>
  </w:abstractNum>
  <w:abstractNum w:abstractNumId="221">
    <w:nsid w:val="539F7F12"/>
    <w:multiLevelType w:val="hybridMultilevel"/>
    <w:lvl w:ilvl="0">
      <w:lvlJc w:val="left"/>
      <w:lvlText w:val="(%1)"/>
      <w:numFmt w:val="lowerLetter"/>
      <w:start w:val="1"/>
    </w:lvl>
  </w:abstractNum>
  <w:abstractNum w:abstractNumId="222">
    <w:nsid w:val="2817E7EC"/>
    <w:multiLevelType w:val="hybridMultilevel"/>
    <w:lvl w:ilvl="0">
      <w:lvlJc w:val="left"/>
      <w:lvlText w:val="%1."/>
      <w:numFmt w:val="decimal"/>
      <w:start w:val="11"/>
    </w:lvl>
  </w:abstractNum>
  <w:abstractNum w:abstractNumId="223">
    <w:nsid w:val="71482545"/>
    <w:multiLevelType w:val="hybridMultilevel"/>
    <w:lvl w:ilvl="0">
      <w:lvlJc w:val="left"/>
      <w:lvlText w:val="(%1)"/>
      <w:numFmt w:val="lowerRoman"/>
      <w:start w:val="2"/>
    </w:lvl>
  </w:abstractNum>
  <w:abstractNum w:abstractNumId="224">
    <w:nsid w:val="17D78639"/>
    <w:multiLevelType w:val="hybridMultilevel"/>
    <w:lvl w:ilvl="0">
      <w:lvlJc w:val="left"/>
      <w:lvlText w:val="(%1)"/>
      <w:numFmt w:val="lowerLetter"/>
      <w:start w:val="1"/>
    </w:lvl>
  </w:abstractNum>
  <w:abstractNum w:abstractNumId="225">
    <w:nsid w:val="141D2302"/>
    <w:multiLevelType w:val="hybridMultilevel"/>
    <w:lvl w:ilvl="0">
      <w:lvlJc w:val="left"/>
      <w:lvlText w:val="%1."/>
      <w:numFmt w:val="decimal"/>
      <w:start w:val="12"/>
    </w:lvl>
  </w:abstractNum>
  <w:abstractNum w:abstractNumId="226">
    <w:nsid w:val="407168D8"/>
    <w:multiLevelType w:val="hybridMultilevel"/>
    <w:lvl w:ilvl="0">
      <w:lvlJc w:val="left"/>
      <w:lvlText w:val="%1."/>
      <w:numFmt w:val="decimal"/>
      <w:start w:val="13"/>
    </w:lvl>
  </w:abstractNum>
  <w:abstractNum w:abstractNumId="227">
    <w:nsid w:val="6A1B45E5"/>
    <w:multiLevelType w:val="hybridMultilevel"/>
    <w:lvl w:ilvl="0">
      <w:lvlJc w:val="left"/>
      <w:lvlText w:val="(%1)"/>
      <w:numFmt w:val="lowerLetter"/>
      <w:start w:val="2"/>
    </w:lvl>
  </w:abstractNum>
  <w:abstractNum w:abstractNumId="228">
    <w:nsid w:val="567BD50A"/>
    <w:multiLevelType w:val="hybridMultilevel"/>
    <w:lvl w:ilvl="0">
      <w:lvlJc w:val="left"/>
      <w:lvlText w:val="%1."/>
      <w:numFmt w:val="decimal"/>
      <w:start w:val="14"/>
    </w:lvl>
  </w:abstractNum>
  <w:abstractNum w:abstractNumId="229">
    <w:nsid w:val="73BBD7F8"/>
    <w:multiLevelType w:val="hybridMultilevel"/>
    <w:lvl w:ilvl="0">
      <w:lvlJc w:val="left"/>
      <w:lvlText w:val="(%1)"/>
      <w:numFmt w:val="lowerRoman"/>
      <w:start w:val="3"/>
    </w:lvl>
  </w:abstractNum>
  <w:abstractNum w:abstractNumId="230">
    <w:nsid w:val="1876589D"/>
    <w:multiLevelType w:val="hybridMultilevel"/>
    <w:lvl w:ilvl="0">
      <w:lvlJc w:val="left"/>
      <w:lvlText w:val="%1."/>
      <w:numFmt w:val="decimal"/>
      <w:start w:val="1"/>
    </w:lvl>
    <w:lvl w:ilvl="1">
      <w:lvlJc w:val="left"/>
      <w:lvlText w:val="%2."/>
      <w:numFmt w:val="lowerLetter"/>
      <w:start w:val="1"/>
    </w:lvl>
  </w:abstractNum>
  <w:abstractNum w:abstractNumId="231">
    <w:nsid w:val="327FAC77"/>
    <w:multiLevelType w:val="hybridMultilevel"/>
    <w:lvl w:ilvl="0">
      <w:lvlJc w:val="left"/>
      <w:lvlText w:val="%1."/>
      <w:numFmt w:val="lowerLetter"/>
      <w:start w:val="7"/>
    </w:lvl>
  </w:abstractNum>
  <w:abstractNum w:abstractNumId="232">
    <w:nsid w:val="5A606509"/>
    <w:multiLevelType w:val="hybridMultilevel"/>
    <w:lvl w:ilvl="0">
      <w:lvlJc w:val="left"/>
      <w:lvlText w:val="%1."/>
      <w:numFmt w:val="lowerLetter"/>
      <w:start w:val="20"/>
    </w:lvl>
  </w:abstractNum>
  <w:abstractNum w:abstractNumId="233">
    <w:nsid w:val="6F38E6D1"/>
    <w:multiLevelType w:val="hybridMultilevel"/>
    <w:lvl w:ilvl="0">
      <w:lvlJc w:val="left"/>
      <w:lvlText w:val="%1."/>
      <w:numFmt w:val="lowerLetter"/>
      <w:start w:val="27"/>
    </w:lvl>
  </w:abstractNum>
  <w:abstractNum w:abstractNumId="234">
    <w:nsid w:val="46111BA5"/>
    <w:multiLevelType w:val="hybridMultilevel"/>
    <w:lvl w:ilvl="0">
      <w:lvlJc w:val="left"/>
      <w:lvlText w:val="%1."/>
      <w:numFmt w:val="lowerLetter"/>
      <w:start w:val="38"/>
    </w:lvl>
  </w:abstractNum>
  <w:abstractNum w:abstractNumId="235">
    <w:nsid w:val="5E963896"/>
    <w:multiLevelType w:val="hybridMultilevel"/>
    <w:lvl w:ilvl="0">
      <w:lvlJc w:val="left"/>
      <w:lvlText w:val="%1."/>
      <w:numFmt w:val="lowerLetter"/>
      <w:start w:val="53"/>
    </w:lvl>
  </w:abstractNum>
  <w:abstractNum w:abstractNumId="236">
    <w:nsid w:val="775BA7C1"/>
    <w:multiLevelType w:val="hybridMultilevel"/>
    <w:lvl w:ilvl="0">
      <w:lvlJc w:val="left"/>
      <w:lvlText w:val="%1."/>
      <w:numFmt w:val="lowerLetter"/>
      <w:start w:val="54"/>
    </w:lvl>
  </w:abstractNum>
  <w:abstractNum w:abstractNumId="237">
    <w:nsid w:val="1DD6D6F4"/>
    <w:multiLevelType w:val="hybridMultilevel"/>
    <w:lvl w:ilvl="0">
      <w:lvlJc w:val="left"/>
      <w:lvlText w:val="%1."/>
      <w:numFmt w:val="decimal"/>
      <w:start w:val="2"/>
    </w:lvl>
    <w:lvl w:ilvl="1">
      <w:lvlJc w:val="left"/>
      <w:lvlText w:val="%2."/>
      <w:numFmt w:val="lowerLetter"/>
      <w:start w:val="1"/>
    </w:lvl>
  </w:abstractNum>
  <w:abstractNum w:abstractNumId="238">
    <w:nsid w:val="769A091F"/>
    <w:multiLevelType w:val="hybridMultilevel"/>
    <w:lvl w:ilvl="0">
      <w:lvlJc w:val="left"/>
      <w:lvlText w:val="%1."/>
      <w:numFmt w:val="lowerLetter"/>
      <w:start w:val="2"/>
    </w:lvl>
    <w:lvl w:ilvl="1">
      <w:lvlJc w:val="left"/>
      <w:lvlText w:val="%2."/>
      <w:numFmt w:val="lowerRoman"/>
      <w:start w:val="1"/>
    </w:lvl>
  </w:abstractNum>
  <w:abstractNum w:abstractNumId="239">
    <w:nsid w:val="4695AE95"/>
    <w:multiLevelType w:val="hybridMultilevel"/>
    <w:lvl w:ilvl="0">
      <w:lvlJc w:val="left"/>
      <w:lvlText w:val="%1"/>
      <w:numFmt w:val="lowerLetter"/>
      <w:start w:val="1"/>
    </w:lvl>
    <w:lvl w:ilvl="1">
      <w:lvlJc w:val="left"/>
      <w:lvlText w:val="%2."/>
      <w:numFmt w:val="lowerLetter"/>
      <w:start w:val="35"/>
    </w:lvl>
  </w:abstractNum>
  <w:abstractNum w:abstractNumId="240">
    <w:nsid w:val="777A4EAA"/>
    <w:multiLevelType w:val="hybridMultilevel"/>
    <w:lvl w:ilvl="0">
      <w:lvlJc w:val="left"/>
      <w:lvlText w:val="%1."/>
      <w:numFmt w:val="lowerLetter"/>
      <w:start w:val="4"/>
    </w:lvl>
    <w:lvl w:ilvl="1">
      <w:lvlJc w:val="left"/>
      <w:lvlText w:val="%2."/>
      <w:numFmt w:val="lowerLetter"/>
      <w:start w:val="9"/>
    </w:lvl>
  </w:abstractNum>
  <w:abstractNum w:abstractNumId="241">
    <w:nsid w:val="3F48B982"/>
    <w:multiLevelType w:val="hybridMultilevel"/>
    <w:lvl w:ilvl="0">
      <w:lvlJc w:val="left"/>
      <w:lvlText w:val="%1."/>
      <w:numFmt w:val="lowerRoman"/>
      <w:start w:val="2"/>
    </w:lvl>
  </w:abstractNum>
  <w:abstractNum w:abstractNumId="242">
    <w:nsid w:val="46BA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43">
    <w:nsid w:val="7835626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4">
    <w:nsid w:val="665ACA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5">
    <w:nsid w:val="6835B2A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46">
    <w:nsid w:val="4C187C9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47">
    <w:nsid w:val="541F28C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8">
    <w:nsid w:val="7F65FD16"/>
    <w:multiLevelType w:val="hybridMultilevel"/>
    <w:lvl w:ilvl="0">
      <w:lvlJc w:val="left"/>
      <w:lvlText w:val="%1."/>
      <w:numFmt w:val="lowerLetter"/>
      <w:start w:val="2"/>
    </w:lvl>
    <w:lvl w:ilvl="1">
      <w:lvlJc w:val="left"/>
      <w:lvlText w:val="%2."/>
      <w:numFmt w:val="lowerRoman"/>
      <w:start w:val="1"/>
    </w:lvl>
  </w:abstractNum>
  <w:abstractNum w:abstractNumId="249">
    <w:nsid w:val="77C9FD68"/>
    <w:multiLevelType w:val="hybridMultilevel"/>
    <w:lvl w:ilvl="0">
      <w:lvlJc w:val="left"/>
      <w:lvlText w:val="%1."/>
      <w:numFmt w:val="lowerLetter"/>
      <w:start w:val="3"/>
    </w:lvl>
    <w:lvl w:ilvl="1">
      <w:lvlJc w:val="left"/>
      <w:lvlText w:val="%2."/>
      <w:numFmt w:val="lowerRoman"/>
      <w:start w:val="1"/>
    </w:lvl>
  </w:abstractNum>
  <w:abstractNum w:abstractNumId="250">
    <w:nsid w:val="298A92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51">
    <w:nsid w:val="6FE95EA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2">
    <w:nsid w:val="4B697C7A"/>
    <w:multiLevelType w:val="hybridMultilevel"/>
    <w:lvl w:ilvl="0">
      <w:lvlJc w:val="left"/>
      <w:lvlText w:val="%1."/>
      <w:numFmt w:val="lowerLetter"/>
      <w:start w:val="5"/>
    </w:lvl>
  </w:abstractNum>
  <w:abstractNum w:abstractNumId="253">
    <w:nsid w:val="51A27AA6"/>
    <w:multiLevelType w:val="hybridMultilevel"/>
    <w:lvl w:ilvl="0">
      <w:lvlJc w:val="left"/>
      <w:lvlText w:val="%1"/>
      <w:numFmt w:val="decimal"/>
      <w:start w:val="1"/>
    </w:lvl>
    <w:lvl w:ilvl="1">
      <w:lvlJc w:val="left"/>
      <w:lvlText w:val="%2."/>
      <w:numFmt w:val="lowerLetter"/>
      <w:start w:val="12"/>
    </w:lvl>
  </w:abstractNum>
  <w:abstractNum w:abstractNumId="254">
    <w:nsid w:val="613183F2"/>
    <w:multiLevelType w:val="hybridMultilevel"/>
    <w:lvl w:ilvl="0">
      <w:lvlJc w:val="left"/>
      <w:lvlText w:val="%1."/>
      <w:numFmt w:val="decimal"/>
      <w:start w:val="7"/>
    </w:lvl>
    <w:lvl w:ilvl="1">
      <w:lvlJc w:val="left"/>
      <w:lvlText w:val="%2."/>
      <w:numFmt w:val="lowerLetter"/>
      <w:start w:val="1"/>
    </w:lvl>
  </w:abstractNum>
  <w:abstractNum w:abstractNumId="255">
    <w:nsid w:val="634102B4"/>
    <w:multiLevelType w:val="hybridMultilevel"/>
    <w:lvl w:ilvl="0">
      <w:lvlJc w:val="left"/>
      <w:lvlText w:val="%1."/>
      <w:numFmt w:val="decimal"/>
      <w:start w:val="8"/>
    </w:lvl>
    <w:lvl w:ilvl="1">
      <w:lvlJc w:val="left"/>
      <w:lvlText w:val="%2."/>
      <w:numFmt w:val="lowerLetter"/>
      <w:start w:val="1"/>
    </w:lvl>
  </w:abstractNum>
  <w:abstractNum w:abstractNumId="256">
    <w:nsid w:val="65BF9DA8"/>
    <w:multiLevelType w:val="hybridMultilevel"/>
    <w:lvl w:ilvl="0">
      <w:lvlJc w:val="left"/>
      <w:lvlText w:val="%1"/>
      <w:numFmt w:val="decimal"/>
      <w:start w:val="1"/>
    </w:lvl>
    <w:lvl w:ilvl="1">
      <w:lvlJc w:val="left"/>
      <w:lvlText w:val="%2."/>
      <w:numFmt w:val="lowerLetter"/>
      <w:start w:val="4"/>
    </w:lvl>
  </w:abstractNum>
  <w:abstractNum w:abstractNumId="257">
    <w:nsid w:val="21A2ECCA"/>
    <w:multiLevelType w:val="hybridMultilevel"/>
    <w:lvl w:ilvl="0">
      <w:lvlJc w:val="left"/>
      <w:lvlText w:val="%1."/>
      <w:numFmt w:val="decimal"/>
      <w:start w:val="9"/>
    </w:lvl>
    <w:lvl w:ilvl="1">
      <w:lvlJc w:val="left"/>
      <w:lvlText w:val="%2."/>
      <w:numFmt w:val="lowerLetter"/>
      <w:start w:val="1"/>
    </w:lvl>
  </w:abstractNum>
  <w:abstractNum w:abstractNumId="258">
    <w:nsid w:val="4D5C4899"/>
    <w:multiLevelType w:val="hybridMultilevel"/>
    <w:lvl w:ilvl="0">
      <w:lvlJc w:val="left"/>
      <w:lvlText w:val="%1"/>
      <w:numFmt w:val="decimal"/>
      <w:start w:val="1"/>
    </w:lvl>
    <w:lvl w:ilvl="1">
      <w:lvlJc w:val="left"/>
      <w:lvlText w:val="%2."/>
      <w:numFmt w:val="lowerLetter"/>
      <w:start w:val="3"/>
    </w:lvl>
  </w:abstractNum>
  <w:abstractNum w:abstractNumId="259">
    <w:nsid w:val="3C3B72B2"/>
    <w:multiLevelType w:val="hybridMultilevel"/>
    <w:lvl w:ilvl="0">
      <w:lvlJc w:val="left"/>
      <w:lvlText w:val="%1."/>
      <w:numFmt w:val="decimal"/>
      <w:start w:val="11"/>
    </w:lvl>
    <w:lvl w:ilvl="1">
      <w:lvlJc w:val="left"/>
      <w:lvlText w:val="%2."/>
      <w:numFmt w:val="lowerLetter"/>
      <w:start w:val="1"/>
    </w:lvl>
  </w:abstractNum>
  <w:abstractNum w:abstractNumId="260">
    <w:nsid w:val="155EC4C2"/>
    <w:multiLevelType w:val="hybridMultilevel"/>
    <w:lvl w:ilvl="0">
      <w:lvlJc w:val="left"/>
      <w:lvlText w:val="%1."/>
      <w:numFmt w:val="lowerLetter"/>
      <w:start w:val="4"/>
    </w:lvl>
  </w:abstractNum>
  <w:abstractNum w:abstractNumId="261">
    <w:nsid w:val="65D2A137"/>
    <w:multiLevelType w:val="hybridMultilevel"/>
    <w:lvl w:ilvl="0">
      <w:lvlJc w:val="left"/>
      <w:lvlText w:val="%1."/>
      <w:numFmt w:val="decimal"/>
      <w:start w:val="1"/>
    </w:lvl>
    <w:lvl w:ilvl="1">
      <w:lvlJc w:val="left"/>
      <w:lvlText w:val="%2."/>
      <w:numFmt w:val="lowerLetter"/>
      <w:start w:val="1"/>
    </w:lvl>
  </w:abstractNum>
  <w:abstractNum w:abstractNumId="262">
    <w:nsid w:val="6EBB1F2A"/>
    <w:multiLevelType w:val="hybridMultilevel"/>
    <w:lvl w:ilvl="0">
      <w:lvlJc w:val="left"/>
      <w:lvlText w:val="(%1)"/>
      <w:numFmt w:val="lowerLetter"/>
      <w:start w:val="2"/>
    </w:lvl>
  </w:abstractNum>
  <w:abstractNum w:abstractNumId="263">
    <w:nsid w:val="6FBF29CB"/>
    <w:multiLevelType w:val="hybridMultilevel"/>
    <w:lvl w:ilvl="0">
      <w:lvlJc w:val="left"/>
      <w:lvlText w:val="(%1)"/>
      <w:numFmt w:val="lowerLetter"/>
      <w:start w:val="3"/>
    </w:lvl>
  </w:abstractNum>
  <w:abstractNum w:abstractNumId="264">
    <w:nsid w:val="550B8808"/>
    <w:multiLevelType w:val="hybridMultilevel"/>
    <w:lvl w:ilvl="0">
      <w:lvlJc w:val="left"/>
      <w:lvlText w:val="%1"/>
      <w:numFmt w:val="upperLetter"/>
      <w:start w:val="37"/>
    </w:lvl>
  </w:abstractNum>
  <w:abstractNum w:abstractNumId="265">
    <w:nsid w:val="34CC3ACF"/>
    <w:multiLevelType w:val="hybridMultilevel"/>
    <w:lvl w:ilvl="0">
      <w:lvlJc w:val="left"/>
      <w:lvlText w:val="%1"/>
      <w:numFmt w:val="upperLetter"/>
      <w:start w:val="37"/>
    </w:lvl>
  </w:abstractNum>
  <w:abstractNum w:abstractNumId="266">
    <w:nsid w:val="4E556261"/>
    <w:multiLevelType w:val="hybridMultilevel"/>
    <w:lvl w:ilvl="0">
      <w:lvlJc w:val="left"/>
      <w:lvlText w:val="%1"/>
      <w:numFmt w:val="upperLetter"/>
      <w:start w:val="37"/>
    </w:lvl>
  </w:abstractNum>
  <w:abstractNum w:abstractNumId="267">
    <w:nsid w:val="4C672FC9"/>
    <w:multiLevelType w:val="hybridMultilevel"/>
    <w:lvl w:ilvl="0">
      <w:lvlJc w:val="left"/>
      <w:lvlText w:val="%1."/>
      <w:numFmt w:val="decimal"/>
      <w:start w:val="1"/>
    </w:lvl>
  </w:abstractNum>
  <w:abstractNum w:abstractNumId="268">
    <w:nsid w:val="52A311C3"/>
    <w:multiLevelType w:val="hybridMultilevel"/>
    <w:lvl w:ilvl="0">
      <w:lvlJc w:val="left"/>
      <w:lvlText w:val="%1."/>
      <w:numFmt w:val="lowerLetter"/>
      <w:start w:val="1"/>
    </w:lvl>
  </w:abstractNum>
  <w:abstractNum w:abstractNumId="269">
    <w:nsid w:val="44EF6B80"/>
    <w:multiLevelType w:val="hybridMultilevel"/>
    <w:lvl w:ilvl="0">
      <w:lvlJc w:val="left"/>
      <w:lvlText w:val="%1."/>
      <w:numFmt w:val="lowerLetter"/>
      <w:start w:val="2"/>
    </w:lvl>
  </w:abstractNum>
  <w:abstractNum w:abstractNumId="270">
    <w:nsid w:val="12FCDE5E"/>
    <w:multiLevelType w:val="hybridMultilevel"/>
    <w:lvl w:ilvl="0">
      <w:lvlJc w:val="left"/>
      <w:lvlText w:val="%1."/>
      <w:numFmt w:val="lowerLetter"/>
      <w:start w:val="3"/>
    </w:lvl>
  </w:abstractNum>
  <w:abstractNum w:abstractNumId="271">
    <w:nsid w:val="4A1D606E"/>
    <w:multiLevelType w:val="hybridMultilevel"/>
    <w:lvl w:ilvl="0">
      <w:lvlJc w:val="left"/>
      <w:lvlText w:val="%1."/>
      <w:numFmt w:val="decimal"/>
      <w:start w:val="3"/>
    </w:lvl>
  </w:abstractNum>
  <w:abstractNum w:abstractNumId="272">
    <w:nsid w:val="438250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59"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png"/><Relationship Id="rId472" Type="http://schemas.openxmlformats.org/officeDocument/2006/relationships/image" Target="media/image436.png"/><Relationship Id="rId473" Type="http://schemas.openxmlformats.org/officeDocument/2006/relationships/image" Target="media/image437.png"/><Relationship Id="rId474" Type="http://schemas.openxmlformats.org/officeDocument/2006/relationships/image" Target="media/image438.png"/><Relationship Id="rId475" Type="http://schemas.openxmlformats.org/officeDocument/2006/relationships/image" Target="media/image439.png"/><Relationship Id="rId476" Type="http://schemas.openxmlformats.org/officeDocument/2006/relationships/image" Target="media/image440.png"/><Relationship Id="rId477" Type="http://schemas.openxmlformats.org/officeDocument/2006/relationships/image" Target="media/image441.png"/><Relationship Id="rId478" Type="http://schemas.openxmlformats.org/officeDocument/2006/relationships/image" Target="media/image442.png"/><Relationship Id="rId479" Type="http://schemas.openxmlformats.org/officeDocument/2006/relationships/image" Target="media/image443.png"/><Relationship Id="rId480" Type="http://schemas.openxmlformats.org/officeDocument/2006/relationships/image" Target="media/image444.png"/><Relationship Id="rId481" Type="http://schemas.openxmlformats.org/officeDocument/2006/relationships/image" Target="media/image445.png"/><Relationship Id="rId482" Type="http://schemas.openxmlformats.org/officeDocument/2006/relationships/image" Target="media/image446.png"/><Relationship Id="rId483" Type="http://schemas.openxmlformats.org/officeDocument/2006/relationships/image" Target="media/image447.png"/><Relationship Id="rId484" Type="http://schemas.openxmlformats.org/officeDocument/2006/relationships/image" Target="media/image448.png"/><Relationship Id="rId485" Type="http://schemas.openxmlformats.org/officeDocument/2006/relationships/image" Target="media/image449.png"/><Relationship Id="rId486" Type="http://schemas.openxmlformats.org/officeDocument/2006/relationships/image" Target="media/image450.png"/><Relationship Id="rId487" Type="http://schemas.openxmlformats.org/officeDocument/2006/relationships/image" Target="media/image451.png"/><Relationship Id="rId488" Type="http://schemas.openxmlformats.org/officeDocument/2006/relationships/image" Target="media/image452.png"/><Relationship Id="rId489" Type="http://schemas.openxmlformats.org/officeDocument/2006/relationships/image" Target="media/image453.png"/><Relationship Id="rId490" Type="http://schemas.openxmlformats.org/officeDocument/2006/relationships/image" Target="media/image454.png"/><Relationship Id="rId491" Type="http://schemas.openxmlformats.org/officeDocument/2006/relationships/image" Target="media/image455.png"/><Relationship Id="rId492" Type="http://schemas.openxmlformats.org/officeDocument/2006/relationships/image" Target="media/image456.png"/><Relationship Id="rId493" Type="http://schemas.openxmlformats.org/officeDocument/2006/relationships/image" Target="media/image457.png"/><Relationship Id="rId494" Type="http://schemas.openxmlformats.org/officeDocument/2006/relationships/image" Target="media/image458.png"/><Relationship Id="rId495" Type="http://schemas.openxmlformats.org/officeDocument/2006/relationships/image" Target="media/image459.png"/><Relationship Id="rId496" Type="http://schemas.openxmlformats.org/officeDocument/2006/relationships/image" Target="media/image460.png"/><Relationship Id="rId497" Type="http://schemas.openxmlformats.org/officeDocument/2006/relationships/image" Target="media/image461.png"/><Relationship Id="rId498" Type="http://schemas.openxmlformats.org/officeDocument/2006/relationships/image" Target="media/image462.png"/><Relationship Id="rId499" Type="http://schemas.openxmlformats.org/officeDocument/2006/relationships/image" Target="media/image463.png"/><Relationship Id="rId500" Type="http://schemas.openxmlformats.org/officeDocument/2006/relationships/image" Target="media/image464.png"/><Relationship Id="rId501" Type="http://schemas.openxmlformats.org/officeDocument/2006/relationships/image" Target="media/image465.png"/><Relationship Id="rId502" Type="http://schemas.openxmlformats.org/officeDocument/2006/relationships/image" Target="media/image466.png"/><Relationship Id="rId503" Type="http://schemas.openxmlformats.org/officeDocument/2006/relationships/image" Target="media/image467.png"/><Relationship Id="rId504" Type="http://schemas.openxmlformats.org/officeDocument/2006/relationships/image" Target="media/image468.png"/><Relationship Id="rId505" Type="http://schemas.openxmlformats.org/officeDocument/2006/relationships/image" Target="media/image469.png"/><Relationship Id="rId506" Type="http://schemas.openxmlformats.org/officeDocument/2006/relationships/image" Target="media/image470.png"/><Relationship Id="rId507" Type="http://schemas.openxmlformats.org/officeDocument/2006/relationships/image" Target="media/image471.png"/><Relationship Id="rId508" Type="http://schemas.openxmlformats.org/officeDocument/2006/relationships/image" Target="media/image472.png"/><Relationship Id="rId509" Type="http://schemas.openxmlformats.org/officeDocument/2006/relationships/image" Target="media/image473.png"/><Relationship Id="rId510" Type="http://schemas.openxmlformats.org/officeDocument/2006/relationships/image" Target="media/image474.png"/><Relationship Id="rId511" Type="http://schemas.openxmlformats.org/officeDocument/2006/relationships/image" Target="media/image475.png"/><Relationship Id="rId512" Type="http://schemas.openxmlformats.org/officeDocument/2006/relationships/image" Target="media/image476.png"/><Relationship Id="rId513" Type="http://schemas.openxmlformats.org/officeDocument/2006/relationships/image" Target="media/image477.png"/><Relationship Id="rId514" Type="http://schemas.openxmlformats.org/officeDocument/2006/relationships/image" Target="media/image478.png"/><Relationship Id="rId515" Type="http://schemas.openxmlformats.org/officeDocument/2006/relationships/image" Target="media/image479.png"/><Relationship Id="rId516" Type="http://schemas.openxmlformats.org/officeDocument/2006/relationships/image" Target="media/image480.png"/><Relationship Id="rId517" Type="http://schemas.openxmlformats.org/officeDocument/2006/relationships/image" Target="media/image481.png"/><Relationship Id="rId518" Type="http://schemas.openxmlformats.org/officeDocument/2006/relationships/image" Target="media/image482.png"/><Relationship Id="rId519" Type="http://schemas.openxmlformats.org/officeDocument/2006/relationships/image" Target="media/image483.png"/><Relationship Id="rId520" Type="http://schemas.openxmlformats.org/officeDocument/2006/relationships/image" Target="media/image484.png"/><Relationship Id="rId521" Type="http://schemas.openxmlformats.org/officeDocument/2006/relationships/image" Target="media/image485.png"/><Relationship Id="rId522" Type="http://schemas.openxmlformats.org/officeDocument/2006/relationships/image" Target="media/image486.png"/><Relationship Id="rId523" Type="http://schemas.openxmlformats.org/officeDocument/2006/relationships/image" Target="media/image487.png"/><Relationship Id="rId524" Type="http://schemas.openxmlformats.org/officeDocument/2006/relationships/image" Target="media/image488.png"/><Relationship Id="rId525" Type="http://schemas.openxmlformats.org/officeDocument/2006/relationships/image" Target="media/image489.png"/><Relationship Id="rId526" Type="http://schemas.openxmlformats.org/officeDocument/2006/relationships/image" Target="media/image490.png"/><Relationship Id="rId527" Type="http://schemas.openxmlformats.org/officeDocument/2006/relationships/image" Target="media/image491.png"/><Relationship Id="rId528" Type="http://schemas.openxmlformats.org/officeDocument/2006/relationships/image" Target="media/image492.png"/><Relationship Id="rId529" Type="http://schemas.openxmlformats.org/officeDocument/2006/relationships/image" Target="media/image493.png"/><Relationship Id="rId530" Type="http://schemas.openxmlformats.org/officeDocument/2006/relationships/image" Target="media/image494.png"/><Relationship Id="rId531" Type="http://schemas.openxmlformats.org/officeDocument/2006/relationships/image" Target="media/image495.png"/><Relationship Id="rId532" Type="http://schemas.openxmlformats.org/officeDocument/2006/relationships/image" Target="media/image496.png"/><Relationship Id="rId533" Type="http://schemas.openxmlformats.org/officeDocument/2006/relationships/image" Target="media/image497.jpeg"/><Relationship Id="rId534" Type="http://schemas.openxmlformats.org/officeDocument/2006/relationships/image" Target="media/image498.png"/><Relationship Id="rId535" Type="http://schemas.openxmlformats.org/officeDocument/2006/relationships/image" Target="media/image499.jpeg"/><Relationship Id="rId536" Type="http://schemas.openxmlformats.org/officeDocument/2006/relationships/image" Target="media/image500.png"/><Relationship Id="rId537" Type="http://schemas.openxmlformats.org/officeDocument/2006/relationships/image" Target="media/image501.jpeg"/><Relationship Id="rId538" Type="http://schemas.openxmlformats.org/officeDocument/2006/relationships/image" Target="media/image502.png"/><Relationship Id="rId539" Type="http://schemas.openxmlformats.org/officeDocument/2006/relationships/image" Target="media/image503.png"/><Relationship Id="rId540" Type="http://schemas.openxmlformats.org/officeDocument/2006/relationships/image" Target="media/image504.png"/><Relationship Id="rId541" Type="http://schemas.openxmlformats.org/officeDocument/2006/relationships/image" Target="media/image505.png"/><Relationship Id="rId542" Type="http://schemas.openxmlformats.org/officeDocument/2006/relationships/image" Target="media/image506.png"/><Relationship Id="rId543" Type="http://schemas.openxmlformats.org/officeDocument/2006/relationships/image" Target="media/image507.png"/><Relationship Id="rId544" Type="http://schemas.openxmlformats.org/officeDocument/2006/relationships/image" Target="media/image508.png"/><Relationship Id="rId545" Type="http://schemas.openxmlformats.org/officeDocument/2006/relationships/image" Target="media/image509.png"/><Relationship Id="rId546" Type="http://schemas.openxmlformats.org/officeDocument/2006/relationships/image" Target="media/image510.png"/><Relationship Id="rId547" Type="http://schemas.openxmlformats.org/officeDocument/2006/relationships/image" Target="media/image511.png"/><Relationship Id="rId548" Type="http://schemas.openxmlformats.org/officeDocument/2006/relationships/image" Target="media/image512.png"/><Relationship Id="rId549" Type="http://schemas.openxmlformats.org/officeDocument/2006/relationships/image" Target="media/image513.png"/><Relationship Id="rId550" Type="http://schemas.openxmlformats.org/officeDocument/2006/relationships/image" Target="media/image514.png"/><Relationship Id="rId551" Type="http://schemas.openxmlformats.org/officeDocument/2006/relationships/image" Target="media/image515.png"/><Relationship Id="rId552" Type="http://schemas.openxmlformats.org/officeDocument/2006/relationships/image" Target="media/image516.png"/><Relationship Id="rId553" Type="http://schemas.openxmlformats.org/officeDocument/2006/relationships/image" Target="media/image517.png"/><Relationship Id="rId554" Type="http://schemas.openxmlformats.org/officeDocument/2006/relationships/image" Target="media/image518.png"/><Relationship Id="rId555" Type="http://schemas.openxmlformats.org/officeDocument/2006/relationships/image" Target="media/image519.png"/><Relationship Id="rId556" Type="http://schemas.openxmlformats.org/officeDocument/2006/relationships/image" Target="media/image520.png"/><Relationship Id="rId557" Type="http://schemas.openxmlformats.org/officeDocument/2006/relationships/image" Target="media/image521.png"/><Relationship Id="rId558" Type="http://schemas.openxmlformats.org/officeDocument/2006/relationships/image" Target="media/image522.png"/><Relationship Id="rId559" Type="http://schemas.openxmlformats.org/officeDocument/2006/relationships/image" Target="media/image523.png"/><Relationship Id="rId560" Type="http://schemas.openxmlformats.org/officeDocument/2006/relationships/image" Target="media/image524.png"/><Relationship Id="rId561" Type="http://schemas.openxmlformats.org/officeDocument/2006/relationships/image" Target="media/image525.png"/><Relationship Id="rId562" Type="http://schemas.openxmlformats.org/officeDocument/2006/relationships/image" Target="media/image526.png"/><Relationship Id="rId563" Type="http://schemas.openxmlformats.org/officeDocument/2006/relationships/image" Target="media/image527.png"/><Relationship Id="rId564" Type="http://schemas.openxmlformats.org/officeDocument/2006/relationships/image" Target="media/image528.png"/><Relationship Id="rId565" Type="http://schemas.openxmlformats.org/officeDocument/2006/relationships/image" Target="media/image529.png"/><Relationship Id="rId566" Type="http://schemas.openxmlformats.org/officeDocument/2006/relationships/image" Target="media/image530.png"/><Relationship Id="rId567" Type="http://schemas.openxmlformats.org/officeDocument/2006/relationships/image" Target="media/image531.png"/><Relationship Id="rId568" Type="http://schemas.openxmlformats.org/officeDocument/2006/relationships/image" Target="media/image532.png"/><Relationship Id="rId569" Type="http://schemas.openxmlformats.org/officeDocument/2006/relationships/image" Target="media/image533.png"/><Relationship Id="rId570" Type="http://schemas.openxmlformats.org/officeDocument/2006/relationships/image" Target="media/image534.png"/><Relationship Id="rId571" Type="http://schemas.openxmlformats.org/officeDocument/2006/relationships/image" Target="media/image535.png"/><Relationship Id="rId572" Type="http://schemas.openxmlformats.org/officeDocument/2006/relationships/image" Target="media/image536.png"/><Relationship Id="rId573" Type="http://schemas.openxmlformats.org/officeDocument/2006/relationships/image" Target="media/image537.png"/><Relationship Id="rId574" Type="http://schemas.openxmlformats.org/officeDocument/2006/relationships/image" Target="media/image538.png"/><Relationship Id="rId575" Type="http://schemas.openxmlformats.org/officeDocument/2006/relationships/image" Target="media/image539.png"/><Relationship Id="rId576" Type="http://schemas.openxmlformats.org/officeDocument/2006/relationships/image" Target="media/image540.png"/><Relationship Id="rId577" Type="http://schemas.openxmlformats.org/officeDocument/2006/relationships/image" Target="media/image541.png"/><Relationship Id="rId578" Type="http://schemas.openxmlformats.org/officeDocument/2006/relationships/image" Target="media/image542.png"/><Relationship Id="rId579" Type="http://schemas.openxmlformats.org/officeDocument/2006/relationships/image" Target="media/image543.png"/><Relationship Id="rId580" Type="http://schemas.openxmlformats.org/officeDocument/2006/relationships/image" Target="media/image544.png"/><Relationship Id="rId581" Type="http://schemas.openxmlformats.org/officeDocument/2006/relationships/image" Target="media/image545.png"/><Relationship Id="rId582" Type="http://schemas.openxmlformats.org/officeDocument/2006/relationships/image" Target="media/image546.png"/><Relationship Id="rId583" Type="http://schemas.openxmlformats.org/officeDocument/2006/relationships/image" Target="media/image547.png"/><Relationship Id="rId584" Type="http://schemas.openxmlformats.org/officeDocument/2006/relationships/image" Target="media/image548.png"/><Relationship Id="rId585" Type="http://schemas.openxmlformats.org/officeDocument/2006/relationships/image" Target="media/image549.png"/><Relationship Id="rId586" Type="http://schemas.openxmlformats.org/officeDocument/2006/relationships/image" Target="media/image550.png"/><Relationship Id="rId587" Type="http://schemas.openxmlformats.org/officeDocument/2006/relationships/image" Target="media/image551.png"/><Relationship Id="rId588" Type="http://schemas.openxmlformats.org/officeDocument/2006/relationships/image" Target="media/image552.png"/><Relationship Id="rId589" Type="http://schemas.openxmlformats.org/officeDocument/2006/relationships/image" Target="media/image553.png"/><Relationship Id="rId590" Type="http://schemas.openxmlformats.org/officeDocument/2006/relationships/image" Target="media/image554.png"/><Relationship Id="rId591" Type="http://schemas.openxmlformats.org/officeDocument/2006/relationships/image" Target="media/image555.png"/><Relationship Id="rId592" Type="http://schemas.openxmlformats.org/officeDocument/2006/relationships/image" Target="media/image556.png"/><Relationship Id="rId593" Type="http://schemas.openxmlformats.org/officeDocument/2006/relationships/image" Target="media/image557.png"/><Relationship Id="rId594" Type="http://schemas.openxmlformats.org/officeDocument/2006/relationships/image" Target="media/image558.png"/><Relationship Id="rId595" Type="http://schemas.openxmlformats.org/officeDocument/2006/relationships/image" Target="media/image559.png"/><Relationship Id="rId596" Type="http://schemas.openxmlformats.org/officeDocument/2006/relationships/image" Target="media/image560.png"/><Relationship Id="rId597" Type="http://schemas.openxmlformats.org/officeDocument/2006/relationships/image" Target="media/image561.png"/><Relationship Id="rId598" Type="http://schemas.openxmlformats.org/officeDocument/2006/relationships/image" Target="media/image562.png"/><Relationship Id="rId599" Type="http://schemas.openxmlformats.org/officeDocument/2006/relationships/image" Target="media/image563.png"/><Relationship Id="rId600" Type="http://schemas.openxmlformats.org/officeDocument/2006/relationships/image" Target="media/image564.png"/><Relationship Id="rId601" Type="http://schemas.openxmlformats.org/officeDocument/2006/relationships/image" Target="media/image565.png"/><Relationship Id="rId602" Type="http://schemas.openxmlformats.org/officeDocument/2006/relationships/image" Target="media/image566.png"/><Relationship Id="rId603" Type="http://schemas.openxmlformats.org/officeDocument/2006/relationships/image" Target="media/image567.png"/><Relationship Id="rId604" Type="http://schemas.openxmlformats.org/officeDocument/2006/relationships/image" Target="media/image568.png"/><Relationship Id="rId605" Type="http://schemas.openxmlformats.org/officeDocument/2006/relationships/image" Target="media/image569.png"/><Relationship Id="rId606" Type="http://schemas.openxmlformats.org/officeDocument/2006/relationships/image" Target="media/image570.png"/><Relationship Id="rId607" Type="http://schemas.openxmlformats.org/officeDocument/2006/relationships/image" Target="media/image571.png"/><Relationship Id="rId608" Type="http://schemas.openxmlformats.org/officeDocument/2006/relationships/image" Target="media/image572.png"/><Relationship Id="rId609" Type="http://schemas.openxmlformats.org/officeDocument/2006/relationships/image" Target="media/image573.png"/><Relationship Id="rId610" Type="http://schemas.openxmlformats.org/officeDocument/2006/relationships/image" Target="media/image574.png"/><Relationship Id="rId611" Type="http://schemas.openxmlformats.org/officeDocument/2006/relationships/image" Target="media/image575.png"/><Relationship Id="rId612" Type="http://schemas.openxmlformats.org/officeDocument/2006/relationships/image" Target="media/image576.png"/><Relationship Id="rId613" Type="http://schemas.openxmlformats.org/officeDocument/2006/relationships/image" Target="media/image577.png"/><Relationship Id="rId614" Type="http://schemas.openxmlformats.org/officeDocument/2006/relationships/image" Target="media/image578.png"/><Relationship Id="rId615" Type="http://schemas.openxmlformats.org/officeDocument/2006/relationships/image" Target="media/image579.png"/><Relationship Id="rId616" Type="http://schemas.openxmlformats.org/officeDocument/2006/relationships/image" Target="media/image580.png"/><Relationship Id="rId617" Type="http://schemas.openxmlformats.org/officeDocument/2006/relationships/image" Target="media/image581.png"/><Relationship Id="rId618" Type="http://schemas.openxmlformats.org/officeDocument/2006/relationships/image" Target="media/image582.png"/><Relationship Id="rId619" Type="http://schemas.openxmlformats.org/officeDocument/2006/relationships/image" Target="media/image583.png"/><Relationship Id="rId620" Type="http://schemas.openxmlformats.org/officeDocument/2006/relationships/image" Target="media/image584.png"/><Relationship Id="rId621" Type="http://schemas.openxmlformats.org/officeDocument/2006/relationships/image" Target="media/image585.png"/><Relationship Id="rId622" Type="http://schemas.openxmlformats.org/officeDocument/2006/relationships/image" Target="media/image586.png"/><Relationship Id="rId623" Type="http://schemas.openxmlformats.org/officeDocument/2006/relationships/image" Target="media/image587.png"/><Relationship Id="rId624" Type="http://schemas.openxmlformats.org/officeDocument/2006/relationships/image" Target="media/image588.png"/><Relationship Id="rId625" Type="http://schemas.openxmlformats.org/officeDocument/2006/relationships/image" Target="media/image589.png"/><Relationship Id="rId626" Type="http://schemas.openxmlformats.org/officeDocument/2006/relationships/image" Target="media/image590.png"/><Relationship Id="rId627" Type="http://schemas.openxmlformats.org/officeDocument/2006/relationships/image" Target="media/image591.png"/><Relationship Id="rId628" Type="http://schemas.openxmlformats.org/officeDocument/2006/relationships/image" Target="media/image592.png"/><Relationship Id="rId629" Type="http://schemas.openxmlformats.org/officeDocument/2006/relationships/image" Target="media/image593.png"/><Relationship Id="rId630" Type="http://schemas.openxmlformats.org/officeDocument/2006/relationships/image" Target="media/image594.png"/><Relationship Id="rId631" Type="http://schemas.openxmlformats.org/officeDocument/2006/relationships/image" Target="media/image595.png"/><Relationship Id="rId632" Type="http://schemas.openxmlformats.org/officeDocument/2006/relationships/image" Target="media/image596.png"/><Relationship Id="rId633" Type="http://schemas.openxmlformats.org/officeDocument/2006/relationships/image" Target="media/image597.png"/><Relationship Id="rId634" Type="http://schemas.openxmlformats.org/officeDocument/2006/relationships/image" Target="media/image598.png"/><Relationship Id="rId635" Type="http://schemas.openxmlformats.org/officeDocument/2006/relationships/image" Target="media/image599.png"/><Relationship Id="rId636" Type="http://schemas.openxmlformats.org/officeDocument/2006/relationships/image" Target="media/image600.png"/><Relationship Id="rId637" Type="http://schemas.openxmlformats.org/officeDocument/2006/relationships/image" Target="media/image601.png"/><Relationship Id="rId638" Type="http://schemas.openxmlformats.org/officeDocument/2006/relationships/image" Target="media/image602.png"/><Relationship Id="rId639" Type="http://schemas.openxmlformats.org/officeDocument/2006/relationships/image" Target="media/image603.png"/><Relationship Id="rId640" Type="http://schemas.openxmlformats.org/officeDocument/2006/relationships/image" Target="media/image604.png"/><Relationship Id="rId641" Type="http://schemas.openxmlformats.org/officeDocument/2006/relationships/image" Target="media/image605.png"/><Relationship Id="rId642" Type="http://schemas.openxmlformats.org/officeDocument/2006/relationships/image" Target="media/image606.png"/><Relationship Id="rId643" Type="http://schemas.openxmlformats.org/officeDocument/2006/relationships/image" Target="media/image607.png"/><Relationship Id="rId644" Type="http://schemas.openxmlformats.org/officeDocument/2006/relationships/image" Target="media/image608.png"/><Relationship Id="rId645" Type="http://schemas.openxmlformats.org/officeDocument/2006/relationships/image" Target="media/image609.png"/><Relationship Id="rId646" Type="http://schemas.openxmlformats.org/officeDocument/2006/relationships/image" Target="media/image610.png"/><Relationship Id="rId647" Type="http://schemas.openxmlformats.org/officeDocument/2006/relationships/image" Target="media/image611.png"/><Relationship Id="rId648" Type="http://schemas.openxmlformats.org/officeDocument/2006/relationships/image" Target="media/image612.png"/><Relationship Id="rId649" Type="http://schemas.openxmlformats.org/officeDocument/2006/relationships/image" Target="media/image613.png"/><Relationship Id="rId650" Type="http://schemas.openxmlformats.org/officeDocument/2006/relationships/image" Target="media/image614.png"/><Relationship Id="rId651" Type="http://schemas.openxmlformats.org/officeDocument/2006/relationships/image" Target="media/image615.png"/><Relationship Id="rId652" Type="http://schemas.openxmlformats.org/officeDocument/2006/relationships/image" Target="media/image616.png"/><Relationship Id="rId653" Type="http://schemas.openxmlformats.org/officeDocument/2006/relationships/image" Target="media/image617.png"/><Relationship Id="rId654" Type="http://schemas.openxmlformats.org/officeDocument/2006/relationships/image" Target="media/image618.png"/><Relationship Id="rId655" Type="http://schemas.openxmlformats.org/officeDocument/2006/relationships/image" Target="media/image619.png"/><Relationship Id="rId656" Type="http://schemas.openxmlformats.org/officeDocument/2006/relationships/image" Target="media/image620.png"/><Relationship Id="rId657" Type="http://schemas.openxmlformats.org/officeDocument/2006/relationships/image" Target="media/image621.png"/><Relationship Id="rId658" Type="http://schemas.openxmlformats.org/officeDocument/2006/relationships/image" Target="media/image622.png"/><Relationship Id="rId659" Type="http://schemas.openxmlformats.org/officeDocument/2006/relationships/image" Target="media/image623.png"/><Relationship Id="rId660" Type="http://schemas.openxmlformats.org/officeDocument/2006/relationships/image" Target="media/image624.png"/><Relationship Id="rId661" Type="http://schemas.openxmlformats.org/officeDocument/2006/relationships/image" Target="media/image625.png"/><Relationship Id="rId662" Type="http://schemas.openxmlformats.org/officeDocument/2006/relationships/image" Target="media/image626.png"/><Relationship Id="rId663" Type="http://schemas.openxmlformats.org/officeDocument/2006/relationships/image" Target="media/image627.png"/><Relationship Id="rId664" Type="http://schemas.openxmlformats.org/officeDocument/2006/relationships/image" Target="media/image628.png"/><Relationship Id="rId665" Type="http://schemas.openxmlformats.org/officeDocument/2006/relationships/image" Target="media/image629.png"/><Relationship Id="rId666" Type="http://schemas.openxmlformats.org/officeDocument/2006/relationships/image" Target="media/image630.png"/><Relationship Id="rId667" Type="http://schemas.openxmlformats.org/officeDocument/2006/relationships/image" Target="media/image631.png"/><Relationship Id="rId668" Type="http://schemas.openxmlformats.org/officeDocument/2006/relationships/image" Target="media/image632.png"/><Relationship Id="rId669" Type="http://schemas.openxmlformats.org/officeDocument/2006/relationships/image" Target="media/image633.png"/><Relationship Id="rId670" Type="http://schemas.openxmlformats.org/officeDocument/2006/relationships/image" Target="media/image634.png"/><Relationship Id="rId671" Type="http://schemas.openxmlformats.org/officeDocument/2006/relationships/image" Target="media/image635.png"/><Relationship Id="rId672" Type="http://schemas.openxmlformats.org/officeDocument/2006/relationships/image" Target="media/image636.png"/><Relationship Id="rId673" Type="http://schemas.openxmlformats.org/officeDocument/2006/relationships/image" Target="media/image637.png"/><Relationship Id="rId674" Type="http://schemas.openxmlformats.org/officeDocument/2006/relationships/image" Target="media/image638.png"/><Relationship Id="rId675" Type="http://schemas.openxmlformats.org/officeDocument/2006/relationships/image" Target="media/image639.png"/><Relationship Id="rId676" Type="http://schemas.openxmlformats.org/officeDocument/2006/relationships/image" Target="media/image640.png"/><Relationship Id="rId677" Type="http://schemas.openxmlformats.org/officeDocument/2006/relationships/image" Target="media/image641.png"/><Relationship Id="rId678" Type="http://schemas.openxmlformats.org/officeDocument/2006/relationships/image" Target="media/image642.png"/><Relationship Id="rId679" Type="http://schemas.openxmlformats.org/officeDocument/2006/relationships/image" Target="media/image643.png"/><Relationship Id="rId680" Type="http://schemas.openxmlformats.org/officeDocument/2006/relationships/image" Target="media/image644.png"/><Relationship Id="rId681" Type="http://schemas.openxmlformats.org/officeDocument/2006/relationships/image" Target="media/image645.png"/><Relationship Id="rId682" Type="http://schemas.openxmlformats.org/officeDocument/2006/relationships/image" Target="media/image646.png"/><Relationship Id="rId683" Type="http://schemas.openxmlformats.org/officeDocument/2006/relationships/image" Target="media/image647.png"/><Relationship Id="rId684" Type="http://schemas.openxmlformats.org/officeDocument/2006/relationships/image" Target="media/image648.png"/><Relationship Id="rId685" Type="http://schemas.openxmlformats.org/officeDocument/2006/relationships/image" Target="media/image649.png"/><Relationship Id="rId686" Type="http://schemas.openxmlformats.org/officeDocument/2006/relationships/image" Target="media/image650.png"/><Relationship Id="rId687" Type="http://schemas.openxmlformats.org/officeDocument/2006/relationships/image" Target="media/image651.png"/><Relationship Id="rId688" Type="http://schemas.openxmlformats.org/officeDocument/2006/relationships/image" Target="media/image652.png"/><Relationship Id="rId689" Type="http://schemas.openxmlformats.org/officeDocument/2006/relationships/image" Target="media/image653.png"/><Relationship Id="rId690" Type="http://schemas.openxmlformats.org/officeDocument/2006/relationships/image" Target="media/image654.png"/><Relationship Id="rId691" Type="http://schemas.openxmlformats.org/officeDocument/2006/relationships/image" Target="media/image655.png"/><Relationship Id="rId692" Type="http://schemas.openxmlformats.org/officeDocument/2006/relationships/image" Target="media/image656.png"/><Relationship Id="rId693" Type="http://schemas.openxmlformats.org/officeDocument/2006/relationships/image" Target="media/image657.png"/><Relationship Id="rId694" Type="http://schemas.openxmlformats.org/officeDocument/2006/relationships/image" Target="media/image658.png"/><Relationship Id="rId695" Type="http://schemas.openxmlformats.org/officeDocument/2006/relationships/image" Target="media/image659.png"/><Relationship Id="rId696" Type="http://schemas.openxmlformats.org/officeDocument/2006/relationships/image" Target="media/image660.png"/><Relationship Id="rId697" Type="http://schemas.openxmlformats.org/officeDocument/2006/relationships/image" Target="media/image661.png"/><Relationship Id="rId698" Type="http://schemas.openxmlformats.org/officeDocument/2006/relationships/image" Target="media/image662.png"/><Relationship Id="rId699" Type="http://schemas.openxmlformats.org/officeDocument/2006/relationships/image" Target="media/image663.png"/><Relationship Id="rId700" Type="http://schemas.openxmlformats.org/officeDocument/2006/relationships/image" Target="media/image664.png"/><Relationship Id="rId701" Type="http://schemas.openxmlformats.org/officeDocument/2006/relationships/image" Target="media/image665.png"/><Relationship Id="rId702" Type="http://schemas.openxmlformats.org/officeDocument/2006/relationships/image" Target="media/image666.png"/><Relationship Id="rId703" Type="http://schemas.openxmlformats.org/officeDocument/2006/relationships/image" Target="media/image667.png"/><Relationship Id="rId704" Type="http://schemas.openxmlformats.org/officeDocument/2006/relationships/image" Target="media/image668.png"/><Relationship Id="rId705" Type="http://schemas.openxmlformats.org/officeDocument/2006/relationships/image" Target="media/image669.png"/><Relationship Id="rId706" Type="http://schemas.openxmlformats.org/officeDocument/2006/relationships/image" Target="media/image670.png"/><Relationship Id="rId707" Type="http://schemas.openxmlformats.org/officeDocument/2006/relationships/image" Target="media/image671.png"/><Relationship Id="rId708" Type="http://schemas.openxmlformats.org/officeDocument/2006/relationships/image" Target="media/image672.png"/><Relationship Id="rId709" Type="http://schemas.openxmlformats.org/officeDocument/2006/relationships/image" Target="media/image673.png"/><Relationship Id="rId710" Type="http://schemas.openxmlformats.org/officeDocument/2006/relationships/image" Target="media/image674.png"/><Relationship Id="rId711" Type="http://schemas.openxmlformats.org/officeDocument/2006/relationships/image" Target="media/image675.png"/><Relationship Id="rId712" Type="http://schemas.openxmlformats.org/officeDocument/2006/relationships/image" Target="media/image676.png"/><Relationship Id="rId713" Type="http://schemas.openxmlformats.org/officeDocument/2006/relationships/image" Target="media/image677.png"/><Relationship Id="rId714" Type="http://schemas.openxmlformats.org/officeDocument/2006/relationships/image" Target="media/image678.png"/><Relationship Id="rId715" Type="http://schemas.openxmlformats.org/officeDocument/2006/relationships/image" Target="media/image679.png"/><Relationship Id="rId716" Type="http://schemas.openxmlformats.org/officeDocument/2006/relationships/image" Target="media/image680.png"/><Relationship Id="rId717" Type="http://schemas.openxmlformats.org/officeDocument/2006/relationships/image" Target="media/image681.png"/><Relationship Id="rId718" Type="http://schemas.openxmlformats.org/officeDocument/2006/relationships/image" Target="media/image682.png"/><Relationship Id="rId719" Type="http://schemas.openxmlformats.org/officeDocument/2006/relationships/image" Target="media/image683.png"/><Relationship Id="rId720" Type="http://schemas.openxmlformats.org/officeDocument/2006/relationships/image" Target="media/image684.png"/><Relationship Id="rId721" Type="http://schemas.openxmlformats.org/officeDocument/2006/relationships/image" Target="media/image685.png"/><Relationship Id="rId722" Type="http://schemas.openxmlformats.org/officeDocument/2006/relationships/image" Target="media/image686.png"/><Relationship Id="rId723" Type="http://schemas.openxmlformats.org/officeDocument/2006/relationships/image" Target="media/image687.png"/><Relationship Id="rId724" Type="http://schemas.openxmlformats.org/officeDocument/2006/relationships/image" Target="media/image688.png"/><Relationship Id="rId725" Type="http://schemas.openxmlformats.org/officeDocument/2006/relationships/image" Target="media/image689.png"/><Relationship Id="rId726" Type="http://schemas.openxmlformats.org/officeDocument/2006/relationships/image" Target="media/image690.png"/><Relationship Id="rId727" Type="http://schemas.openxmlformats.org/officeDocument/2006/relationships/image" Target="media/image691.png"/><Relationship Id="rId728" Type="http://schemas.openxmlformats.org/officeDocument/2006/relationships/image" Target="media/image692.png"/><Relationship Id="rId729" Type="http://schemas.openxmlformats.org/officeDocument/2006/relationships/image" Target="media/image693.png"/><Relationship Id="rId730" Type="http://schemas.openxmlformats.org/officeDocument/2006/relationships/image" Target="media/image694.png"/><Relationship Id="rId731" Type="http://schemas.openxmlformats.org/officeDocument/2006/relationships/image" Target="media/image695.png"/><Relationship Id="rId732" Type="http://schemas.openxmlformats.org/officeDocument/2006/relationships/image" Target="media/image696.png"/><Relationship Id="rId733" Type="http://schemas.openxmlformats.org/officeDocument/2006/relationships/image" Target="media/image697.png"/><Relationship Id="rId734" Type="http://schemas.openxmlformats.org/officeDocument/2006/relationships/image" Target="media/image698.png"/><Relationship Id="rId735" Type="http://schemas.openxmlformats.org/officeDocument/2006/relationships/image" Target="media/image699.png"/><Relationship Id="rId440" Type="http://schemas.openxmlformats.org/officeDocument/2006/relationships/hyperlink" Target="http://www.sec.gov/Archives/edgar/data/0001717115/000119312524142956/d221145dex31.htm" TargetMode="External"/><Relationship Id="rId441" Type="http://schemas.openxmlformats.org/officeDocument/2006/relationships/hyperlink" Target="http://www.sec.gov/Archives/edgar/data/0001717115/000119312524142956/d221145dex32.htm" TargetMode="External"/><Relationship Id="rId442" Type="http://schemas.openxmlformats.org/officeDocument/2006/relationships/hyperlink" Target="http://www.sec.gov/Archives/edgar/data/0001717115/000119312524142956/d221145dex33.htm" TargetMode="External"/><Relationship Id="rId443" Type="http://schemas.openxmlformats.org/officeDocument/2006/relationships/hyperlink" Target="http://www.sec.gov/Archives/edgar/data/0001717115/000119312524142956/d221145dex34.htm" TargetMode="External"/><Relationship Id="rId444" Type="http://schemas.openxmlformats.org/officeDocument/2006/relationships/hyperlink" Target="http://www.sec.gov/Archives/edgar/data/0001717115/000119312524142956/d221145dex1016.htm" TargetMode="External"/><Relationship Id="rId445" Type="http://schemas.openxmlformats.org/officeDocument/2006/relationships/hyperlink" Target="http://www.sec.gov/Archives/edgar/data/0001717115/000119312524142956/d221145dex43.htm" TargetMode="External"/><Relationship Id="rId446" Type="http://schemas.openxmlformats.org/officeDocument/2006/relationships/hyperlink" Target="http://www.sec.gov/Archives/edgar/data/0001717115/000119312524142956/d221145dex101.htm" TargetMode="External"/><Relationship Id="rId447" Type="http://schemas.openxmlformats.org/officeDocument/2006/relationships/hyperlink" Target="http://www.sec.gov/Archives/edgar/data/0001717115/000119312524142956/d221145dex102.htm" TargetMode="External"/><Relationship Id="rId448" Type="http://schemas.openxmlformats.org/officeDocument/2006/relationships/hyperlink" Target="http://www.sec.gov/Archives/edgar/data/0001717115/000119312524142956/d221145dex103.htm" TargetMode="External"/><Relationship Id="rId449" Type="http://schemas.openxmlformats.org/officeDocument/2006/relationships/hyperlink" Target="http://www.sec.gov/Archives/edgar/data/0001717115/000119312524142956/d221145dex105.htm" TargetMode="External"/><Relationship Id="rId450" Type="http://schemas.openxmlformats.org/officeDocument/2006/relationships/hyperlink" Target="http://www.sec.gov/Archives/edgar/data/0001717115/000119312524142956/d221145dex106.htm" TargetMode="External"/><Relationship Id="rId451" Type="http://schemas.openxmlformats.org/officeDocument/2006/relationships/hyperlink" Target="http://www.sec.gov/Archives/edgar/data/0001717115/000119312524142956/d221145dex107.htm" TargetMode="External"/><Relationship Id="rId452" Type="http://schemas.openxmlformats.org/officeDocument/2006/relationships/hyperlink" Target="http://www.sec.gov/Archives/edgar/data/0001717115/000119312524142956/d221145dex108.htm" TargetMode="External"/><Relationship Id="rId453" Type="http://schemas.openxmlformats.org/officeDocument/2006/relationships/hyperlink" Target="http://www.sec.gov/Archives/edgar/data/0001717115/000119312524142956/d221145dex109.htm" TargetMode="External"/><Relationship Id="rId454" Type="http://schemas.openxmlformats.org/officeDocument/2006/relationships/hyperlink" Target="http://www.sec.gov/Archives/edgar/data/0001717115/000119312524142956/d221145dex1010.htm" TargetMode="External"/><Relationship Id="rId455" Type="http://schemas.openxmlformats.org/officeDocument/2006/relationships/hyperlink" Target="http://www.sec.gov/Archives/edgar/data/0001717115/000119312524142956/d221145dex1011.htm" TargetMode="External"/><Relationship Id="rId456" Type="http://schemas.openxmlformats.org/officeDocument/2006/relationships/hyperlink" Target="http://www.sec.gov/Archives/edgar/data/0001717115/000119312524142956/d221145dex1012.htm" TargetMode="External"/><Relationship Id="rId457" Type="http://schemas.openxmlformats.org/officeDocument/2006/relationships/hyperlink" Target="http://www.sec.gov/Archives/edgar/data/0001717115/000119312524142956/d221145dex1013.htm" TargetMode="External"/><Relationship Id="rId458" Type="http://schemas.openxmlformats.org/officeDocument/2006/relationships/hyperlink" Target="http://www.sec.gov/Archives/edgar/data/0001717115/000119312524142956/d221145dex1014.htm" TargetMode="External"/><Relationship Id="rId460" Type="http://schemas.openxmlformats.org/officeDocument/2006/relationships/hyperlink" Target="http://www.sec.gov/Archives/edgar/data/0001717115/000119312524142956/d221145dex1017.htm" TargetMode="External"/><Relationship Id="rId461" Type="http://schemas.openxmlformats.org/officeDocument/2006/relationships/hyperlink" Target="http://www.sec.gov/Archives/edgar/data/0001717115/000119312524142956/d221145dex1018.htm" TargetMode="External"/><Relationship Id="rId462" Type="http://schemas.openxmlformats.org/officeDocument/2006/relationships/hyperlink" Target="http://www.sec.gov/Archives/edgar/data/0001717115/000119312524142956/d221145dex1019.htm" TargetMode="External"/><Relationship Id="rId463" Type="http://schemas.openxmlformats.org/officeDocument/2006/relationships/hyperlink" Target="http://www.sec.gov/Archives/edgar/data/0001717115/000119312524142956/d221145dex1020.htm" TargetMode="External"/><Relationship Id="rId464" Type="http://schemas.openxmlformats.org/officeDocument/2006/relationships/hyperlink" Target="http://www.sec.gov/Archives/edgar/data/0001717115/000119312524142956/d221145dex1021.htm" TargetMode="External"/><Relationship Id="rId465" Type="http://schemas.openxmlformats.org/officeDocument/2006/relationships/hyperlink" Target="http://www.sec.gov/Archives/edgar/data/0001717115/000119312524142956/d221145dex1022.htm" TargetMode="External"/><Relationship Id="rId466" Type="http://schemas.openxmlformats.org/officeDocument/2006/relationships/hyperlink" Target="http://www.sec.gov/Archives/edgar/data/0001717115/000119312524142956/d221145dex1023.htm" TargetMode="External"/><Relationship Id="rId467" Type="http://schemas.openxmlformats.org/officeDocument/2006/relationships/hyperlink" Target="http://www.sec.gov/Archives/edgar/data/0001717115/000119312524142956/d221145dex1024.htm" TargetMode="External"/><Relationship Id="rId468" Type="http://schemas.openxmlformats.org/officeDocument/2006/relationships/hyperlink" Target="http://www.sec.gov/Archives/edgar/data/0001717115/000119312524142956/d221145dex1025.htm" TargetMode="External"/><Relationship Id="rId469" Type="http://schemas.openxmlformats.org/officeDocument/2006/relationships/hyperlink" Target="http://www.sec.gov/Archives/edgar/data/0001717115/000119312524142956/d221145dex1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2024-06-05T20:58:16Z</dcterms:created>
  <dcterms:modified xsi:type="dcterms:W3CDTF">2024-06-05T20:58:16Z</dcterms:modified>
</cp:coreProperties>
</file>