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m-20250224.htm"/>
      <w:bookmarkStart w:id="1" w:name="kstem202502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24,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Tempus AI,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47-4903308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 West Chicago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976-5448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24, 2025, Tempus AI, Inc. (the “Company”) issued a press release regarding its financial results for the quarter and year ended December 31, 2024.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24, 2025, the Company made available on the “Events” page of its investor relations website at http://investors.tempus.com supplemental financial information for the quarter and year ended December 31, 2024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36" w:type="dxa"/>
        <w:jc w:val="left"/>
        <w:tblInd w:w="0" w:type="dxa"/>
        <w:tblLayout w:type="fixed"/>
        <w:tblCellMar>
          <w:top w:w="28" w:type="dxa"/>
          <w:left w:w="28" w:type="dxa"/>
          <w:bottom w:w="28" w:type="dxa"/>
          <w:right w:w="28" w:type="dxa"/>
        </w:tblCellMar>
      </w:tblPr>
      <w:tblGrid>
        <w:gridCol w:w="646"/>
        <w:gridCol w:w="6790"/>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790"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6790" w:type="dxa"/>
            <w:tcBorders/>
            <w:tcMar>
              <w:top w:w="0" w:type="dxa"/>
              <w:left w:w="0" w:type="dxa"/>
              <w:bottom w:w="0" w:type="dxa"/>
              <w:right w:w="0" w:type="dxa"/>
            </w:tcMar>
            <w:vAlign w:val="center"/>
          </w:tcPr>
          <w:p>
            <w:pPr>
              <w:pStyle w:val="TableContents"/>
              <w:bidi w:val="0"/>
              <w:spacing w:before="0" w:after="283"/>
              <w:ind w:left="144" w:right="0" w:firstLine="144"/>
              <w:jc w:val="left"/>
              <w:rPr/>
            </w:pPr>
            <w:hyperlink w:anchor="tem-ex99_1.htm">
              <w:r>
                <w:rPr>
                  <w:rStyle w:val="InternetLink"/>
                  <w:rFonts w:ascii="Times New Roman" w:hAnsi="Times New Roman"/>
                  <w:color w:val="0000FF"/>
                  <w:sz w:val="20"/>
                  <w:u w:val="single"/>
                </w:rPr>
                <w:t>Press release issued by Tempus AI, Inc. dated February 24, 2025.</w:t>
              </w:r>
            </w:hyperlink>
            <w:hyperlink w:anchor="tem-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69" w:type="dxa"/>
        <w:jc w:val="left"/>
        <w:tblInd w:w="0" w:type="dxa"/>
        <w:tblLayout w:type="fixed"/>
        <w:tblCellMar>
          <w:top w:w="28" w:type="dxa"/>
          <w:left w:w="28" w:type="dxa"/>
          <w:bottom w:w="28" w:type="dxa"/>
          <w:right w:w="28" w:type="dxa"/>
        </w:tblCellMar>
      </w:tblPr>
      <w:tblGrid>
        <w:gridCol w:w="556"/>
        <w:gridCol w:w="16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Tempus AI,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51"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February 24,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Rogers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Rogers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m-ex99_1.htm"/>
      <w:bookmarkStart w:id="3" w:name="kstemex99_1"/>
      <w:bookmarkEnd w:id="2"/>
      <w:bookmarkEnd w:id="3"/>
      <w:r>
        <w:rPr>
          <w:rFonts w:ascii="Times New Roman" w:hAnsi="Times New Roman"/>
          <w:b/>
          <w:color w:val="000000"/>
          <w:sz w:val="20"/>
        </w:rPr>
        <w:t>Exhibit 99.1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Tempus Reports Fourth Quarter and Full Year 2024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CHICAGO, February 24, 2025 </w:t>
      </w:r>
      <w:r>
        <w:rPr>
          <w:rFonts w:ascii="Times New Roman" w:hAnsi="Times New Roman"/>
          <w:color w:val="000000"/>
          <w:sz w:val="20"/>
        </w:rPr>
        <w:t xml:space="preserve">— Tempus AI, Inc. (NASDAQ: TEM), a technology company leading the adoption of AI to advance precision medicine and patient care, today reported financial results for the quarter and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Year-over-year revenue growth accelerated to 35.8% in the fourth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Gross profit growth accelerated to 49.7% in the fourth quarter of 2024, led by Data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Ended the year with $940 million in Total Remaining Contract Value and 140% net revenue retention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Closed the acquisition of Ambry Genetics on February 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Increases revenue guidance to $1.24 billion for 2024 and expect full year 2025 Adjusted EBITDA of approximately $5 million, an improvement of approximately $110 million over 2024</w:t>
      </w:r>
    </w:p>
    <w:p>
      <w:pPr>
        <w:pStyle w:val="TextBody"/>
        <w:bidi w:val="0"/>
        <w:spacing w:before="240" w:after="283"/>
        <w:jc w:val="left"/>
        <w:rPr>
          <w:color w:val="000000"/>
        </w:rPr>
      </w:pPr>
      <w:r>
        <w:rPr>
          <w:color w:val="000000"/>
        </w:rPr>
        <w:t>“</w:t>
      </w:r>
      <w:r>
        <w:rPr>
          <w:rFonts w:ascii="Times New Roman" w:hAnsi="Times New Roman"/>
          <w:color w:val="000000"/>
          <w:sz w:val="20"/>
        </w:rPr>
        <w:t>Our performance in 2024 reflects the strength of our core businesses, as Genomics continued to show strong volume growth and our Data business delivered record results throughout the year,” said Eric Lefkofsky, Founder and CEO of Tempus. “We believe our investments in AI have positioned us well for the future, as technologies that seemed unimaginable a few short years ago increasingly allow us to make our diagnostics intelligent, helping patients live longer and healthier lives. We remain on track to achieve our key financial milestones, with expected robust revenue growth and positive Adjusted EBITDA in 2025.”</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Fourth Quarter Summary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Quarterly revenue increased 35.8% year-over-year to $200.7 million in the fourth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Genomics generated $120.4 million in revenue in the fourth quarter of 2024, representing 30.6% year-over-year growth, with unit growth of 22.5%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Data and services generated $80.2 million in revenue in the fourth quarter of 2024, representing 44.6% year-over-year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Quarterly gross profit increased 49.7% to $122.1 million, led by Data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Net loss of ($13.0 million), which included $32.4 million of stock compensation expense and related employer payroll taxes in the fourth quarter of 2024 compared to a net loss of ($50.5 million) in the fourth quarter of 2023 and a net loss of ($75.8 million) in the third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Adjusted EBITDA improved to ($7.8 million) in the fourth quarter of 2024, compared to ($35.1 million) in the fourth quarter of 2023 and ($21.8 million) in the third quarter of 2024.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Full Year 2024 Summary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Annual Revenue increased 30.4% year-over-year to $693.4 million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Genomics generated $451.7 million in revenue in 2024, representing 24.4% year-over-year growth, with unit growth of 23.8%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Data and services generated $241.6 million in revenue in 2024, representing 43.2% year-over-year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Ended the year with $940 million in remaining Total Contract Value given that our net revenue retention improved to 140%.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Annual gross profit increased to $381.1 million in 2024, representing 33.2% growth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Net loss of ($705.8 million) in 2024, which included $547.7 million of stock compensation expense and related employer payroll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Adjusted EBITDA improved $49.5 million year-over-year in 2024 to ($104.7 million).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Fourth Quarter 2024 and Recent Operational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Completed the acquisition of Ambry Genetics on February 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Announced the national launch of the Company’s FDA-approved, NGS-based in vitro diagnostic device, xT CDx which was granted ADLT status and a reimbursement rate of $4,500 per test.</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Announced the impact of a decision by the Centers for Medicare and Medicaid Services (CMS) that will allow reimbursement for cardiac dysfunction assessments using the Tempus ECG-AF algorithm, currently paying $138/algorithm.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Signed agreements for in-network provider status with Blue Cross Blue Shield of Illinois, Blue Shield of California, and Avalon Healthcare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Grew our network and are now connected to ~3,000 providers in the U.S.</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Fourth Quarter and Full Year 2024 Financial Results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26"/>
        <w:gridCol w:w="146"/>
        <w:gridCol w:w="401"/>
        <w:gridCol w:w="1490"/>
        <w:gridCol w:w="319"/>
        <w:gridCol w:w="172"/>
        <w:gridCol w:w="347"/>
        <w:gridCol w:w="1385"/>
        <w:gridCol w:w="319"/>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December 31, 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 and per share amounts)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200,680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Year-over-year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381,113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(691,082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6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Guidance and 2025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now expects full year 2025 revenue of approximately $1.24 billion for the consolidated Tempus and Ambry Genetics business, which represents approximately 79% annual growth, and Adjusted EBITDA of $5 million for full year 2025, an improvement of approximately $110 million over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on the quarter and full year, including a letter from our CEO and CFO, please visit our investor relations site investors.tempus.com.</w:t>
      </w:r>
    </w:p>
    <w:p>
      <w:pPr>
        <w:pStyle w:val="TextBody"/>
        <w:bidi w:val="0"/>
        <w:spacing w:before="360" w:after="283"/>
        <w:jc w:val="left"/>
        <w:rPr>
          <w:rFonts w:ascii="Times New Roman" w:hAnsi="Times New Roman"/>
          <w:sz w:val="20"/>
        </w:rPr>
      </w:pPr>
      <w:r>
        <w:rPr>
          <w:rFonts w:ascii="Times New Roman" w:hAnsi="Times New Roman"/>
          <w:b/>
          <w:color w:val="000000"/>
          <w:sz w:val="20"/>
        </w:rPr>
        <w:t>Webcast and Conference Call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conference call and webcast will begin today, February 24, 2025 after market close at 4:30 p.m. Eastern Time. Interested parties may access details 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Conference ID: 9601821</w:t>
      </w:r>
    </w:p>
    <w:p>
      <w:pPr>
        <w:pStyle w:val="TextBody"/>
        <w:bidi w:val="0"/>
        <w:jc w:val="left"/>
        <w:rPr>
          <w:rFonts w:ascii="Times New Roman" w:hAnsi="Times New Roman"/>
          <w:color w:val="000000"/>
          <w:sz w:val="20"/>
        </w:rPr>
      </w:pPr>
      <w:r>
        <w:rPr>
          <w:rFonts w:ascii="Times New Roman" w:hAnsi="Times New Roman"/>
          <w:color w:val="000000"/>
          <w:sz w:val="20"/>
        </w:rPr>
        <w:t>Domestic Dial-in Number: (888)-596-4144</w:t>
      </w:r>
    </w:p>
    <w:p>
      <w:pPr>
        <w:pStyle w:val="TextBody"/>
        <w:bidi w:val="0"/>
        <w:jc w:val="left"/>
        <w:rPr>
          <w:rFonts w:ascii="Times New Roman" w:hAnsi="Times New Roman"/>
          <w:color w:val="000000"/>
          <w:sz w:val="20"/>
        </w:rPr>
      </w:pPr>
      <w:r>
        <w:rPr>
          <w:rFonts w:ascii="Times New Roman" w:hAnsi="Times New Roman"/>
          <w:color w:val="000000"/>
          <w:sz w:val="20"/>
        </w:rPr>
        <w:t>International Dial-in Number: (646)-968-2525</w:t>
      </w:r>
    </w:p>
    <w:p>
      <w:pPr>
        <w:pStyle w:val="TextBody"/>
        <w:bidi w:val="0"/>
        <w:jc w:val="left"/>
        <w:rPr>
          <w:rFonts w:ascii="Times New Roman" w:hAnsi="Times New Roman"/>
          <w:color w:val="000000"/>
          <w:sz w:val="20"/>
        </w:rPr>
      </w:pPr>
      <w:r>
        <w:rPr>
          <w:rFonts w:ascii="Times New Roman" w:hAnsi="Times New Roman"/>
          <w:color w:val="000000"/>
          <w:sz w:val="20"/>
        </w:rPr>
        <w:t>Live Webcast: https://edge.media-server.com/mmc/p/6qbep94p/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webcast may be accessed on the company’s investor relations website at </w:t>
      </w:r>
      <w:r>
        <w:rPr>
          <w:rFonts w:ascii="Times New Roman" w:hAnsi="Times New Roman"/>
          <w:color w:val="000000"/>
          <w:sz w:val="20"/>
          <w:u w:val="single"/>
        </w:rPr>
        <w:t>investors.tempus.com</w:t>
      </w:r>
      <w:r>
        <w:rPr>
          <w:rFonts w:ascii="Times New Roman" w:hAnsi="Times New Roman"/>
          <w:color w:val="000000"/>
          <w:sz w:val="20"/>
        </w:rPr>
        <w:t xml:space="preserve">. For those unable to listen to the live webcast, a recording will be made available on the company’s website after the event and will be accessible for one year. Visit the investor relations website to find the company’s latest deck, and commentary on the quarter and year by Eric Lefkofsky, Founder and CEO and Jim Rogers, CFO, which will be discussed on the conference call and webcast. </w:t>
      </w:r>
    </w:p>
    <w:p>
      <w:pPr>
        <w:pStyle w:val="TextBody"/>
        <w:bidi w:val="0"/>
        <w:spacing w:before="360" w:after="283"/>
        <w:jc w:val="left"/>
        <w:rPr>
          <w:rFonts w:ascii="Times New Roman" w:hAnsi="Times New Roman"/>
          <w:sz w:val="20"/>
        </w:rPr>
      </w:pPr>
      <w:r>
        <w:rPr>
          <w:rFonts w:ascii="Times New Roman" w:hAnsi="Times New Roman"/>
          <w:b/>
          <w:color w:val="000000"/>
          <w:sz w:val="20"/>
        </w:rPr>
        <w:t>About Tempus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financial information presented in this release in accordance with accounting principles generally accepted in the United States of America (GAAP), Tempus also presents adjusted non-GAAP financial measures.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gross profit</w:t>
      </w:r>
      <w:r>
        <w:rPr>
          <w:rFonts w:ascii="Times New Roman" w:hAnsi="Times New Roman"/>
          <w:color w:val="000000"/>
          <w:sz w:val="20"/>
        </w:rPr>
        <w:t xml:space="preserve"> is defined as GAAP gross profit, excluding stock-based compensation expense and employer payroll tax related to stock-based compensation (collectively, the “stock-based compensation adjustments”). </w:t>
      </w:r>
      <w:r>
        <w:rPr>
          <w:rFonts w:ascii="Times New Roman" w:hAnsi="Times New Roman"/>
          <w:b/>
          <w:color w:val="000000"/>
          <w:sz w:val="20"/>
        </w:rPr>
        <w:t>Non-GAAP gross margin</w:t>
      </w:r>
      <w:r>
        <w:rPr>
          <w:rFonts w:ascii="Times New Roman" w:hAnsi="Times New Roman"/>
          <w:color w:val="000000"/>
          <w:sz w:val="20"/>
        </w:rPr>
        <w:t xml:space="preserve"> is defined as gross profit, excluding the stock-based compensation adjustments, as a percentage of revenue. </w:t>
      </w:r>
      <w:r>
        <w:rPr>
          <w:rFonts w:ascii="Times New Roman" w:hAnsi="Times New Roman"/>
          <w:b/>
          <w:color w:val="000000"/>
          <w:sz w:val="20"/>
        </w:rPr>
        <w:t>Non-GAAP operating expenses</w:t>
      </w:r>
      <w:r>
        <w:rPr>
          <w:rFonts w:ascii="Times New Roman" w:hAnsi="Times New Roman"/>
          <w:color w:val="000000"/>
          <w:sz w:val="20"/>
        </w:rPr>
        <w:t xml:space="preserve"> are calculated as the sum of technology research and development expense, research and development expense, and selling, general and administrative expense, excluding the stock-based compensation adjustments. </w:t>
      </w:r>
      <w:r>
        <w:rPr>
          <w:rFonts w:ascii="Times New Roman" w:hAnsi="Times New Roman"/>
          <w:b/>
          <w:color w:val="000000"/>
          <w:sz w:val="20"/>
        </w:rPr>
        <w:t xml:space="preserve">Non-GAAP net income (loss) </w:t>
      </w:r>
      <w:r>
        <w:rPr>
          <w:rFonts w:ascii="Times New Roman" w:hAnsi="Times New Roman"/>
          <w:color w:val="000000"/>
          <w:sz w:val="20"/>
        </w:rPr>
        <w:t xml:space="preserve">is defined as net income (loss), adjusted to exclude (i) losses on equity method investments, (ii) changes in fair value of our warrant liability, warrant asset, marketable equity securities, contingent consideration liabilities and indemnity-related holdback liabilities, (iii) the payment of $2.3 million of our Series G-4 convertible preferred stock in connection with the initial public offering (the “G-4 Special Payment”), (iv) amortization of deferred other income from our IP License Agreement with SB Tempus, (v) the settlement of certain historical and potential future disputes, and (vi) acquisition-related expenses. </w:t>
      </w:r>
      <w:r>
        <w:rPr>
          <w:rFonts w:ascii="Times New Roman" w:hAnsi="Times New Roman"/>
          <w:b/>
          <w:color w:val="000000"/>
          <w:sz w:val="20"/>
        </w:rPr>
        <w:t xml:space="preserve">Non-GAAP net income (loss) per share </w:t>
      </w:r>
      <w:r>
        <w:rPr>
          <w:rFonts w:ascii="Times New Roman" w:hAnsi="Times New Roman"/>
          <w:color w:val="000000"/>
          <w:sz w:val="20"/>
        </w:rPr>
        <w:t xml:space="preserve">is defined as adjusted net income (loss) divided by weighted average common shares outstanding, basic and diluted.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EBITDA </w:t>
      </w:r>
      <w:r>
        <w:rPr>
          <w:rFonts w:ascii="Times New Roman" w:hAnsi="Times New Roman"/>
          <w:color w:val="000000"/>
          <w:sz w:val="20"/>
        </w:rPr>
        <w:t xml:space="preserve">is defined as net income (loss), adjusted to exclude (i) interest income, (ii) interest expense, (iii) depreciation and amortization, and (iv) provision for income taxes. </w:t>
      </w:r>
      <w:r>
        <w:rPr>
          <w:rFonts w:ascii="Times New Roman" w:hAnsi="Times New Roman"/>
          <w:b/>
          <w:color w:val="000000"/>
          <w:sz w:val="20"/>
        </w:rPr>
        <w:t>Adjusted EBITDA</w:t>
      </w:r>
      <w:r>
        <w:rPr>
          <w:rFonts w:ascii="Times New Roman" w:hAnsi="Times New Roman"/>
          <w:color w:val="000000"/>
          <w:sz w:val="20"/>
        </w:rPr>
        <w:t xml:space="preserve"> is defined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the G-4 Special Payment, (x) amortization of deferred other income from our IP License Agreement with SB Tempus, (xi) the settlement of certain historical and potential future disputes, and (xii) acquisition related expenses.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Tempus does not provide guidance for net loss, the most directly comparable GAAP measure to EBITDA and Adjusted EBITDA, and similarly cannot provide a reconciliation between Tempus’ forecasted Adjusted EBITDA and net loss without unreasonable effort due to the unavailability of reliable estimates for certain components of net income (loss) and the respective reconciliations. These forecasted items are not within Tempus’ control, may vary greatly between periods, and could significantly impact future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Metrics</w:t>
      </w:r>
    </w:p>
    <w:p>
      <w:pPr>
        <w:pStyle w:val="TextBody"/>
        <w:bidi w:val="0"/>
        <w:spacing w:before="120" w:after="283"/>
        <w:jc w:val="left"/>
        <w:rPr>
          <w:rFonts w:ascii="Times New Roman" w:hAnsi="Times New Roman"/>
          <w:sz w:val="20"/>
        </w:rPr>
      </w:pPr>
      <w:r>
        <w:rPr>
          <w:rFonts w:ascii="Times New Roman" w:hAnsi="Times New Roman"/>
          <w:b/>
          <w:color w:val="000000"/>
          <w:sz w:val="20"/>
        </w:rPr>
        <w:t>Total Remaining Contract Value (TCV)</w:t>
      </w:r>
      <w:r>
        <w:rPr>
          <w:rFonts w:ascii="Times New Roman" w:hAnsi="Times New Roman"/>
          <w:color w:val="000000"/>
          <w:sz w:val="20"/>
        </w:rPr>
        <w:t xml:space="preserve"> is equal to the total potential value of signed contracts and assumes the exercise of all contract options, all discretionary opt-ins, and no early termination. Remaining TCV excludes any revenue recognized to date on these contracts or any future adjustments made to the contractual value as a result of amendments or terminations.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compares the annual Insights product revenue generated from all customers that made an Insights purchase in one year to the annual Insights product revenue generated from the same cohort of customers in the subsequent year.</w:t>
      </w:r>
    </w:p>
    <w:p>
      <w:pPr>
        <w:pStyle w:val="TextBody"/>
        <w:bidi w:val="0"/>
        <w:spacing w:before="360" w:after="283"/>
        <w:jc w:val="left"/>
        <w:rPr>
          <w:rFonts w:ascii="Times New Roman" w:hAnsi="Times New Roman"/>
          <w:sz w:val="20"/>
        </w:rPr>
      </w:pPr>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Section 27A of the Securities Act of 1933, as amended (the “Securities Act”),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full year 2025; whether investments in AI have positioned Tempus well for the future; and the ability of Tempus’ diagnostics to help patients live longer and healthier lives.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Tempus has based the forward-looking statements </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Ambry Genetics; the potential adverse impact of climate change, natural disasters, health epidemics, macroeconomic conditions, and war or other armed conflict, as well as risks, uncertainties, and other factors described in the section titled “Risk Factors” in Tempus’ Form 10-K for the year ended December 31, 2024, filed with the Securities and Exchange Commission (“SEC”) on February 24, 2025, as well as in other filings Tempus may make with the SEC in the future.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pStyle w:val="TextBody"/>
        <w:bidi w:val="0"/>
        <w:spacing w:before="1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Communications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Erin Carron </w:t>
      </w:r>
    </w:p>
    <w:p>
      <w:pPr>
        <w:pStyle w:val="TextBody"/>
        <w:bidi w:val="0"/>
        <w:jc w:val="left"/>
        <w:rPr>
          <w:rFonts w:ascii="Times New Roman" w:hAnsi="Times New Roman"/>
          <w:color w:val="000000"/>
          <w:sz w:val="20"/>
        </w:rPr>
      </w:pPr>
      <w:r>
        <w:rPr>
          <w:rFonts w:ascii="Times New Roman" w:hAnsi="Times New Roman"/>
          <w:color w:val="000000"/>
          <w:sz w:val="20"/>
        </w:rPr>
        <w:t xml:space="preserve">media@tempus.com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Tempus Investor Relations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 Krutoholow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Elizabeth.krutoholow@tempus.com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Tempus AI, Inc.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5466"/>
        <w:gridCol w:w="211"/>
        <w:gridCol w:w="931"/>
        <w:gridCol w:w="166"/>
        <w:gridCol w:w="146"/>
        <w:gridCol w:w="211"/>
        <w:gridCol w:w="841"/>
        <w:gridCol w:w="166"/>
        <w:gridCol w:w="146"/>
        <w:gridCol w:w="211"/>
        <w:gridCol w:w="841"/>
        <w:gridCol w:w="611"/>
      </w:tblGrid>
      <w:tr>
        <w:trPr/>
        <w:tc>
          <w:tcPr>
            <w:tcW w:w="5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convertible preferred stock to redemption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w:t>
              <w:br/>
              <w:t>   G-4 preferred shares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w:t>
              <w:br/>
              <w:t>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w:t>
              <w:br/>
              <w:t>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w:t>
              <w:br/>
              <w:t>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3"/>
        <w:gridCol w:w="146"/>
        <w:gridCol w:w="224"/>
        <w:gridCol w:w="831"/>
        <w:gridCol w:w="146"/>
        <w:gridCol w:w="146"/>
        <w:gridCol w:w="224"/>
        <w:gridCol w:w="831"/>
        <w:gridCol w:w="794"/>
      </w:tblGrid>
      <w:tr>
        <w:trPr/>
        <w:tc>
          <w:tcPr>
            <w:tcW w:w="6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165,767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$1,141 and $1,115 at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350,331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contract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564,052</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193,124</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256,541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840,672</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no and 69,803,765 shares authorized at December 31, 2024 and December 31, 2023, respectively; no and 63,525,953 shares issued and outstanding at December 31, 2024 and December 31, 2023, respectively; aggregate liquidation preference of $0 and $1,130,429 at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Voting Common Stock, $0.0001 par value, 1,000,000,000 and 200,228,024 shares authorized at December 31, 2024 and December 31, 2023, respectively; 157,076,972 and 58,367,961 shares issued and outstanding at December 31, 2024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Voting Common Stock, $0.0001 par value, 5,500,000 and 5,374,899 shares authorized at December 31, 2024 and December 31, 2023, respectively; 5,043,789 and no shares issued and outstanding at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and 66,946,627 shares authorized at December 31, 2024 and December 31, 2023, respectively; no shares issued and outstanding at December 31, 2024, and 5,205,802 shares issued and 5,060,336 shares outstanding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145,466 shares at December 31, 2024 and December 31, 2023,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(1,396,917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(1,382,163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w:t>
              <w:br/>
              <w:t>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14"/>
        <w:gridCol w:w="211"/>
        <w:gridCol w:w="841"/>
        <w:gridCol w:w="166"/>
        <w:gridCol w:w="146"/>
        <w:gridCol w:w="211"/>
        <w:gridCol w:w="841"/>
        <w:gridCol w:w="166"/>
        <w:gridCol w:w="146"/>
        <w:gridCol w:w="211"/>
        <w:gridCol w:w="841"/>
        <w:gridCol w:w="611"/>
      </w:tblGrid>
      <w:tr>
        <w:trPr/>
        <w:tc>
          <w:tcPr>
            <w:tcW w:w="5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termination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Reversal of warrant contract asset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exercise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warrant contract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right-of-use lease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004"/>
        <w:gridCol w:w="211"/>
        <w:gridCol w:w="931"/>
        <w:gridCol w:w="166"/>
        <w:gridCol w:w="146"/>
        <w:gridCol w:w="211"/>
        <w:gridCol w:w="841"/>
        <w:gridCol w:w="166"/>
        <w:gridCol w:w="146"/>
        <w:gridCol w:w="211"/>
        <w:gridCol w:w="781"/>
        <w:gridCol w:w="391"/>
      </w:tblGrid>
      <w:tr>
        <w:trPr/>
        <w:tc>
          <w:tcPr>
            <w:tcW w:w="6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initial public offering, net of underwriting discounts and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related to net share settlement of 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G-3 Preferred Stock, net of offering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G-4 Preferred Stock, net of offering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G-5 Preferred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treasury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indemnity holdback related to acquisition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 received on accounts receivable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business combinations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contingent consideration</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convertible preferred stock to redemption value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arising from obtaining right-of-use-assets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to common stock in connection with initial public offering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restricted stock units not yet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initial public offering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G-3 Preferred Stock</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G-4 Preferred Stock</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connection with contingent consideration</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Reconciliation of GAAP to Non-GAAP Financial Measures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percentages and per 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Genomics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71"/>
        <w:gridCol w:w="146"/>
        <w:gridCol w:w="234"/>
        <w:gridCol w:w="869"/>
        <w:gridCol w:w="301"/>
        <w:gridCol w:w="161"/>
        <w:gridCol w:w="234"/>
        <w:gridCol w:w="752"/>
        <w:gridCol w:w="271"/>
        <w:gridCol w:w="146"/>
        <w:gridCol w:w="211"/>
        <w:gridCol w:w="781"/>
        <w:gridCol w:w="271"/>
        <w:gridCol w:w="146"/>
        <w:gridCol w:w="211"/>
        <w:gridCol w:w="781"/>
        <w:gridCol w:w="519"/>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363,022</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173,857</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Data and Services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3"/>
        <w:gridCol w:w="146"/>
        <w:gridCol w:w="243"/>
        <w:gridCol w:w="781"/>
        <w:gridCol w:w="312"/>
        <w:gridCol w:w="168"/>
        <w:gridCol w:w="243"/>
        <w:gridCol w:w="781"/>
        <w:gridCol w:w="271"/>
        <w:gridCol w:w="146"/>
        <w:gridCol w:w="211"/>
        <w:gridCol w:w="781"/>
        <w:gridCol w:w="271"/>
        <w:gridCol w:w="146"/>
        <w:gridCol w:w="211"/>
        <w:gridCol w:w="781"/>
        <w:gridCol w:w="520"/>
      </w:tblGrid>
      <w:tr>
        <w:trPr/>
        <w:tc>
          <w:tcPr>
            <w:tcW w:w="4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168,800</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56,482</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63,812</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112,318</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64,399</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112,318</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Total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5"/>
        <w:gridCol w:w="146"/>
        <w:gridCol w:w="226"/>
        <w:gridCol w:w="839"/>
        <w:gridCol w:w="291"/>
        <w:gridCol w:w="156"/>
        <w:gridCol w:w="226"/>
        <w:gridCol w:w="839"/>
        <w:gridCol w:w="271"/>
        <w:gridCol w:w="146"/>
        <w:gridCol w:w="211"/>
        <w:gridCol w:w="781"/>
        <w:gridCol w:w="271"/>
        <w:gridCol w:w="146"/>
        <w:gridCol w:w="211"/>
        <w:gridCol w:w="781"/>
        <w:gridCol w:w="519"/>
      </w:tblGrid>
      <w:tr>
        <w:trPr/>
        <w:tc>
          <w:tcPr>
            <w:tcW w:w="4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531,822</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245,647</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286,175</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286,175</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9"/>
        <w:gridCol w:w="146"/>
        <w:gridCol w:w="237"/>
        <w:gridCol w:w="882"/>
        <w:gridCol w:w="164"/>
        <w:gridCol w:w="164"/>
        <w:gridCol w:w="237"/>
        <w:gridCol w:w="882"/>
        <w:gridCol w:w="146"/>
        <w:gridCol w:w="146"/>
        <w:gridCol w:w="211"/>
        <w:gridCol w:w="931"/>
        <w:gridCol w:w="146"/>
        <w:gridCol w:w="146"/>
        <w:gridCol w:w="211"/>
        <w:gridCol w:w="781"/>
        <w:gridCol w:w="396"/>
      </w:tblGrid>
      <w:tr>
        <w:trPr/>
        <w:tc>
          <w:tcPr>
            <w:tcW w:w="4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26,448</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26,005</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90,039</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172,764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482,258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482,258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8"/>
        <w:gridCol w:w="146"/>
        <w:gridCol w:w="535"/>
        <w:gridCol w:w="1985"/>
        <w:gridCol w:w="166"/>
        <w:gridCol w:w="146"/>
        <w:gridCol w:w="386"/>
        <w:gridCol w:w="1540"/>
        <w:gridCol w:w="213"/>
      </w:tblGrid>
      <w:tr>
        <w:trPr/>
        <w:tc>
          <w:tcPr>
            <w:tcW w:w="5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and diligence costs incurred for the acquisition of Ambry.</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146"/>
        <w:gridCol w:w="244"/>
        <w:gridCol w:w="853"/>
        <w:gridCol w:w="191"/>
        <w:gridCol w:w="168"/>
        <w:gridCol w:w="244"/>
        <w:gridCol w:w="853"/>
        <w:gridCol w:w="166"/>
        <w:gridCol w:w="146"/>
        <w:gridCol w:w="211"/>
        <w:gridCol w:w="841"/>
        <w:gridCol w:w="166"/>
        <w:gridCol w:w="146"/>
        <w:gridCol w:w="211"/>
        <w:gridCol w:w="841"/>
        <w:gridCol w:w="414"/>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(141,513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Settlement costs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Settlement costs for the year ended December 31, 2023 include $0.2 million paid to settle a 2019 payment dispute and $8.5 million in costs accrued related to potential future settlements. </w:t>
      </w:r>
    </w:p>
    <w:p>
      <w:pPr>
        <w:pStyle w:val="TextBody"/>
        <w:bidi w:val="0"/>
        <w:jc w:val="left"/>
        <w:rPr>
          <w:rFonts w:ascii="Times New Roman" w:hAnsi="Times New Roman"/>
          <w:sz w:val="20"/>
        </w:rPr>
      </w:pPr>
      <w:r>
        <w:rPr>
          <w:rFonts w:ascii="Times New Roman" w:hAnsi="Times New Roman"/>
          <w:color w:val="000000"/>
          <w:sz w:val="10"/>
        </w:rPr>
        <w:t>(3)</w:t>
      </w:r>
      <w:r>
        <w:rPr>
          <w:rFonts w:ascii="Times New Roman" w:hAnsi="Times New Roman"/>
          <w:color w:val="000000"/>
          <w:sz w:val="20"/>
        </w:rPr>
        <w:t xml:space="preserve"> Acquisition related expenses consist of legal and diligence costs incurred for the acquisition of Ambry during the year ended December 31, 2024, and for the acquisitions of Mpirik, Inc. and SEngine Precision Medicine LLC during the year ended December 31, 2023.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5493</Words>
  <Characters>30478</Characters>
  <CharactersWithSpaces>36485</CharactersWithSpaces>
  <Paragraphs>3452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