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06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BARRIS PETER J</w:t>
              </w:r>
            </w:hyperlink>
          </w:p>
        </w:tc>
        <w:tc>
          <w:tcPr>
            <w:tcW w:w="15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Tempus AI,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TEM</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60" w:type="dxa"/>
            <w:vAlign w:val="bottom"/>
            <w:gridSpan w:val="3"/>
            <w:vMerge w:val="continue"/>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Borders>
              <w:bottom w:val="single" w:sz="8" w:color="0000EE"/>
            </w:tcBorders>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2060" w:type="dxa"/>
            <w:vAlign w:val="bottom"/>
            <w:gridSpan w:val="3"/>
            <w:vMerge w:val="continue"/>
          </w:tcPr>
          <w:p>
            <w:pPr>
              <w:spacing w:after="0"/>
              <w:rPr>
                <w:sz w:val="5"/>
                <w:szCs w:val="5"/>
                <w:color w:val="auto"/>
              </w:rPr>
            </w:pPr>
          </w:p>
        </w:tc>
        <w:tc>
          <w:tcPr>
            <w:tcW w:w="15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38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840" w:type="dxa"/>
            <w:vAlign w:val="bottom"/>
            <w:tcBorders>
              <w:top w:val="single" w:sz="8" w:color="0000EE"/>
            </w:tcBorders>
          </w:tcPr>
          <w:p>
            <w:pPr>
              <w:spacing w:after="0"/>
              <w:rPr>
                <w:sz w:val="6"/>
                <w:szCs w:val="6"/>
                <w:color w:val="auto"/>
              </w:rPr>
            </w:pPr>
          </w:p>
        </w:tc>
        <w:tc>
          <w:tcPr>
            <w:tcW w:w="440" w:type="dxa"/>
            <w:vAlign w:val="bottom"/>
          </w:tcPr>
          <w:p>
            <w:pPr>
              <w:spacing w:after="0"/>
              <w:rPr>
                <w:sz w:val="6"/>
                <w:szCs w:val="6"/>
                <w:color w:val="auto"/>
              </w:rPr>
            </w:pPr>
          </w:p>
        </w:tc>
        <w:tc>
          <w:tcPr>
            <w:tcW w:w="15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840" w:type="dxa"/>
            <w:vAlign w:val="bottom"/>
            <w:tcBorders>
              <w:top w:val="single" w:sz="8" w:color="EEEEEE"/>
            </w:tcBorders>
          </w:tcPr>
          <w:p>
            <w:pPr>
              <w:spacing w:after="0"/>
              <w:rPr>
                <w:sz w:val="2"/>
                <w:szCs w:val="2"/>
                <w:color w:val="auto"/>
              </w:rPr>
            </w:pPr>
          </w:p>
        </w:tc>
        <w:tc>
          <w:tcPr>
            <w:tcW w:w="440" w:type="dxa"/>
            <w:vAlign w:val="bottom"/>
            <w:tcBorders>
              <w:top w:val="single" w:sz="8" w:color="EEEEEE"/>
            </w:tcBorders>
          </w:tcPr>
          <w:p>
            <w:pPr>
              <w:spacing w:after="0"/>
              <w:rPr>
                <w:sz w:val="2"/>
                <w:szCs w:val="2"/>
                <w:color w:val="auto"/>
              </w:rPr>
            </w:pPr>
          </w:p>
        </w:tc>
        <w:tc>
          <w:tcPr>
            <w:tcW w:w="15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80" w:type="dxa"/>
            <w:vAlign w:val="bottom"/>
            <w:vMerge w:val="restart"/>
          </w:tcPr>
          <w:p>
            <w:pPr>
              <w:ind w:left="3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1580" w:type="dxa"/>
            <w:vAlign w:val="bottom"/>
            <w:vMerge w:val="continue"/>
          </w:tcPr>
          <w:p>
            <w:pPr>
              <w:spacing w:after="0"/>
              <w:rPr>
                <w:sz w:val="8"/>
                <w:szCs w:val="8"/>
                <w:color w:val="auto"/>
              </w:rPr>
            </w:pPr>
          </w:p>
        </w:tc>
        <w:tc>
          <w:tcPr>
            <w:tcW w:w="15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05/20/2025</w:t>
            </w:r>
          </w:p>
        </w:tc>
        <w:tc>
          <w:tcPr>
            <w:tcW w:w="236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06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TEMPUS AI, INC.</w:t>
            </w:r>
          </w:p>
        </w:tc>
        <w:tc>
          <w:tcPr>
            <w:tcW w:w="1580" w:type="dxa"/>
            <w:vAlign w:val="bottom"/>
          </w:tcPr>
          <w:p>
            <w:pPr>
              <w:spacing w:after="0"/>
              <w:rPr>
                <w:sz w:val="11"/>
                <w:szCs w:val="11"/>
                <w:color w:val="auto"/>
              </w:rPr>
            </w:pPr>
          </w:p>
        </w:tc>
        <w:tc>
          <w:tcPr>
            <w:tcW w:w="1540" w:type="dxa"/>
            <w:vAlign w:val="bottom"/>
            <w:gridSpan w:val="3"/>
            <w:vMerge w:val="continue"/>
          </w:tcPr>
          <w:p>
            <w:pPr>
              <w:spacing w:after="0"/>
              <w:rPr>
                <w:sz w:val="11"/>
                <w:szCs w:val="11"/>
                <w:color w:val="auto"/>
              </w:rPr>
            </w:pPr>
          </w:p>
        </w:tc>
        <w:tc>
          <w:tcPr>
            <w:tcW w:w="236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060" w:type="dxa"/>
            <w:vAlign w:val="bottom"/>
            <w:gridSpan w:val="3"/>
            <w:vMerge w:val="continue"/>
          </w:tcPr>
          <w:p>
            <w:pPr>
              <w:spacing w:after="0"/>
              <w:rPr>
                <w:sz w:val="12"/>
                <w:szCs w:val="12"/>
                <w:color w:val="auto"/>
              </w:rPr>
            </w:pPr>
          </w:p>
        </w:tc>
        <w:tc>
          <w:tcPr>
            <w:tcW w:w="1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600 WEST CHICAGO AVENUE, SUITE 510</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380" w:type="dxa"/>
            <w:vAlign w:val="bottom"/>
            <w:tcBorders>
              <w:bottom w:val="single" w:sz="8" w:color="2C2C2C"/>
            </w:tcBorders>
          </w:tcPr>
          <w:p>
            <w:pPr>
              <w:spacing w:after="0"/>
              <w:rPr>
                <w:sz w:val="12"/>
                <w:szCs w:val="12"/>
                <w:color w:val="auto"/>
              </w:rPr>
            </w:pPr>
          </w:p>
        </w:tc>
        <w:tc>
          <w:tcPr>
            <w:tcW w:w="236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4"/>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840" w:type="dxa"/>
            <w:vAlign w:val="bottom"/>
          </w:tcPr>
          <w:p>
            <w:pPr>
              <w:spacing w:after="0"/>
              <w:rPr>
                <w:sz w:val="8"/>
                <w:szCs w:val="8"/>
                <w:color w:val="auto"/>
              </w:rPr>
            </w:pPr>
          </w:p>
        </w:tc>
        <w:tc>
          <w:tcPr>
            <w:tcW w:w="440" w:type="dxa"/>
            <w:vAlign w:val="bottom"/>
          </w:tcPr>
          <w:p>
            <w:pPr>
              <w:spacing w:after="0"/>
              <w:rPr>
                <w:sz w:val="8"/>
                <w:szCs w:val="8"/>
                <w:color w:val="auto"/>
              </w:rPr>
            </w:pPr>
          </w:p>
        </w:tc>
        <w:tc>
          <w:tcPr>
            <w:tcW w:w="15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7"/>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6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Comnmon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05/20/2025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w w:val="97"/>
              </w:rPr>
              <w:t>1,997</w:t>
            </w:r>
            <w:r>
              <w:rPr>
                <w:rFonts w:ascii="Times New Roman" w:cs="Times New Roman" w:eastAsia="Times New Roman" w:hAnsi="Times New Roman"/>
                <w:sz w:val="22"/>
                <w:szCs w:val="22"/>
                <w:color w:val="008000"/>
                <w:w w:val="97"/>
                <w:vertAlign w:val="superscript"/>
              </w:rPr>
              <w:t>(1)</w:t>
            </w:r>
          </w:p>
        </w:tc>
        <w:tc>
          <w:tcPr>
            <w:tcW w:w="66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80"/>
              <w:spacing w:after="0"/>
              <w:rPr>
                <w:sz w:val="20"/>
                <w:szCs w:val="20"/>
                <w:color w:val="auto"/>
              </w:rPr>
            </w:pPr>
            <w:r>
              <w:rPr>
                <w:rFonts w:ascii="Times New Roman" w:cs="Times New Roman" w:eastAsia="Times New Roman" w:hAnsi="Times New Roman"/>
                <w:sz w:val="17"/>
                <w:szCs w:val="17"/>
                <w:color w:val="0000FF"/>
              </w:rPr>
              <w:t>115,511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2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20" w:type="dxa"/>
            <w:vAlign w:val="bottom"/>
            <w:gridSpan w:val="3"/>
          </w:tcPr>
          <w:p>
            <w:pPr>
              <w:ind w:left="4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20" w:type="dxa"/>
            <w:vAlign w:val="bottom"/>
            <w:gridSpan w:val="3"/>
          </w:tcPr>
          <w:p>
            <w:pPr>
              <w:ind w:left="4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20" w:type="dxa"/>
            <w:vAlign w:val="bottom"/>
            <w:gridSpan w:val="3"/>
          </w:tcPr>
          <w:p>
            <w:pPr>
              <w:ind w:left="2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3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("RSU") award. The RSUs will vest in full on the earlier of (i) the date of the Issuer's 2026 annual meeting of the stockholders (or the date immediately prior to such annual meeting if the Reporting Person's service as a director ends at such annual meeting) or (ii) on May 20, 2026, each subject to the Reporting Person's continuous service with the Issuer as of the applicable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Andrew Polovin, Attorney- </w:t>
      </w:r>
      <w:r>
        <w:rPr>
          <w:rFonts w:ascii="Times New Roman" w:cs="Times New Roman" w:eastAsia="Times New Roman" w:hAnsi="Times New Roman"/>
          <w:sz w:val="33"/>
          <w:szCs w:val="33"/>
          <w:color w:val="0000FF"/>
          <w:vertAlign w:val="subscript"/>
        </w:rPr>
        <w:t>05/22/2025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79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005561" TargetMode="External"/><Relationship Id="rId14" Type="http://schemas.openxmlformats.org/officeDocument/2006/relationships/hyperlink" Target="http://www.sec.gov/cgi-bin/browse-edgar?action=getcompany&amp;CIK=000171711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2025-05-22T19:05:51Z</dcterms:created>
  <dcterms:modified xsi:type="dcterms:W3CDTF">2025-05-22T19:05:51Z</dcterms:modified>
</cp:coreProperties>
</file>