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Doudna Jennifer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offering, as well as, a grant of RSUs made in connection with the Issuer's Non-Employee Director Compensation Policy. Certain of the RSUs remain subject to service-based vesting conditions, as follows: (i) 8,750 RSUs vest in seven equal quarterly installments commencing on July 1, 2024 and (ii) 13,514 RSUs vest in 20 substantially equal quarterly installments commencing on September 13,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9090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2024-06-17T20:51:30Z</dcterms:created>
  <dcterms:modified xsi:type="dcterms:W3CDTF">2024-06-17T20:51:30Z</dcterms:modified>
</cp:coreProperties>
</file>