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568d8k.htm"/>
      <w:bookmarkStart w:id="1" w:name="ksd13556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Tempus AI,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3125"/>
        <w:gridCol w:w="60"/>
        <w:gridCol w:w="138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001-42130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47-4903308</w:t>
            </w:r>
          </w:p>
        </w:tc>
      </w:tr>
      <w:tr>
        <w:trPr/>
        <w:tc>
          <w:tcPr>
            <w:tcW w:w="3125" w:type="dxa"/>
            <w:tcBorders/>
            <w:vAlign w:val="center"/>
          </w:tcPr>
          <w:p>
            <w:pPr>
              <w:pStyle w:val="TableContents"/>
              <w:bidi w:val="0"/>
              <w:spacing w:before="0" w:after="283"/>
              <w:jc w:val="center"/>
              <w:rPr/>
            </w:pPr>
            <w:r>
              <w:rPr>
                <w:b/>
              </w:rPr>
              <w:t>(State or other jurisdiction of</w:t>
            </w:r>
            <w:r>
              <w:rPr>
                <w:b/>
                <w:i/>
              </w:rPr>
              <w:br/>
            </w:r>
            <w:r>
              <w:rPr>
                <w:b/>
              </w:rP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b/>
              </w:rPr>
              <w:t>(Commission</w:t>
            </w:r>
            <w:r>
              <w:rPr>
                <w:b/>
                <w:i/>
              </w:rPr>
              <w:br/>
            </w: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pPr>
            <w:r>
              <w:rPr>
                <w:b/>
              </w:rPr>
              <w:t>(I.R.S. Employer</w:t>
            </w:r>
            <w:r>
              <w:rPr>
                <w:b/>
                <w:i/>
              </w:rPr>
              <w:br/>
            </w:r>
            <w:r>
              <w:rPr>
                <w:b/>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600 West Chicago Avenue, Suite 510, Chicago, Illinois 60654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(800) 976-5448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970"/>
        <w:gridCol w:w="60"/>
        <w:gridCol w:w="740"/>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23, 2026, Tempus AI, Inc. (“Tempus”) announced that it had entered into a series of agreements with Bristol-Myers Squibb Company (“BMS”) and Pathos AI, Inc. (“Pathos”) to expand the use of Tempus’s de-identified multimodal real-world data, data analysis software, agentic tools, and machine learning models. Under these agreements, the parties will increase BMS’s access to multi-modal, de-identified data in oncology, and Tempus will license neurology data to Pathos for use in Pathos’s collaboration with BMS. The agreements consist of (i) a Statement of Work between Tempus and BMS relating to oncology data and related services (the “Onco SOW”), (ii) an Order Form between Tempus and Pathos relating to neurology data and an agentic data analysis tool to be used by Pathos and BMS to support therapeutic product development (the “Neuro Order Form”), and (iii) a side letter agreement among Tempus, Pathos, and BMS relating to the Neuro Order Form (the “Side Letter”). The Neuro Order Form and the Onco SOW together provide for aggregate cash payments to Tempus of $192.5 million over approximately five years, consisting of $137.5 million under the Onco SOW and $55 million under the Neuro Order Form, each as described more fully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Oncology Data License and Related Services Agreement with BMS </w:t>
      </w:r>
    </w:p>
    <w:p>
      <w:pPr>
        <w:pStyle w:val="TextBody"/>
        <w:bidi w:val="0"/>
        <w:spacing w:before="120" w:after="0"/>
        <w:jc w:val="left"/>
        <w:rPr>
          <w:rFonts w:ascii="Times New Roman" w:hAnsi="Times New Roman"/>
          <w:sz w:val="20"/>
        </w:rPr>
      </w:pPr>
      <w:r>
        <w:rPr>
          <w:rFonts w:ascii="Times New Roman" w:hAnsi="Times New Roman"/>
          <w:sz w:val="20"/>
        </w:rPr>
        <w:t xml:space="preserve">On October 14, 2026, Tempus and BMS entered into the Onco SOW under the parties’ existing Master Services Agreement, dated August 22, 2018, as amended from time to time. Under the Onco SOW, Tempus will (i) license to BMS certain multimodal records from Tempus’s de-identified oncology dataset, (ii) grant BMS access to Tempus’s Lens software application to facilitate analysis of such data, and (iii) provide certain other data analysis and research-related services. The scope of BMS’s license to the de-identified oncology data under the Onco SOW includes BMS’s use of such data with Pathos’s “Foundry” drug development platform, which BMS has separately licensed from Pathos. </w:t>
      </w:r>
    </w:p>
    <w:p>
      <w:pPr>
        <w:pStyle w:val="TextBody"/>
        <w:bidi w:val="0"/>
        <w:spacing w:before="240" w:after="0"/>
        <w:jc w:val="left"/>
        <w:rPr>
          <w:rFonts w:ascii="Times New Roman" w:hAnsi="Times New Roman"/>
          <w:sz w:val="20"/>
        </w:rPr>
      </w:pPr>
      <w:r>
        <w:rPr>
          <w:rFonts w:ascii="Times New Roman" w:hAnsi="Times New Roman"/>
          <w:sz w:val="20"/>
        </w:rPr>
        <w:t xml:space="preserve">The Onco SOW has a term expiring on December 31, 2031. BMS will pay Tempus $137.5 million in aggregate fixed payments over the term, with payments invoiced quarterly throughout. BMS may terminate the Onco SOW upon 12 months’ prior written notice and payment of a substantial termination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Neurology Data and Agentic Tool License with Pathos, Including Sublicense Rights to BMS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2026, Tempus and Pathos entered into the Neuro Order Form under the previously disclosed Amended and Restated Master Agreement, restated effective February 12, 2024, between Tempus and Pathos (the “Pathos Master Agreement”). Pursuant to the Neuro Order Form, Tempus will use commercially reasonable efforts to deliver and license to Pathos 500,000 de-identified records of patients diagnosed with Alzheimer’s disease or other specified neurological conditions, at a rate of 100,000 records during each year of the Neuro Order Form’s five-year term. Tempus has also granted Pathos a license to an agentic tool that permits interrogation and analysis of the licensed data (the “Tempus Agent”). Pathos may use the licensed data and the Tempus Agent for its internal purposes and to assist BMS in its therapeutic development activities (as described more fully in the Side Letter).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Neuro Order Form, Pathos will pay Tempus aggregate fees of up to $55 million in cash, consisting of (i) $50 million in data license fees of $100 per delivered record, invoiced monthly, and (ii) $5.0 million for the availability of record updates, invoiced quarterly. Because the data license fees are based on the number of records delivered, the amount that Tempus will earn under the Neuro Order Form will depend on its delivery of records during the five-year term.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Side Letter among Tempus, Pathos, and BMS </w:t>
      </w:r>
    </w:p>
    <w:p>
      <w:pPr>
        <w:pStyle w:val="TextBody"/>
        <w:bidi w:val="0"/>
        <w:spacing w:before="120" w:after="0"/>
        <w:jc w:val="left"/>
        <w:rPr>
          <w:rFonts w:ascii="Times New Roman" w:hAnsi="Times New Roman"/>
          <w:sz w:val="20"/>
        </w:rPr>
      </w:pPr>
      <w:r>
        <w:rPr>
          <w:rFonts w:ascii="Times New Roman" w:hAnsi="Times New Roman"/>
          <w:sz w:val="20"/>
        </w:rPr>
        <w:t xml:space="preserve">Also on October 22, 2026, Tempus, Pathos, and BMS entered into the Side Letter, which confirms Tempus’ consent to the sublicense from Pathos to BMS of the data and Tempus Agent provided under the Neuro Order Form. The Side Letter also establishes that Tempus will not license the applicable neurology data records to any third party other than BMS, Pathos, and certain subcontractors during the period beginning when an applicable record is first delivered to Pathos and ending 18 months after the later of (i) such delivery date and (ii) October 22,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transactions between Tempus and Pathos fall within the scope of Tempus’s Related Person Transaction Policy due to overlap in the executive leadership and equity ownership of such entities. As such, the Neuro Order Form and Side Letter were reviewed and approved by a special committee of disinterested directors of Tempus’s Board of Directors (the “Board”) in accordance with Tempus’s Related Person Transaction Policy and pursuant to authority delegated by the Board.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99" w:type="dxa"/>
        <w:jc w:val="left"/>
        <w:tblInd w:w="0" w:type="dxa"/>
        <w:tblLayout w:type="fixed"/>
        <w:tblCellMar>
          <w:top w:w="0" w:type="dxa"/>
          <w:left w:w="0" w:type="dxa"/>
          <w:bottom w:w="0" w:type="dxa"/>
          <w:right w:w="0" w:type="dxa"/>
        </w:tblCellMar>
      </w:tblPr>
      <w:tblGrid>
        <w:gridCol w:w="747"/>
        <w:gridCol w:w="1182"/>
        <w:gridCol w:w="460"/>
        <w:gridCol w:w="60"/>
        <w:gridCol w:w="365"/>
        <w:gridCol w:w="60"/>
        <w:gridCol w:w="2225"/>
      </w:tblGrid>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Tempus AI, Inc.</w:t>
            </w:r>
          </w:p>
        </w:tc>
      </w:tr>
      <w:tr>
        <w:trPr/>
        <w:tc>
          <w:tcPr>
            <w:tcW w:w="2389" w:type="dxa"/>
            <w:gridSpan w:val="3"/>
            <w:tcBorders/>
            <w:vAlign w:val="center"/>
          </w:tcPr>
          <w:p>
            <w:pPr>
              <w:pStyle w:val="TableContents"/>
              <w:bidi w:val="0"/>
              <w:spacing w:before="0" w:after="283"/>
              <w:jc w:val="left"/>
              <w:rPr/>
            </w:pPr>
            <w:r>
              <w:rPr/>
              <w:t>Dated: October 23, 2026</w:t>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sz w:val="4"/>
                <w:szCs w:val="4"/>
              </w:rPr>
            </w:pPr>
            <w:r>
              <w:rPr>
                <w:sz w:val="4"/>
                <w:szCs w:val="4"/>
              </w:rPr>
            </w:r>
          </w:p>
        </w:tc>
      </w:tr>
      <w:tr>
        <w:trPr/>
        <w:tc>
          <w:tcPr>
            <w:tcW w:w="747" w:type="dxa"/>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James Rogers</w:t>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Rogers</w:t>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1132</Words>
  <Characters>6081</Characters>
  <CharactersWithSpaces>7210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