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001-42130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47-4903308</w:t>
            </w:r>
          </w:p>
        </w:tc>
      </w:tr>
      <w:tr>
        <w:trPr>
          <w:trHeight w:val="149"/>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600 West Chicago Avenue, Suite 510</w:t>
            </w:r>
          </w:p>
        </w:tc>
        <w:tc>
          <w:tcPr>
            <w:tcW w:w="2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23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9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976-5448</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Indenture and Notes</w:t>
      </w:r>
    </w:p>
    <w:p>
      <w:pPr>
        <w:spacing w:after="0" w:line="117"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On May 12, 2026, Tempus AI,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completed its previously announced private offering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of $460.0 million aggregate principal amount of 0.00% Convertible Senior Notes due 2032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including the exercise in full of the initial purchasers’ option to purchase up to an additional $60.0 million principal amount of the Notes. The Notes were issued pursuant to an indenture, dated May 12, 2026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between the Company and U.S. Bank Trust Company, National Association, as trustee.</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Notes are general unsecured obligations of the Company and will mature on May 15, 2032, unless earlier converted, redeemed or repurchased. The Notes will not bear regular interest, and the principal amount of the Notes will not accrete. Special interest will accrue on the Notes in the circumstances and at the rates described in the Indenture. The Notes are convertible at the option of the holders at any time prior to the close of business on the business day immediately preceding February 15, 2032, only upon satisfaction of one or more of the following conditions: (1) during any calendar quarter commencing after the calendar quarter ending on September 30, 2026 (and only during such calendar quarter), if the last reported sale price of the Company’s Class A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for at least 20 trading days (whether or not consecutive) during a period of 30 consecutive trading days ending on, and including, the last trading day of the immediately preceding calendar quarter is greater than or equal to 130% of the conversion price for the Notes on each applicable trading day; (2) during the five business day period after any ten consecutive trading day period (the “</w:t>
      </w:r>
      <w:r>
        <w:rPr>
          <w:rFonts w:ascii="Times New Roman" w:cs="Times New Roman" w:eastAsia="Times New Roman" w:hAnsi="Times New Roman"/>
          <w:sz w:val="18"/>
          <w:szCs w:val="18"/>
          <w:b w:val="1"/>
          <w:bCs w:val="1"/>
          <w:i w:val="1"/>
          <w:iCs w:val="1"/>
          <w:color w:val="auto"/>
        </w:rPr>
        <w:t>measurement period</w:t>
      </w:r>
      <w:r>
        <w:rPr>
          <w:rFonts w:ascii="Times New Roman" w:cs="Times New Roman" w:eastAsia="Times New Roman" w:hAnsi="Times New Roman"/>
          <w:sz w:val="18"/>
          <w:szCs w:val="18"/>
          <w:color w:val="auto"/>
        </w:rPr>
        <w:t>”) in which the trading price (as defined in the Indenture) per $1,000 principal amount of the Notes for each trading day of the measurement period was less than 98% of the product of the last reported sale price of the Common Stock and the conversion rate for the Notes on each such trading day; (3) if the Company calls such Notes for redemption, at any time prior to the close of business on the second scheduled trading day immediately preceding the redemption date, but only with respect to the Notes called (or deemed called) for redemption; or (4) upon the occurrence of specified corporate events as set forth in the Indenture. On or after February 15, 2032, until the close of business on the second scheduled trading day immediately preceding the maturity date, holders may convert all or any portion of their Notes at their option at any time, regardless of the foregoing conditions. Upon conversion, the Company will pay or deliver, as the case may be, cash, shares of Common Stock or a combination of cash and shares of Common Stock, at the Company’s election, in the manner and subject to the terms and conditions provided in the Indenture.</w:t>
      </w:r>
    </w:p>
    <w:p>
      <w:pPr>
        <w:spacing w:after="0" w:line="19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conversion rate for the Notes will initially be 14.4388 shares of Common Stock per $1,000 principal amount of Notes, which is equivalent to an initial conversion price of approximately $69.26 per share of Common Stock. The initial conversion price of the Notes represents a premium of approximately 40% to the last reported sale price of the Common Stock on The Nasdaq Global Select Market on May 7, 2026. The conversion rate for the Notes is subject to adjustment under certain circumstances in accordance with the terms of the Indenture but will not be adjusted for any accrued and unpaid special interest. In addition, following certain corporate events that occur prior to the maturity date or if the Company delivers a notice of redemption in respect of the Notes, the Company will, in certain circumstances, increase the conversion rate of the Notes for a holder who elects to convert its Notes in connection with such a corporate event or convert its Notes called (or deemed called) for redemption during the related redemption period (as defined in the Indenture), as the case may be.</w:t>
      </w:r>
    </w:p>
    <w:p>
      <w:pPr>
        <w:spacing w:after="0" w:line="19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may not redeem the Notes prior to May 21, 2029. The Company may redeem for cash all or any portion of the Notes (subject to the partial redemption limitation set forth in the Indenture), at its option, on a redemption date on or after May 21, 2029, if the last reported sale price of the Common Stock has been at least 130% of the conversion price for the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accrued and unpaid special interest, if any, to, but excluding, the redemption date. If the Company redeems less than all the outstanding Notes, at least $75.0 million aggregate principal amount of Notes must be outstanding and not subject to redemption as of, and after giving effect to, delivery of the relevant notice of redemption. No sinking fund is provided for the Notes.</w:t>
      </w:r>
    </w:p>
    <w:p>
      <w:pPr>
        <w:spacing w:after="0" w:line="19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then, subject to certain conditions and except as set forth in the Indenture, holders may require the Company to repurchase for cash all or any portion of</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2" w:name="page3"/>
    <w:bookmarkEnd w:id="2"/>
    <w:p>
      <w:pPr>
        <w:ind w:right="2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their Notes at a fundamental change repurchase price equal to 100% of the principal amount of the Notes to be repurchased, plus accrued and unpaid special interest, if any, to, but excluding, the fundamental change repurchase date.</w:t>
      </w:r>
    </w:p>
    <w:p>
      <w:pPr>
        <w:spacing w:after="0" w:line="54"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Indenture includes customary covenants and sets forth certain events of default. The following events are considered “events of default” under the Indenture:</w:t>
      </w:r>
    </w:p>
    <w:p>
      <w:pPr>
        <w:spacing w:after="0" w:line="67"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special interest on any Note when due and payable and the default continues for a period of 30 days;</w:t>
      </w:r>
    </w:p>
    <w:p>
      <w:pPr>
        <w:spacing w:after="0" w:line="130" w:lineRule="exact"/>
        <w:rPr>
          <w:rFonts w:ascii="Times New Roman" w:cs="Times New Roman" w:eastAsia="Times New Roman" w:hAnsi="Times New Roman"/>
          <w:sz w:val="18"/>
          <w:szCs w:val="18"/>
          <w:color w:val="auto"/>
        </w:rPr>
      </w:pPr>
    </w:p>
    <w:p>
      <w:pPr>
        <w:ind w:left="960" w:right="4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Note when due and payable at its stated maturity, upon any optional redemption, upon any required repurchase, upon declaration of acceleration or otherwise;</w:t>
      </w:r>
    </w:p>
    <w:p>
      <w:pPr>
        <w:spacing w:after="0" w:line="67"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the Indenture upon exercise of a holder’s conversion right and such failure continues for three business days;</w:t>
      </w:r>
    </w:p>
    <w:p>
      <w:pPr>
        <w:spacing w:after="0" w:line="67" w:lineRule="exact"/>
        <w:rPr>
          <w:rFonts w:ascii="Times New Roman" w:cs="Times New Roman" w:eastAsia="Times New Roman" w:hAnsi="Times New Roman"/>
          <w:sz w:val="18"/>
          <w:szCs w:val="18"/>
          <w:color w:val="auto"/>
        </w:rPr>
      </w:pPr>
    </w:p>
    <w:p>
      <w:pPr>
        <w:jc w:val="both"/>
        <w:ind w:left="960" w:right="140" w:hanging="532"/>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give (i) a fundamental change notice or notice of a make-whole fundamental change (each as described in the Indenture), in either case when due and such failure continues for two business days, or (ii) notice of a specified corporate transaction (as described in the Indenture) when due and such failure continues for one business day;</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in respect of any consolidation, merger or sale of assets;</w:t>
      </w:r>
    </w:p>
    <w:p>
      <w:pPr>
        <w:spacing w:after="0" w:line="130"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any of the Company’s other agreements in the Notes or the Indenture for 60 days after receipt of written notice of such failure from the trustee or the holders of at least 25% in principal amount of the Notes then outstanding;</w:t>
      </w:r>
    </w:p>
    <w:p>
      <w:pPr>
        <w:spacing w:after="0" w:line="67" w:lineRule="exact"/>
        <w:rPr>
          <w:rFonts w:ascii="Times New Roman" w:cs="Times New Roman" w:eastAsia="Times New Roman" w:hAnsi="Times New Roman"/>
          <w:sz w:val="18"/>
          <w:szCs w:val="18"/>
          <w:color w:val="auto"/>
        </w:rPr>
      </w:pPr>
    </w:p>
    <w:p>
      <w:pPr>
        <w:ind w:left="960" w:hanging="532"/>
        <w:spacing w:after="0" w:line="253"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of its significant subsidiaries (as defined in the Indenture) with respect to any mortgage, agreement or other instrument under which there may be outstanding, or by which there may be secured or evidenced, any indebtedness for money borrowed with a principal amount in excess of $75,000,000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indebtedness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45 days after written notice to the Company by the trustee or to the Company and the trustee by holders of at least 25% in aggregate principal amount of the Notes then outstanding in accordance with the Indenture; and</w:t>
      </w:r>
    </w:p>
    <w:p>
      <w:pPr>
        <w:spacing w:after="0" w:line="99"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the Company or any of the Company’s significant subsidiaries.</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If certain bankruptcy and insolvency-related events of default occur with respect to the Company, the principal of, and accrued and unpaid special interest, if any, on, all of the then outstanding Notes shall automatically become due and payable. If an event of default, other than certain bankruptcy and insolvency-related events of default with respect to the Company, occurs and is continuing, the trustee, by notice to the Company, or the holders of at least 25% in principal amount of the outstanding Notes by notice to the Company and the trustee, may declare 100% of the principal of, and accrued and unpaid special interest, if any, on all the outstanding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special interest on the Notes.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97" w:right="479" w:bottom="1440" w:gutter="0" w:footer="0" w:header="0"/>
        </w:sectPr>
      </w:pPr>
    </w:p>
    <w:bookmarkStart w:id="3" w:name="page4"/>
    <w:bookmarkEnd w:id="3"/>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qualified successor entity (as defined in the Indenture) (such qualified successor entity, the “successor entity”) organized and existing under the laws of the United States of America, any state thereof or the District of Columbia, and such successor entity (if not the Company) expressly assumes by supplemental indenture all of the Company’s obligations under the Notes and the Indenture; and (ii) immediately after giving effect to such transaction, no default or event of default has occurred and is continuing under the Indenture.</w:t>
      </w:r>
    </w:p>
    <w:p>
      <w:pPr>
        <w:spacing w:after="0" w:line="189"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A copy of the Indenture is attached hereto as Exhibit 4.1 (including the form of the Notes attached hereto as Exhibit 4.2) and is incorporated herein by reference (and this description is qualified in its entirety by reference to such document).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On May 7, 2026, in connection with the pricing of the Notes, and on May 8, 2026, in connection with the exercise in full by the initial purchasers of their option to purchase additional Notes, the Company entered into capped call transactions with one of the initial purchasers or its affiliate and other financial institutions, pursuant to capped call confirmations in substantially the form filed as Exhibit 10.1 to this Current Report on Form 8-K, which is incorporated herein by reference (and this description is qualified in its entirety by reference to such document). The capped call transactions are expected generally to reduce the potential dilution to the Common Stock upon any conversion of the Notes and/or offset any cash payments the Company is required to make in excess of the principal amount of converted Notes, as the case may be, with such reduction and/or offset subject to a cap based on a cap price initially equal to $98.9400 per share (which represents a premium of 100% over the last reported sale price of the Common Stock on The Nasdaq Global Select Market on May 7, 2026), and is subject to certain adjustments under the terms of the capped call transactions.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Proceeds</w:t>
      </w:r>
    </w:p>
    <w:p>
      <w:pPr>
        <w:spacing w:after="0" w:line="121"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Company’s net proceeds from the Offering were approximately $441.9 million, after deducting the initial purchasers’ discounts and commissions and the estimated offering expenses payable by the Company. The Company used the net proceeds from the Offering to (i) repay in full $307.7 million of outstanding loans under the Company’s senior secured credit facilities under the Credit Agreement (as defined below), plus accrued and unpaid interest and other fees, and (ii) pay the approximately $31.2 million cost of the capped call transactions described above. The Company expects to use the remaining net proceeds from the Offering for general corporate purposes, which may include acquisitions or strategic investments in complementary businesses or technologies, working capital, operating expenses, capital expenditures and repayment of additional indebtedness.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121"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On May 12, 2026, the Company used a portion of the net proceeds from the Offering to repay in full all obligations outstanding under that certain Credit Agreement, dated as of September 22, 2022, among the Company, Ares Capital Corporation, as administrative agent for the lenders, ACF Finco I LP, as revolving agent for the lenders and the lenders party thereto (as amended, the “Credit Agreement”). In connection with this repayment, the Credit Agreement, and all guarantee and security documents executed in connection therewith, were terminated.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97"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 Unregistered Sale of Equity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offered and sold the Notes to the initial purchasers in reliance on the exemption from registration provided by Section 4(a)(2)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for resale by the initial purchasers to persons reasonably believed to be qualified institutional buyers pursuant to the exemption from registration provided by Section 4(a)(2) and Rule 144A under the Securities Act. The Company relied on these exemptions from registration based in part on representations made by the initial purchasers in the purchase agreement dated May 7, 2026 by and among the Company and the initial purchasers.</w:t>
      </w:r>
    </w:p>
    <w:p>
      <w:pPr>
        <w:spacing w:after="0" w:line="183"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Notes and the shares of Common Stock issuable upon conversion of the Notes, if any, have not been registered under the Securities Act and may not be offered or sold in the United States absent registration or an applicable exemption from registration requirements.</w:t>
      </w:r>
    </w:p>
    <w:p>
      <w:pPr>
        <w:spacing w:after="0" w:line="162"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any shares of Common Stock are issued upon conversion of the Notes, they will be issued in transactions anticipated to be exempt from registration under the Securities Act by virtue of Section 3(a)(9) thereof because no commission or other remuneration is expected to be paid in connection with conversion of the Notes and any resulting issuance of shares of Common Stock. Initially, a maximum of 9,298,532 shares of Common Stock may be issued upon conversion of the Notes based on the initial maximum conversion rate of 20.2142 shares of Common Stock per $1,000 principal amount of Notes, which is subject to customary anti-dilution adjustment provisions.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On May 7, 2026, the Company issued a press release announcing the proposed Offering. A copy of the press release is attached hereto as Exhibit 99.1 and incorporated herein by reference.</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On May 8, 2026, the Company issued a press release announcing the pricing of the Notes. A copy of the press release is attached hereto as Exhibit 99.2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21E of the Securities Exchange Act of 1934, as amended, including statements regarding the Company’s expectations regarding the use of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proceeds from the Offering. These forward-looking statements are based on the Company’s current assumptions, expectations and beliefs and are subject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substantial risks, uncertainties, assumptions and changes in circumstances that may cause the Company’s plans to differ materially from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or implied in any forward-looking statement. These risks include, but are not limited to, market risks, trends and conditions, and those risks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the Company’s filings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from time to time, particularly under the captions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and “Management’s Discussion and Analysis of Financial Condition and Results of Operations,” including the Company’s Annual Report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for the year ended December 31, 2025 and the Quarterly Report on Form 10-Q for the quarter ended March 31, 2026. Copies of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may be obtained by visiting the SEC’s website at www.sec.gov. These forward-looking statements represent the Company’s estimates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only as of the date of this Current Report on Form 8-K. The Company assumes no obligation to update such forward-looking statements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 events that occur or circumstances that exist after the date on which they were made, except as required by law.</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93"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 Financial Statements and Exhibits.</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1020" w:type="dxa"/>
            <w:vAlign w:val="bottom"/>
            <w:gridSpan w:val="9"/>
          </w:tcPr>
          <w:p>
            <w:pPr>
              <w:ind w:left="440"/>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0" w:type="dxa"/>
            <w:vAlign w:val="bottom"/>
            <w:gridSpan w:val="5"/>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4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Indenture, dated as of May 12, 2026, by and between Tempus AI, Inc. and U.S. Bank Trust Company, National Association, as Trustee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Form of Global Note, representing Tempus AI, Inc.’s 0.00% Convertible Senior Notes due 2032 (included as Exhibit A to the Indenture</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7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filed as Exhibit 4.1)</w:t>
            </w:r>
          </w:p>
        </w:tc>
        <w:tc>
          <w:tcPr>
            <w:tcW w:w="3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Form of Confirmation for Capped Call Transactions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9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Press release entitled “Tempus AI, Inc. Announces Proposed Convertible Senior Notes Offering to Optimize Capital Structure and Reduce</w:t>
            </w:r>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Interest Expense,” dated May 7, 2026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73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 xml:space="preserve">Press release entitled “Tempus Announces Pricing of Upsized Offering of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400.0 Million of Convertible Senior Notes,” dated May 8, 2026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464" w:right="4380" w:hanging="5464"/>
        <w:spacing w:after="0" w:line="877" w:lineRule="auto"/>
        <w:tabs>
          <w:tab w:leader="none" w:pos="8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6</w:t>
      </w:r>
    </w:p>
    <w:p>
      <w:pPr>
        <w:sectPr>
          <w:pgSz w:w="11900" w:h="16838" w:orient="portrait"/>
          <w:cols w:equalWidth="0" w:num="1">
            <w:col w:w="11024"/>
          </w:cols>
          <w:pgMar w:left="436" w:top="293" w:right="439" w:bottom="1440" w:gutter="0" w:footer="0" w:header="0"/>
        </w:sectPr>
      </w:pPr>
    </w:p>
    <w:bookmarkStart w:id="6" w:name="page7"/>
    <w:bookmarkEnd w:id="6"/>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2026</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Rogers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440" w:top="293" w:right="7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TEMPUS AI,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May 12, 2026</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0.00% Convertible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6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960" w:type="dxa"/>
            <w:vAlign w:val="bottom"/>
          </w:tcPr>
          <w:p>
            <w:pPr>
              <w:spacing w:after="0"/>
              <w:rPr>
                <w:sz w:val="24"/>
                <w:szCs w:val="2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c>
          <w:tcPr>
            <w:tcW w:w="0" w:type="dxa"/>
            <w:vAlign w:val="bottom"/>
          </w:tcPr>
          <w:p>
            <w:pPr>
              <w:spacing w:after="0"/>
              <w:rPr>
                <w:sz w:val="1"/>
                <w:szCs w:val="1"/>
                <w:color w:val="auto"/>
              </w:rPr>
            </w:pPr>
          </w:p>
        </w:tc>
      </w:tr>
      <w:tr>
        <w:trPr>
          <w:trHeight w:val="431"/>
        </w:trPr>
        <w:tc>
          <w:tcPr>
            <w:tcW w:w="4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340" w:type="dxa"/>
            <w:vAlign w:val="bottom"/>
          </w:tcPr>
          <w:p>
            <w:pPr>
              <w:spacing w:after="0"/>
              <w:rPr>
                <w:sz w:val="24"/>
                <w:szCs w:val="24"/>
                <w:color w:val="auto"/>
              </w:rPr>
            </w:pPr>
          </w:p>
        </w:tc>
        <w:tc>
          <w:tcPr>
            <w:tcW w:w="6280" w:type="dxa"/>
            <w:vAlign w:val="bottom"/>
            <w:gridSpan w:val="2"/>
          </w:tcPr>
          <w:p>
            <w:pPr>
              <w:jc w:val="center"/>
              <w:ind w:right="4560"/>
              <w:spacing w:after="0"/>
              <w:rPr>
                <w:sz w:val="20"/>
                <w:szCs w:val="20"/>
                <w:color w:val="auto"/>
              </w:rPr>
            </w:pPr>
            <w:r>
              <w:rPr>
                <w:rFonts w:ascii="Times New Roman" w:cs="Times New Roman" w:eastAsia="Times New Roman" w:hAnsi="Times New Roman"/>
                <w:sz w:val="18"/>
                <w:szCs w:val="18"/>
                <w:color w:val="auto"/>
                <w:w w:val="98"/>
              </w:rPr>
              <w:t>ARTICLE 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6280" w:type="dxa"/>
            <w:vAlign w:val="bottom"/>
            <w:gridSpan w:val="2"/>
          </w:tcPr>
          <w:p>
            <w:pPr>
              <w:jc w:val="center"/>
              <w:ind w:right="456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References to Interest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6"/>
        </w:trPr>
        <w:tc>
          <w:tcPr>
            <w:tcW w:w="4340" w:type="dxa"/>
            <w:vAlign w:val="bottom"/>
          </w:tcPr>
          <w:p>
            <w:pPr>
              <w:spacing w:after="0"/>
              <w:rPr>
                <w:sz w:val="24"/>
                <w:szCs w:val="24"/>
                <w:color w:val="auto"/>
              </w:rPr>
            </w:pPr>
          </w:p>
        </w:tc>
        <w:tc>
          <w:tcPr>
            <w:tcW w:w="6280" w:type="dxa"/>
            <w:vAlign w:val="bottom"/>
            <w:gridSpan w:val="2"/>
          </w:tcPr>
          <w:p>
            <w:pPr>
              <w:jc w:val="center"/>
              <w:ind w:right="4560"/>
              <w:spacing w:after="0"/>
              <w:rPr>
                <w:sz w:val="20"/>
                <w:szCs w:val="20"/>
                <w:color w:val="auto"/>
              </w:rPr>
            </w:pPr>
            <w:r>
              <w:rPr>
                <w:rFonts w:ascii="Times New Roman" w:cs="Times New Roman" w:eastAsia="Times New Roman" w:hAnsi="Times New Roman"/>
                <w:sz w:val="18"/>
                <w:szCs w:val="18"/>
                <w:color w:val="auto"/>
                <w:w w:val="98"/>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EGISTRATION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Designation and Amount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Form of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Date and Denomination of Notes; No Regular Interest; Payments of Special Interest and Defaulted Amounts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Execution, Authentication and Delivery of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Exchange and Registration of Transfer of Notes; Restrictions on Transfer; Depositary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Mutilated, Destroyed, Lost or Stolen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Temporary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Cancellation of Notes Paid, Converted, Etc.</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CUSIP Numbers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Additional Notes; Repurchases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6"/>
        </w:trPr>
        <w:tc>
          <w:tcPr>
            <w:tcW w:w="4340" w:type="dxa"/>
            <w:vAlign w:val="bottom"/>
          </w:tcPr>
          <w:p>
            <w:pPr>
              <w:spacing w:after="0"/>
              <w:rPr>
                <w:sz w:val="24"/>
                <w:szCs w:val="24"/>
                <w:color w:val="auto"/>
              </w:rPr>
            </w:pPr>
          </w:p>
        </w:tc>
        <w:tc>
          <w:tcPr>
            <w:tcW w:w="6280" w:type="dxa"/>
            <w:vAlign w:val="bottom"/>
            <w:gridSpan w:val="2"/>
          </w:tcPr>
          <w:p>
            <w:pPr>
              <w:jc w:val="center"/>
              <w:ind w:right="4560"/>
              <w:spacing w:after="0"/>
              <w:rPr>
                <w:sz w:val="20"/>
                <w:szCs w:val="20"/>
                <w:color w:val="auto"/>
              </w:rPr>
            </w:pPr>
            <w:r>
              <w:rPr>
                <w:rFonts w:ascii="Times New Roman" w:cs="Times New Roman" w:eastAsia="Times New Roman" w:hAnsi="Times New Roman"/>
                <w:sz w:val="18"/>
                <w:szCs w:val="18"/>
                <w:color w:val="auto"/>
                <w:w w:val="98"/>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ISCHARGE</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Satisfaction and Discharge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6"/>
        </w:trPr>
        <w:tc>
          <w:tcPr>
            <w:tcW w:w="4340" w:type="dxa"/>
            <w:vAlign w:val="bottom"/>
          </w:tcPr>
          <w:p>
            <w:pPr>
              <w:spacing w:after="0"/>
              <w:rPr>
                <w:sz w:val="24"/>
                <w:szCs w:val="24"/>
                <w:color w:val="auto"/>
              </w:rPr>
            </w:pPr>
          </w:p>
        </w:tc>
        <w:tc>
          <w:tcPr>
            <w:tcW w:w="6280" w:type="dxa"/>
            <w:vAlign w:val="bottom"/>
            <w:gridSpan w:val="2"/>
          </w:tcPr>
          <w:p>
            <w:pPr>
              <w:jc w:val="center"/>
              <w:ind w:right="4560"/>
              <w:spacing w:after="0"/>
              <w:rPr>
                <w:sz w:val="20"/>
                <w:szCs w:val="20"/>
                <w:color w:val="auto"/>
              </w:rPr>
            </w:pPr>
            <w:r>
              <w:rPr>
                <w:rFonts w:ascii="Times New Roman" w:cs="Times New Roman" w:eastAsia="Times New Roman" w:hAnsi="Times New Roman"/>
                <w:sz w:val="18"/>
                <w:szCs w:val="18"/>
                <w:color w:val="auto"/>
                <w:w w:val="98"/>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Principal and Special Interest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Maintenance of Office or Agency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Appointments to Fill Vacancies in Trustee’s Office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Provisions as to Paying Agent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Existence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Rule 144A Information Requirement and Annual Reports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Stay, Extension and Usury Laws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Compliance Certificate; Statements as to Defaults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Further Instruments and Acts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9" w:name="page10"/>
    <w:bookmarkEnd w:id="9"/>
    <w:p>
      <w:pPr>
        <w:jc w:val="center"/>
        <w:ind w:right="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ISTS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EPORTS</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Y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 AND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Lists of Holders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Preservation and Disclosure of Lists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6"/>
        </w:trPr>
        <w:tc>
          <w:tcPr>
            <w:tcW w:w="9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8"/>
              </w:rPr>
              <w:t>ARTICLE 6</w:t>
            </w:r>
          </w:p>
        </w:tc>
        <w:tc>
          <w:tcPr>
            <w:tcW w:w="1420" w:type="dxa"/>
            <w:vAlign w:val="bottom"/>
          </w:tcPr>
          <w:p>
            <w:pPr>
              <w:spacing w:after="0"/>
              <w:rPr>
                <w:sz w:val="24"/>
                <w:szCs w:val="24"/>
                <w:color w:val="auto"/>
              </w:rPr>
            </w:pPr>
          </w:p>
        </w:tc>
      </w:tr>
      <w:tr>
        <w:trPr>
          <w:trHeight w:val="234"/>
        </w:trPr>
        <w:tc>
          <w:tcPr>
            <w:tcW w:w="9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EMEDIES</w:t>
            </w:r>
          </w:p>
        </w:tc>
        <w:tc>
          <w:tcPr>
            <w:tcW w:w="1420" w:type="dxa"/>
            <w:vAlign w:val="bottom"/>
          </w:tcPr>
          <w:p>
            <w:pPr>
              <w:spacing w:after="0"/>
              <w:rPr>
                <w:sz w:val="20"/>
                <w:szCs w:val="20"/>
                <w:color w:val="auto"/>
              </w:rPr>
            </w:pPr>
          </w:p>
        </w:tc>
      </w:tr>
      <w:tr>
        <w:trPr>
          <w:trHeight w:val="30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 Rescission and Annulment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Special Interest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Payments of Notes on Default; Suit Therefor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Application of Monies Collected by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Proceedings by Holders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Proceedings by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Remedies Cumulative and Continuing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Direction of Proceedings and Waiver of Defaults by Majority of Holders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Notice of Defaults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Undertaking to Pay Costs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6"/>
        </w:trPr>
        <w:tc>
          <w:tcPr>
            <w:tcW w:w="9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8"/>
              </w:rPr>
              <w:t>ARTICLE 7</w:t>
            </w:r>
          </w:p>
        </w:tc>
        <w:tc>
          <w:tcPr>
            <w:tcW w:w="1420" w:type="dxa"/>
            <w:vAlign w:val="bottom"/>
          </w:tcPr>
          <w:p>
            <w:pPr>
              <w:spacing w:after="0"/>
              <w:rPr>
                <w:sz w:val="24"/>
                <w:szCs w:val="24"/>
                <w:color w:val="auto"/>
              </w:rPr>
            </w:pPr>
          </w:p>
        </w:tc>
      </w:tr>
      <w:tr>
        <w:trPr>
          <w:trHeight w:val="234"/>
        </w:trPr>
        <w:tc>
          <w:tcPr>
            <w:tcW w:w="95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tc>
        <w:tc>
          <w:tcPr>
            <w:tcW w:w="1420" w:type="dxa"/>
            <w:vAlign w:val="bottom"/>
          </w:tcPr>
          <w:p>
            <w:pPr>
              <w:spacing w:after="0"/>
              <w:rPr>
                <w:sz w:val="20"/>
                <w:szCs w:val="20"/>
                <w:color w:val="auto"/>
              </w:rPr>
            </w:pPr>
          </w:p>
        </w:tc>
      </w:tr>
      <w:tr>
        <w:trPr>
          <w:trHeight w:val="30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Duties and Responsibilities of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Reliance on Documents, Opinions, Etc.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No Responsibility for Recitals, Etc.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Trustee, Paying Agents, Conversion Agents, Bid Solicitation Agent or Note Registrar May Own Notes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Monies and Shares of Class A Common Stock to Be Held in Trust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Compensation and Expenses of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Officer’s Certificate as Evidence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Eligibility of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Resignation or Removal of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Acceptance by Successor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Succession by Merger, Etc.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i w:val="1"/>
                <w:iCs w:val="1"/>
                <w:color w:val="auto"/>
              </w:rPr>
              <w:t>Trustee’s Application for Instructions from the Company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06"/>
        </w:trPr>
        <w:tc>
          <w:tcPr>
            <w:tcW w:w="9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8"/>
              </w:rPr>
              <w:t>ARTICLE 8</w:t>
            </w:r>
          </w:p>
        </w:tc>
        <w:tc>
          <w:tcPr>
            <w:tcW w:w="1420" w:type="dxa"/>
            <w:vAlign w:val="bottom"/>
          </w:tcPr>
          <w:p>
            <w:pPr>
              <w:spacing w:after="0"/>
              <w:rPr>
                <w:sz w:val="24"/>
                <w:szCs w:val="24"/>
                <w:color w:val="auto"/>
              </w:rPr>
            </w:pPr>
          </w:p>
        </w:tc>
      </w:tr>
      <w:tr>
        <w:trPr>
          <w:trHeight w:val="234"/>
        </w:trPr>
        <w:tc>
          <w:tcPr>
            <w:tcW w:w="95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tc>
        <w:tc>
          <w:tcPr>
            <w:tcW w:w="1420" w:type="dxa"/>
            <w:vAlign w:val="bottom"/>
          </w:tcPr>
          <w:p>
            <w:pPr>
              <w:spacing w:after="0"/>
              <w:rPr>
                <w:sz w:val="20"/>
                <w:szCs w:val="20"/>
                <w:color w:val="auto"/>
              </w:rPr>
            </w:pPr>
          </w:p>
        </w:tc>
      </w:tr>
      <w:tr>
        <w:trPr>
          <w:trHeight w:val="30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Action by Holders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Proof of Execution by Holders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Who Are Deemed Absolute Owners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Company-Owned Notes Disregarded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Revocation of Consents; Future Holders Bound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94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ARTICLE 9</w:t>
            </w:r>
          </w:p>
        </w:tc>
        <w:tc>
          <w:tcPr>
            <w:tcW w:w="1500" w:type="dxa"/>
            <w:vAlign w:val="bottom"/>
          </w:tcPr>
          <w:p>
            <w:pPr>
              <w:spacing w:after="0"/>
              <w:rPr>
                <w:sz w:val="18"/>
                <w:szCs w:val="18"/>
                <w:color w:val="auto"/>
              </w:rPr>
            </w:pPr>
          </w:p>
        </w:tc>
      </w:tr>
      <w:tr>
        <w:trPr>
          <w:trHeight w:val="234"/>
        </w:trPr>
        <w:tc>
          <w:tcPr>
            <w:tcW w:w="94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EETINGS</w:t>
            </w:r>
          </w:p>
        </w:tc>
        <w:tc>
          <w:tcPr>
            <w:tcW w:w="1500" w:type="dxa"/>
            <w:vAlign w:val="bottom"/>
          </w:tcPr>
          <w:p>
            <w:pPr>
              <w:spacing w:after="0"/>
              <w:rPr>
                <w:sz w:val="20"/>
                <w:szCs w:val="20"/>
                <w:color w:val="auto"/>
              </w:rPr>
            </w:pPr>
          </w:p>
        </w:tc>
      </w:tr>
      <w:tr>
        <w:trPr>
          <w:trHeight w:val="30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Purpose of Meetings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Call of Meetings by Trustee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Call of Meetings by Company or Holders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Qualifications for Voting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Regulations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Voting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No Delay of Rights by Meeting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06"/>
        </w:trPr>
        <w:tc>
          <w:tcPr>
            <w:tcW w:w="94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7"/>
              </w:rPr>
              <w:t>ARTICLE 10</w:t>
            </w:r>
          </w:p>
        </w:tc>
        <w:tc>
          <w:tcPr>
            <w:tcW w:w="1500" w:type="dxa"/>
            <w:vAlign w:val="bottom"/>
          </w:tcPr>
          <w:p>
            <w:pPr>
              <w:spacing w:after="0"/>
              <w:rPr>
                <w:sz w:val="24"/>
                <w:szCs w:val="24"/>
                <w:color w:val="auto"/>
              </w:rPr>
            </w:pPr>
          </w:p>
        </w:tc>
      </w:tr>
      <w:tr>
        <w:trPr>
          <w:trHeight w:val="234"/>
        </w:trPr>
        <w:tc>
          <w:tcPr>
            <w:tcW w:w="94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NDENTURES</w:t>
            </w:r>
          </w:p>
        </w:tc>
        <w:tc>
          <w:tcPr>
            <w:tcW w:w="1500" w:type="dxa"/>
            <w:vAlign w:val="bottom"/>
          </w:tcPr>
          <w:p>
            <w:pPr>
              <w:spacing w:after="0"/>
              <w:rPr>
                <w:sz w:val="20"/>
                <w:szCs w:val="20"/>
                <w:color w:val="auto"/>
              </w:rPr>
            </w:pPr>
          </w:p>
        </w:tc>
      </w:tr>
      <w:tr>
        <w:trPr>
          <w:trHeight w:val="30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Supplemental Indentures Without Consent of Holders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Supplemental Indentures with Consent of Holders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Effect of Supplemental Indentures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Notation on Notes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Evidence of Compliance of Supplemental Indenture to Be Furnished to Trustee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6"/>
        </w:trPr>
        <w:tc>
          <w:tcPr>
            <w:tcW w:w="94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7"/>
              </w:rPr>
              <w:t>ARTICLE 11</w:t>
            </w:r>
          </w:p>
        </w:tc>
        <w:tc>
          <w:tcPr>
            <w:tcW w:w="1500" w:type="dxa"/>
            <w:vAlign w:val="bottom"/>
          </w:tcPr>
          <w:p>
            <w:pPr>
              <w:spacing w:after="0"/>
              <w:rPr>
                <w:sz w:val="24"/>
                <w:szCs w:val="24"/>
                <w:color w:val="auto"/>
              </w:rPr>
            </w:pPr>
          </w:p>
        </w:tc>
      </w:tr>
      <w:tr>
        <w:trPr>
          <w:trHeight w:val="234"/>
        </w:trPr>
        <w:tc>
          <w:tcPr>
            <w:tcW w:w="94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ONVEYANCE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EASE</w:t>
            </w:r>
          </w:p>
        </w:tc>
        <w:tc>
          <w:tcPr>
            <w:tcW w:w="1500" w:type="dxa"/>
            <w:vAlign w:val="bottom"/>
          </w:tcPr>
          <w:p>
            <w:pPr>
              <w:spacing w:after="0"/>
              <w:rPr>
                <w:sz w:val="20"/>
                <w:szCs w:val="20"/>
                <w:color w:val="auto"/>
              </w:rPr>
            </w:pPr>
          </w:p>
        </w:tc>
      </w:tr>
      <w:tr>
        <w:trPr>
          <w:trHeight w:val="30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Company May Consolidate, Etc. on Certain Terms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Successor Entity to Be Substituted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06"/>
        </w:trPr>
        <w:tc>
          <w:tcPr>
            <w:tcW w:w="94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7"/>
              </w:rPr>
              <w:t>ARTICLE 12</w:t>
            </w:r>
          </w:p>
        </w:tc>
        <w:tc>
          <w:tcPr>
            <w:tcW w:w="1500" w:type="dxa"/>
            <w:vAlign w:val="bottom"/>
          </w:tcPr>
          <w:p>
            <w:pPr>
              <w:spacing w:after="0"/>
              <w:rPr>
                <w:sz w:val="24"/>
                <w:szCs w:val="24"/>
                <w:color w:val="auto"/>
              </w:rPr>
            </w:pPr>
          </w:p>
        </w:tc>
      </w:tr>
      <w:tr>
        <w:trPr>
          <w:trHeight w:val="234"/>
        </w:trPr>
        <w:tc>
          <w:tcPr>
            <w:tcW w:w="94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MMUNITY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4"/>
                <w:szCs w:val="14"/>
                <w:color w:val="auto"/>
              </w:rPr>
              <w:t>FFICERS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IRECTORS</w:t>
            </w:r>
          </w:p>
        </w:tc>
        <w:tc>
          <w:tcPr>
            <w:tcW w:w="1500" w:type="dxa"/>
            <w:vAlign w:val="bottom"/>
          </w:tcPr>
          <w:p>
            <w:pPr>
              <w:spacing w:after="0"/>
              <w:rPr>
                <w:sz w:val="20"/>
                <w:szCs w:val="20"/>
                <w:color w:val="auto"/>
              </w:rPr>
            </w:pPr>
          </w:p>
        </w:tc>
      </w:tr>
      <w:tr>
        <w:trPr>
          <w:trHeight w:val="32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Indenture and Notes Solely Corporate Obligations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06"/>
        </w:trPr>
        <w:tc>
          <w:tcPr>
            <w:tcW w:w="94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7"/>
              </w:rPr>
              <w:t>ARTICLE 13</w:t>
            </w:r>
          </w:p>
        </w:tc>
        <w:tc>
          <w:tcPr>
            <w:tcW w:w="1500" w:type="dxa"/>
            <w:vAlign w:val="bottom"/>
          </w:tcPr>
          <w:p>
            <w:pPr>
              <w:spacing w:after="0"/>
              <w:rPr>
                <w:sz w:val="24"/>
                <w:szCs w:val="24"/>
                <w:color w:val="auto"/>
              </w:rPr>
            </w:pPr>
          </w:p>
        </w:tc>
      </w:tr>
      <w:tr>
        <w:trPr>
          <w:trHeight w:val="234"/>
        </w:trPr>
        <w:tc>
          <w:tcPr>
            <w:tcW w:w="94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INTENTIONALLY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MITTED</w:t>
            </w: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11" w:name="page12"/>
    <w:bookmarkEnd w:id="11"/>
    <w:p>
      <w:pPr>
        <w:jc w:val="center"/>
        <w:ind w:right="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14</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ONVERSION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i w:val="1"/>
                <w:iCs w:val="1"/>
                <w:color w:val="auto"/>
              </w:rPr>
              <w:t>Conversion Privilege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i w:val="1"/>
                <w:iCs w:val="1"/>
                <w:color w:val="auto"/>
              </w:rPr>
              <w:t>Conversion Procedure; Settlement Upon Conversion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i w:val="1"/>
                <w:iCs w:val="1"/>
                <w:color w:val="auto"/>
              </w:rPr>
              <w:t>Increased Conversion Rate Applicable to Certain Notes Surrendered in Connection with Make-Whole Fundamental Changes or a</w:t>
            </w:r>
          </w:p>
        </w:tc>
        <w:tc>
          <w:tcPr>
            <w:tcW w:w="360" w:type="dxa"/>
            <w:vAlign w:val="bottom"/>
          </w:tcPr>
          <w:p>
            <w:pPr>
              <w:spacing w:after="0"/>
              <w:rPr>
                <w:sz w:val="18"/>
                <w:szCs w:val="18"/>
                <w:color w:val="auto"/>
              </w:rPr>
            </w:pPr>
          </w:p>
        </w:tc>
      </w:tr>
      <w:tr>
        <w:trPr>
          <w:trHeight w:val="216"/>
        </w:trPr>
        <w:tc>
          <w:tcPr>
            <w:tcW w:w="10600" w:type="dxa"/>
            <w:vAlign w:val="bottom"/>
          </w:tcPr>
          <w:p>
            <w:pPr>
              <w:ind w:left="1080"/>
              <w:spacing w:after="0"/>
              <w:rPr>
                <w:sz w:val="20"/>
                <w:szCs w:val="20"/>
                <w:color w:val="auto"/>
              </w:rPr>
            </w:pPr>
            <w:r>
              <w:rPr>
                <w:rFonts w:ascii="Times New Roman" w:cs="Times New Roman" w:eastAsia="Times New Roman" w:hAnsi="Times New Roman"/>
                <w:sz w:val="18"/>
                <w:szCs w:val="18"/>
                <w:i w:val="1"/>
                <w:iCs w:val="1"/>
                <w:color w:val="auto"/>
              </w:rPr>
              <w:t>Notice of Redemption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i w:val="1"/>
                <w:iCs w:val="1"/>
                <w:color w:val="auto"/>
              </w:rPr>
              <w:t>Adjustment of Conversion Rate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i w:val="1"/>
                <w:iCs w:val="1"/>
                <w:color w:val="auto"/>
              </w:rPr>
              <w:t>Adjustments of Prices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14.06. </w:t>
            </w:r>
            <w:r>
              <w:rPr>
                <w:rFonts w:ascii="Times New Roman" w:cs="Times New Roman" w:eastAsia="Times New Roman" w:hAnsi="Times New Roman"/>
                <w:sz w:val="18"/>
                <w:szCs w:val="18"/>
                <w:i w:val="1"/>
                <w:iCs w:val="1"/>
                <w:color w:val="auto"/>
              </w:rPr>
              <w:t>Shares to Be Fully Paid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14.07. </w:t>
            </w:r>
            <w:r>
              <w:rPr>
                <w:rFonts w:ascii="Times New Roman" w:cs="Times New Roman" w:eastAsia="Times New Roman" w:hAnsi="Times New Roman"/>
                <w:sz w:val="18"/>
                <w:szCs w:val="18"/>
                <w:i w:val="1"/>
                <w:iCs w:val="1"/>
                <w:color w:val="auto"/>
              </w:rPr>
              <w:t>Effect of Recapitalizations, Reclassifications and Changes of the Class A Common Stock</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14.08. </w:t>
            </w:r>
            <w:r>
              <w:rPr>
                <w:rFonts w:ascii="Times New Roman" w:cs="Times New Roman" w:eastAsia="Times New Roman" w:hAnsi="Times New Roman"/>
                <w:sz w:val="18"/>
                <w:szCs w:val="18"/>
                <w:i w:val="1"/>
                <w:iCs w:val="1"/>
                <w:color w:val="auto"/>
              </w:rPr>
              <w:t>Certain Covenants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14.09. </w:t>
            </w:r>
            <w:r>
              <w:rPr>
                <w:rFonts w:ascii="Times New Roman" w:cs="Times New Roman" w:eastAsia="Times New Roman" w:hAnsi="Times New Roman"/>
                <w:sz w:val="18"/>
                <w:szCs w:val="18"/>
                <w:i w:val="1"/>
                <w:iCs w:val="1"/>
                <w:color w:val="auto"/>
              </w:rPr>
              <w:t>Responsibility of Trustee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14.10. </w:t>
            </w:r>
            <w:r>
              <w:rPr>
                <w:rFonts w:ascii="Times New Roman" w:cs="Times New Roman" w:eastAsia="Times New Roman" w:hAnsi="Times New Roman"/>
                <w:sz w:val="18"/>
                <w:szCs w:val="18"/>
                <w:i w:val="1"/>
                <w:iCs w:val="1"/>
                <w:color w:val="auto"/>
              </w:rPr>
              <w:t>[Intentionally Omitted]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14.11. </w:t>
            </w:r>
            <w:r>
              <w:rPr>
                <w:rFonts w:ascii="Times New Roman" w:cs="Times New Roman" w:eastAsia="Times New Roman" w:hAnsi="Times New Roman"/>
                <w:sz w:val="18"/>
                <w:szCs w:val="18"/>
                <w:i w:val="1"/>
                <w:iCs w:val="1"/>
                <w:color w:val="auto"/>
              </w:rPr>
              <w:t>Stockholder Rights Plans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14.12. </w:t>
            </w:r>
            <w:r>
              <w:rPr>
                <w:rFonts w:ascii="Times New Roman" w:cs="Times New Roman" w:eastAsia="Times New Roman" w:hAnsi="Times New Roman"/>
                <w:sz w:val="18"/>
                <w:szCs w:val="18"/>
                <w:i w:val="1"/>
                <w:iCs w:val="1"/>
                <w:color w:val="auto"/>
              </w:rPr>
              <w:t>Exchange in Lieu of Conversion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06"/>
        </w:trPr>
        <w:tc>
          <w:tcPr>
            <w:tcW w:w="10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15</w:t>
            </w:r>
          </w:p>
        </w:tc>
        <w:tc>
          <w:tcPr>
            <w:tcW w:w="360" w:type="dxa"/>
            <w:vAlign w:val="bottom"/>
          </w:tcPr>
          <w:p>
            <w:pPr>
              <w:spacing w:after="0"/>
              <w:rPr>
                <w:sz w:val="24"/>
                <w:szCs w:val="24"/>
                <w:color w:val="auto"/>
              </w:rPr>
            </w:pPr>
          </w:p>
        </w:tc>
      </w:tr>
      <w:tr>
        <w:trPr>
          <w:trHeight w:val="234"/>
        </w:trPr>
        <w:tc>
          <w:tcPr>
            <w:tcW w:w="10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EPURCHASE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 AT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tc>
        <w:tc>
          <w:tcPr>
            <w:tcW w:w="360" w:type="dxa"/>
            <w:vAlign w:val="bottom"/>
          </w:tcPr>
          <w:p>
            <w:pPr>
              <w:spacing w:after="0"/>
              <w:rPr>
                <w:sz w:val="20"/>
                <w:szCs w:val="20"/>
                <w:color w:val="auto"/>
              </w:rPr>
            </w:pPr>
          </w:p>
        </w:tc>
      </w:tr>
      <w:tr>
        <w:trPr>
          <w:trHeight w:val="304"/>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i w:val="1"/>
                <w:iCs w:val="1"/>
                <w:color w:val="auto"/>
              </w:rPr>
              <w:t>[Intentionally Omitted]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i w:val="1"/>
                <w:iCs w:val="1"/>
                <w:color w:val="auto"/>
              </w:rPr>
              <w:t>Repurchase at Option of Holders Upon a Fundamental Change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i w:val="1"/>
                <w:iCs w:val="1"/>
                <w:color w:val="auto"/>
              </w:rPr>
              <w:t>Withdrawal of Fundamental Change Repurchase Notice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i w:val="1"/>
                <w:iCs w:val="1"/>
                <w:color w:val="auto"/>
              </w:rPr>
              <w:t>Deposit of Fundamental Change Repurchase Price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i w:val="1"/>
                <w:iCs w:val="1"/>
                <w:color w:val="auto"/>
              </w:rPr>
              <w:t>Covenant to Comply with Applicable Laws Upon Repurchase of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06"/>
        </w:trPr>
        <w:tc>
          <w:tcPr>
            <w:tcW w:w="10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16</w:t>
            </w:r>
          </w:p>
        </w:tc>
        <w:tc>
          <w:tcPr>
            <w:tcW w:w="360" w:type="dxa"/>
            <w:vAlign w:val="bottom"/>
          </w:tcPr>
          <w:p>
            <w:pPr>
              <w:spacing w:after="0"/>
              <w:rPr>
                <w:sz w:val="24"/>
                <w:szCs w:val="24"/>
                <w:color w:val="auto"/>
              </w:rPr>
            </w:pPr>
          </w:p>
        </w:tc>
      </w:tr>
      <w:tr>
        <w:trPr>
          <w:trHeight w:val="234"/>
        </w:trPr>
        <w:tc>
          <w:tcPr>
            <w:tcW w:w="10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EDEMPTION</w:t>
            </w:r>
          </w:p>
        </w:tc>
        <w:tc>
          <w:tcPr>
            <w:tcW w:w="360" w:type="dxa"/>
            <w:vAlign w:val="bottom"/>
          </w:tcPr>
          <w:p>
            <w:pPr>
              <w:spacing w:after="0"/>
              <w:rPr>
                <w:sz w:val="20"/>
                <w:szCs w:val="20"/>
                <w:color w:val="auto"/>
              </w:rPr>
            </w:pPr>
          </w:p>
        </w:tc>
      </w:tr>
      <w:tr>
        <w:trPr>
          <w:trHeight w:val="304"/>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16.0. </w:t>
            </w:r>
            <w:r>
              <w:rPr>
                <w:rFonts w:ascii="Times New Roman" w:cs="Times New Roman" w:eastAsia="Times New Roman" w:hAnsi="Times New Roman"/>
                <w:sz w:val="18"/>
                <w:szCs w:val="18"/>
                <w:i w:val="1"/>
                <w:iCs w:val="1"/>
                <w:color w:val="auto"/>
              </w:rPr>
              <w:t>Optional Redemption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i w:val="1"/>
                <w:iCs w:val="1"/>
                <w:color w:val="auto"/>
              </w:rPr>
              <w:t>Notice of Optional Redemption; Selection of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16.03. </w:t>
            </w:r>
            <w:r>
              <w:rPr>
                <w:rFonts w:ascii="Times New Roman" w:cs="Times New Roman" w:eastAsia="Times New Roman" w:hAnsi="Times New Roman"/>
                <w:sz w:val="18"/>
                <w:szCs w:val="18"/>
                <w:i w:val="1"/>
                <w:iCs w:val="1"/>
                <w:color w:val="auto"/>
              </w:rPr>
              <w:t>Payment of Notes Called for Redemption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i w:val="1"/>
                <w:iCs w:val="1"/>
                <w:color w:val="auto"/>
              </w:rPr>
              <w:t>Restrictions on Redemption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06"/>
        </w:trPr>
        <w:tc>
          <w:tcPr>
            <w:tcW w:w="10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17</w:t>
            </w:r>
          </w:p>
        </w:tc>
        <w:tc>
          <w:tcPr>
            <w:tcW w:w="360" w:type="dxa"/>
            <w:vAlign w:val="bottom"/>
          </w:tcPr>
          <w:p>
            <w:pPr>
              <w:spacing w:after="0"/>
              <w:rPr>
                <w:sz w:val="24"/>
                <w:szCs w:val="24"/>
                <w:color w:val="auto"/>
              </w:rPr>
            </w:pPr>
          </w:p>
        </w:tc>
      </w:tr>
      <w:tr>
        <w:trPr>
          <w:trHeight w:val="234"/>
        </w:trPr>
        <w:tc>
          <w:tcPr>
            <w:tcW w:w="10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w:t>
            </w:r>
          </w:p>
        </w:tc>
        <w:tc>
          <w:tcPr>
            <w:tcW w:w="360" w:type="dxa"/>
            <w:vAlign w:val="bottom"/>
          </w:tcPr>
          <w:p>
            <w:pPr>
              <w:spacing w:after="0"/>
              <w:rPr>
                <w:sz w:val="20"/>
                <w:szCs w:val="20"/>
                <w:color w:val="auto"/>
              </w:rPr>
            </w:pPr>
          </w:p>
        </w:tc>
      </w:tr>
      <w:tr>
        <w:trPr>
          <w:trHeight w:val="304"/>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17.01. </w:t>
            </w:r>
            <w:r>
              <w:rPr>
                <w:rFonts w:ascii="Times New Roman" w:cs="Times New Roman" w:eastAsia="Times New Roman" w:hAnsi="Times New Roman"/>
                <w:sz w:val="18"/>
                <w:szCs w:val="18"/>
                <w:i w:val="1"/>
                <w:iCs w:val="1"/>
                <w:color w:val="auto"/>
              </w:rPr>
              <w:t>Provisions Binding on Company’s Successors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17.02 </w:t>
            </w:r>
            <w:r>
              <w:rPr>
                <w:rFonts w:ascii="Times New Roman" w:cs="Times New Roman" w:eastAsia="Times New Roman" w:hAnsi="Times New Roman"/>
                <w:sz w:val="18"/>
                <w:szCs w:val="18"/>
                <w:i w:val="1"/>
                <w:iCs w:val="1"/>
                <w:color w:val="auto"/>
              </w:rPr>
              <w:t>Official Acts by Successor Entity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17.03. </w:t>
            </w:r>
            <w:r>
              <w:rPr>
                <w:rFonts w:ascii="Times New Roman" w:cs="Times New Roman" w:eastAsia="Times New Roman" w:hAnsi="Times New Roman"/>
                <w:sz w:val="18"/>
                <w:szCs w:val="18"/>
                <w:i w:val="1"/>
                <w:iCs w:val="1"/>
                <w:color w:val="auto"/>
              </w:rPr>
              <w:t>Addresses for Notices, Etc.</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17.04. </w:t>
            </w:r>
            <w:r>
              <w:rPr>
                <w:rFonts w:ascii="Times New Roman" w:cs="Times New Roman" w:eastAsia="Times New Roman" w:hAnsi="Times New Roman"/>
                <w:sz w:val="18"/>
                <w:szCs w:val="18"/>
                <w:i w:val="1"/>
                <w:iCs w:val="1"/>
                <w:color w:val="auto"/>
              </w:rPr>
              <w:t>Governing Law; Jurisdiction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17.05. </w:t>
            </w:r>
            <w:r>
              <w:rPr>
                <w:rFonts w:ascii="Times New Roman" w:cs="Times New Roman" w:eastAsia="Times New Roman" w:hAnsi="Times New Roman"/>
                <w:sz w:val="18"/>
                <w:szCs w:val="18"/>
                <w:i w:val="1"/>
                <w:iCs w:val="1"/>
                <w:color w:val="auto"/>
              </w:rPr>
              <w:t>Evidence of Compliance with Conditions Precedent; Certificates and Opinions of Counsel to Trustee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17.06. </w:t>
            </w:r>
            <w:r>
              <w:rPr>
                <w:rFonts w:ascii="Times New Roman" w:cs="Times New Roman" w:eastAsia="Times New Roman" w:hAnsi="Times New Roman"/>
                <w:sz w:val="18"/>
                <w:szCs w:val="18"/>
                <w:i w:val="1"/>
                <w:iCs w:val="1"/>
                <w:color w:val="auto"/>
              </w:rPr>
              <w:t>Legal Holidays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17.07. </w:t>
            </w:r>
            <w:r>
              <w:rPr>
                <w:rFonts w:ascii="Times New Roman" w:cs="Times New Roman" w:eastAsia="Times New Roman" w:hAnsi="Times New Roman"/>
                <w:sz w:val="18"/>
                <w:szCs w:val="18"/>
                <w:i w:val="1"/>
                <w:iCs w:val="1"/>
                <w:color w:val="auto"/>
              </w:rPr>
              <w:t>No Security Interest Created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17.08. </w:t>
            </w:r>
            <w:r>
              <w:rPr>
                <w:rFonts w:ascii="Times New Roman" w:cs="Times New Roman" w:eastAsia="Times New Roman" w:hAnsi="Times New Roman"/>
                <w:sz w:val="18"/>
                <w:szCs w:val="18"/>
                <w:i w:val="1"/>
                <w:iCs w:val="1"/>
                <w:color w:val="auto"/>
              </w:rPr>
              <w:t>Benefits of Indenture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17.09. </w:t>
            </w:r>
            <w:r>
              <w:rPr>
                <w:rFonts w:ascii="Times New Roman" w:cs="Times New Roman" w:eastAsia="Times New Roman" w:hAnsi="Times New Roman"/>
                <w:sz w:val="18"/>
                <w:szCs w:val="18"/>
                <w:i w:val="1"/>
                <w:iCs w:val="1"/>
                <w:color w:val="auto"/>
              </w:rPr>
              <w:t>Table of Contents, Headings, Etc.</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17.10. </w:t>
            </w:r>
            <w:r>
              <w:rPr>
                <w:rFonts w:ascii="Times New Roman" w:cs="Times New Roman" w:eastAsia="Times New Roman" w:hAnsi="Times New Roman"/>
                <w:sz w:val="18"/>
                <w:szCs w:val="18"/>
                <w:i w:val="1"/>
                <w:iCs w:val="1"/>
                <w:color w:val="auto"/>
              </w:rPr>
              <w:t>Authenticating Agent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378"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17.11. </w:t>
            </w:r>
            <w:r>
              <w:rPr>
                <w:rFonts w:ascii="Times New Roman" w:cs="Times New Roman" w:eastAsia="Times New Roman" w:hAnsi="Times New Roman"/>
                <w:sz w:val="18"/>
                <w:szCs w:val="18"/>
                <w:i w:val="1"/>
                <w:iCs w:val="1"/>
                <w:color w:val="auto"/>
              </w:rPr>
              <w:t>Execution in Counterparts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Section 17.12</w:t>
            </w:r>
            <w:r>
              <w:rPr>
                <w:rFonts w:ascii="Times New Roman" w:cs="Times New Roman" w:eastAsia="Times New Roman" w:hAnsi="Times New Roman"/>
                <w:sz w:val="18"/>
                <w:szCs w:val="18"/>
                <w:i w:val="1"/>
                <w:iCs w:val="1"/>
                <w:color w:val="auto"/>
              </w:rPr>
              <w:t>. Severability</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Section 17.13</w:t>
            </w:r>
            <w:r>
              <w:rPr>
                <w:rFonts w:ascii="Times New Roman" w:cs="Times New Roman" w:eastAsia="Times New Roman" w:hAnsi="Times New Roman"/>
                <w:sz w:val="18"/>
                <w:szCs w:val="18"/>
                <w:i w:val="1"/>
                <w:iCs w:val="1"/>
                <w:color w:val="auto"/>
              </w:rPr>
              <w:t>. Waiver of Jury Trial</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17.14. </w:t>
            </w:r>
            <w:r>
              <w:rPr>
                <w:rFonts w:ascii="Times New Roman" w:cs="Times New Roman" w:eastAsia="Times New Roman" w:hAnsi="Times New Roman"/>
                <w:sz w:val="18"/>
                <w:szCs w:val="18"/>
                <w:i w:val="1"/>
                <w:iCs w:val="1"/>
                <w:color w:val="auto"/>
              </w:rPr>
              <w:t>Force Majeure</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Section 17.15</w:t>
            </w:r>
            <w:r>
              <w:rPr>
                <w:rFonts w:ascii="Times New Roman" w:cs="Times New Roman" w:eastAsia="Times New Roman" w:hAnsi="Times New Roman"/>
                <w:sz w:val="18"/>
                <w:szCs w:val="18"/>
                <w:i w:val="1"/>
                <w:iCs w:val="1"/>
                <w:color w:val="auto"/>
              </w:rPr>
              <w:t>. Calculations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i w:val="1"/>
                <w:iCs w:val="1"/>
                <w:color w:val="auto"/>
              </w:rPr>
              <w:t>USA PATRIOT Act</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17.17. </w:t>
            </w:r>
            <w:r>
              <w:rPr>
                <w:rFonts w:ascii="Times New Roman" w:cs="Times New Roman" w:eastAsia="Times New Roman" w:hAnsi="Times New Roman"/>
                <w:sz w:val="18"/>
                <w:szCs w:val="18"/>
                <w:i w:val="1"/>
                <w:iCs w:val="1"/>
                <w:color w:val="auto"/>
              </w:rPr>
              <w:t>Electronic Signatures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414"/>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140" w:type="dxa"/>
            <w:vAlign w:val="bottom"/>
          </w:tcPr>
          <w:p>
            <w:pPr>
              <w:spacing w:after="0"/>
              <w:rPr>
                <w:sz w:val="24"/>
                <w:szCs w:val="24"/>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Exhibit A Form of Note</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60"/>
          </w:cols>
          <w:pgMar w:left="440" w:top="268" w:right="499" w:bottom="1440" w:gutter="0" w:footer="0" w:header="0"/>
        </w:sectPr>
      </w:pPr>
    </w:p>
    <w:bookmarkStart w:id="13" w:name="page14"/>
    <w:bookmarkEnd w:id="13"/>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May 12, 2026 between TEMPUS AI, INC., a Nevada corporation,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more fully set forth in Section 1.01) and U.S. BANK TRUST COMPANY, NATIONAL ASSOCIATION, a national banking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more fully set forth in Section 1.01).</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issuance of its 0.00% Convertible Senior Notes due 2032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in an aggregate principal amount not to exceed $460,000,000, and in order to provide the terms and conditions upon which the Notes are to be authenticated, issued and delivered, the Company has duly authorized the execution and delivery of this Indenture; and</w:t>
      </w:r>
    </w:p>
    <w:p>
      <w:pPr>
        <w:spacing w:after="0" w:line="176" w:lineRule="exact"/>
        <w:rPr>
          <w:sz w:val="20"/>
          <w:szCs w:val="20"/>
          <w:color w:val="auto"/>
        </w:rPr>
      </w:pPr>
    </w:p>
    <w:p>
      <w:pPr>
        <w:jc w:val="both"/>
        <w:ind w:right="660" w:firstLine="440"/>
        <w:spacing w:after="0" w:line="266" w:lineRule="auto"/>
        <w:rPr>
          <w:sz w:val="20"/>
          <w:szCs w:val="20"/>
          <w:color w:val="auto"/>
        </w:rPr>
      </w:pPr>
      <w:r>
        <w:rPr>
          <w:rFonts w:ascii="Times New Roman" w:cs="Times New Roman" w:eastAsia="Times New Roman" w:hAnsi="Times New Roman"/>
          <w:sz w:val="18"/>
          <w:szCs w:val="18"/>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117"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p>
      <w:pPr>
        <w:spacing w:after="0" w:line="205" w:lineRule="exact"/>
        <w:rPr>
          <w:sz w:val="20"/>
          <w:szCs w:val="20"/>
          <w:color w:val="auto"/>
        </w:rPr>
      </w:pPr>
    </w:p>
    <w:p>
      <w:pPr>
        <w:jc w:val="both"/>
        <w:ind w:right="220" w:firstLine="440"/>
        <w:spacing w:after="0" w:line="261" w:lineRule="auto"/>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Definitions.</w:t>
      </w:r>
      <w:r>
        <w:rPr>
          <w:rFonts w:ascii="Times New Roman" w:cs="Times New Roman" w:eastAsia="Times New Roman" w:hAnsi="Times New Roman"/>
          <w:sz w:val="18"/>
          <w:szCs w:val="18"/>
          <w:color w:val="auto"/>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 Exception</w:t>
      </w:r>
      <w:r>
        <w:rPr>
          <w:rFonts w:ascii="Times New Roman" w:cs="Times New Roman" w:eastAsia="Times New Roman" w:hAnsi="Times New Roman"/>
          <w:sz w:val="18"/>
          <w:szCs w:val="18"/>
          <w:color w:val="auto"/>
        </w:rPr>
        <w:t>” shall have the meaning specified in Section 14.04(k).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shall have the meaning specified in Section 14.03(a).</w:t>
      </w:r>
    </w:p>
    <w:p>
      <w:pPr>
        <w:sectPr>
          <w:pgSz w:w="11900" w:h="16838" w:orient="portrait"/>
          <w:cols w:equalWidth="0" w:num="1">
            <w:col w:w="11000"/>
          </w:cols>
          <w:pgMar w:left="440" w:top="266" w:right="459" w:bottom="1440" w:gutter="0" w:footer="0" w:header="0"/>
        </w:sectPr>
      </w:pPr>
    </w:p>
    <w:bookmarkStart w:id="14" w:name="page15"/>
    <w:bookmarkEnd w:id="14"/>
    <w:p>
      <w:pPr>
        <w:ind w:right="16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another Person for purposes of this Indenture shall be made based on the facts at the time such determination is made or required to be made, as the case may be, hereunder.</w:t>
      </w:r>
    </w:p>
    <w:p>
      <w:pPr>
        <w:spacing w:after="0" w:line="182"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means the Company or the Person appointed by the Company to solicit bids for the Trading Price of the Notes in accordance with Section 14.01(b)(i). The Company shall initially act as the Bid Solicitation Agent.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for it hereunder.</w:t>
      </w:r>
    </w:p>
    <w:p>
      <w:pPr>
        <w:spacing w:after="0" w:line="225" w:lineRule="exact"/>
        <w:rPr>
          <w:sz w:val="20"/>
          <w:szCs w:val="20"/>
          <w:color w:val="auto"/>
        </w:rPr>
      </w:pPr>
    </w:p>
    <w:p>
      <w:pPr>
        <w:jc w:val="both"/>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shall have the meaning specified in Section 11.01.</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Note, any day other than a Saturday, a Sunday or a day on which the Federal Reserve Bank of New York is authorized or required by law or executive order to close or be closed.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Called Notes</w:t>
      </w:r>
      <w:r>
        <w:rPr>
          <w:rFonts w:ascii="Times New Roman" w:cs="Times New Roman" w:eastAsia="Times New Roman" w:hAnsi="Times New Roman"/>
          <w:sz w:val="18"/>
          <w:szCs w:val="18"/>
          <w:color w:val="auto"/>
        </w:rPr>
        <w:t>” means Notes called for Optional Redemption pursuant to Article 16 or subject to a Deemed Redemption.</w:t>
      </w:r>
    </w:p>
    <w:p>
      <w:pPr>
        <w:spacing w:after="0" w:line="225"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means the Class A common stock of the Company, par value $0.0001 per share, at the date of this Indenture, subject to Section 14.07.</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shall have the meaning specified in Section 14.04(c).</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specified in the first paragraph of this Indenture, and subject to the provisions of Article 11, shall include its successors and assigns.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any of its Officers and delivered to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shall have the meaning specified in Section 14.12(a).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shall have the meaning specified in Section 14.02(c).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as of any time,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Conversion Rate as of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shall have the meaning specified in Section 14.01(b)(iii).</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designated office of the Trustee at which at any time this Indenture shall be administered, which office at the date hereof is located at U.S. Bank Trust Company, National Association, 633 West 5th Street, 24th Floor, Los Angeles, CA 90071, Attention: B. Scarbrough (Tempus AI, Inc. Administrator), or such other address in the continental United States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79"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Trustee, as custodian for The Depository Trust Company, with respect to the Global Notes, or any successor entity thereto.</w:t>
      </w:r>
    </w:p>
    <w:p>
      <w:pPr>
        <w:spacing w:after="0" w:line="155" w:lineRule="exact"/>
        <w:rPr>
          <w:sz w:val="20"/>
          <w:szCs w:val="20"/>
          <w:color w:val="auto"/>
        </w:rPr>
      </w:pPr>
    </w:p>
    <w:p>
      <w:pPr>
        <w:ind w:right="100" w:firstLine="440"/>
        <w:spacing w:after="0" w:line="21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Conversion Value</w:t>
      </w:r>
      <w:r>
        <w:rPr>
          <w:rFonts w:ascii="Times New Roman" w:cs="Times New Roman" w:eastAsia="Times New Roman" w:hAnsi="Times New Roman"/>
          <w:sz w:val="18"/>
          <w:szCs w:val="18"/>
          <w:color w:val="auto"/>
        </w:rPr>
        <w:t>” means, for each of the 20 consecutive Trading Days during the relevant Observation Period, one-twentieth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of the product of (a) the Conversion Rate on such Trading Day and (b) the Daily VWAP for such Trading Day.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Daily Measurement Value</w:t>
      </w:r>
      <w:r>
        <w:rPr>
          <w:rFonts w:ascii="Times New Roman" w:cs="Times New Roman" w:eastAsia="Times New Roman" w:hAnsi="Times New Roman"/>
          <w:sz w:val="18"/>
          <w:szCs w:val="18"/>
          <w:color w:val="auto"/>
        </w:rPr>
        <w:t xml:space="preserve">” means the Specified Dollar Amount (if any),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Settlement Amount</w:t>
      </w:r>
      <w:r>
        <w:rPr>
          <w:rFonts w:ascii="Times New Roman" w:cs="Times New Roman" w:eastAsia="Times New Roman" w:hAnsi="Times New Roman"/>
          <w:sz w:val="18"/>
          <w:szCs w:val="18"/>
          <w:color w:val="auto"/>
        </w:rPr>
        <w:t>,” for each of the 20 consecutive Trading Days during the relevant Observation Period, shall consist of:</w:t>
      </w:r>
    </w:p>
    <w:p>
      <w:pPr>
        <w:spacing w:after="0" w:line="121" w:lineRule="exact"/>
        <w:rPr>
          <w:sz w:val="20"/>
          <w:szCs w:val="20"/>
          <w:color w:val="auto"/>
        </w:rPr>
      </w:pPr>
    </w:p>
    <w:p>
      <w:pPr>
        <w:ind w:left="1100" w:hanging="241"/>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an amount equal to the lesser of (i) the Daily Measurement Value and (ii) the Daily Conversion Value on such Trading Day; and</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Daily Conversion Value on such Trading Day exceeds the Daily Measurement Value, a number of shares of Class A Common Stock equal to (i) the difference between the Daily Conversion Value on such Trading Day and the Daily Measurement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Daily VWAP for such Trading Day.</w:t>
      </w:r>
    </w:p>
    <w:p>
      <w:pPr>
        <w:spacing w:after="0" w:line="17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each of the 20 consecutive Trading Days during the relevant Observation Period, the per share volume-weighted average price as displayed under the heading “Bloomberg VWAP” on Bloomberg page “TEM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Class A Common Stock on such Trading Day determined, using a volume-weighted average method, by a nationally recognized independent investment banking firm retained for this purpose by the Company).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Deemed Redemption</w:t>
      </w:r>
      <w:r>
        <w:rPr>
          <w:rFonts w:ascii="Times New Roman" w:cs="Times New Roman" w:eastAsia="Times New Roman" w:hAnsi="Times New Roman"/>
          <w:sz w:val="18"/>
          <w:szCs w:val="18"/>
          <w:color w:val="auto"/>
        </w:rPr>
        <w:t>” shall have the meaning specified in Section 14.01(b)(v).</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Settlement Method</w:t>
      </w:r>
      <w:r>
        <w:rPr>
          <w:rFonts w:ascii="Times New Roman" w:cs="Times New Roman" w:eastAsia="Times New Roman" w:hAnsi="Times New Roman"/>
          <w:sz w:val="18"/>
          <w:szCs w:val="18"/>
          <w:color w:val="auto"/>
        </w:rPr>
        <w:t>” means, initially, Combination Settlement with a Specified Dollar Amount of $1,000 per $1,000 principal amount of Notes, subject to Section 14.02(a).</w:t>
      </w:r>
    </w:p>
    <w:p>
      <w:pPr>
        <w:spacing w:after="0" w:line="155" w:lineRule="exact"/>
        <w:rPr>
          <w:sz w:val="20"/>
          <w:szCs w:val="20"/>
          <w:color w:val="auto"/>
        </w:rPr>
      </w:pPr>
    </w:p>
    <w:p>
      <w:pPr>
        <w:ind w:right="8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Amounts</w:t>
      </w:r>
      <w:r>
        <w:rPr>
          <w:rFonts w:ascii="Times New Roman" w:cs="Times New Roman" w:eastAsia="Times New Roman" w:hAnsi="Times New Roman"/>
          <w:sz w:val="18"/>
          <w:szCs w:val="18"/>
          <w:color w:val="auto"/>
        </w:rPr>
        <w:t>” means any amounts on any Note (including, without limitation, the Redemption Price, the Fundamental Change Repurchase Price, principal and Special Interest, if any) that are payable but are not punctually paid or duly provided for.</w:t>
      </w:r>
    </w:p>
    <w:p>
      <w:pPr>
        <w:spacing w:after="0" w:line="15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De-Legending Deadline Date</w:t>
      </w:r>
      <w:r>
        <w:rPr>
          <w:rFonts w:ascii="Times New Roman" w:cs="Times New Roman" w:eastAsia="Times New Roman" w:hAnsi="Times New Roman"/>
          <w:sz w:val="18"/>
          <w:szCs w:val="18"/>
          <w:color w:val="auto"/>
        </w:rPr>
        <w:t xml:space="preserve">” means, with respect to any Notes issued pursuant to the Purchase Agreement (or any Notes issued in exchange therefor or in substitution thereof) or any additional Notes issued pursuant to Section 2.10 (or any Notes issued in exchange therefor or in substitution thereof), the 380th day after the last date of original issuance of such Notes or additional Notes,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380th day is after a Special Interest Record Date and on or before the corresponding Special Interest Payment Date, then the “De-Legending Deadline Date” for such Notes will instead be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immediately after such Special Interest Payment Date.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7" w:name="page18"/>
    <w:bookmarkEnd w:id="17"/>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or include such successor.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shall have the meaning specified in Section 14.12(a).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specified in Section 14.03(c), except that, as used in Section 14.04 and Section 14.05,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first date on which shares of the Class A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the Class A Common Stock under a separate ticker symbol or CUSIP number will not be considered “regular way” for this purpose.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have the meaning specified in Section 6.01.</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shares of the Class A Common Stock trade on the applicable exchange or in the applicable market, regular way, without the right to receive the issuance, dividend or distribution in question, from the Company or, if applicable, from the seller of Class A Common Stock on such exchange or market (in the form of due bills or otherwise) as determined by such exchange or market. For the avoidance of doubt, any alternative trading convention on the applicable exchange or market in respect of shares of the Class A Common Stock under a separate ticker symbol or CUSIP number will not be considered “regular way” for this purpose.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shall have the meaning specified in Section 14.12(a).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 shall have the meaning specified in Section 15.02(f).</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Assignment and Transfer</w:t>
      </w:r>
      <w:r>
        <w:rPr>
          <w:rFonts w:ascii="Times New Roman" w:cs="Times New Roman" w:eastAsia="Times New Roman" w:hAnsi="Times New Roman"/>
          <w:sz w:val="18"/>
          <w:szCs w:val="18"/>
          <w:color w:val="auto"/>
        </w:rPr>
        <w:t>” means the “Form of Assignment and Transfer” attached as Attachment 3 to the Form of Note attached hereto as Exhibit A.</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Fundamental Change Repurchase Notice</w:t>
      </w:r>
      <w:r>
        <w:rPr>
          <w:rFonts w:ascii="Times New Roman" w:cs="Times New Roman" w:eastAsia="Times New Roman" w:hAnsi="Times New Roman"/>
          <w:sz w:val="18"/>
          <w:szCs w:val="18"/>
          <w:color w:val="auto"/>
        </w:rPr>
        <w:t>” means the “Form of Fundamental Change Repurchase Notice” attached as Attachment 2 to the Form of Note attached hereto as Exhibit 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Note</w:t>
      </w:r>
      <w:r>
        <w:rPr>
          <w:rFonts w:ascii="Times New Roman" w:cs="Times New Roman" w:eastAsia="Times New Roman" w:hAnsi="Times New Roman"/>
          <w:sz w:val="18"/>
          <w:szCs w:val="18"/>
          <w:color w:val="auto"/>
        </w:rPr>
        <w:t>” means the “Form of Note” attached hereto as Exhibit A.</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8" w:name="page19"/>
    <w:bookmarkEnd w:id="18"/>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Form of Notice of Conversion</w:t>
      </w:r>
      <w:r>
        <w:rPr>
          <w:rFonts w:ascii="Times New Roman" w:cs="Times New Roman" w:eastAsia="Times New Roman" w:hAnsi="Times New Roman"/>
          <w:sz w:val="18"/>
          <w:szCs w:val="18"/>
          <w:color w:val="auto"/>
        </w:rPr>
        <w:t>” means the “Form of Notice of Conversion” attached as Attachment 1 to the Form of Note attached hereto as Exhibit 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Notes are originally issued if any of the following occurs:</w:t>
      </w:r>
    </w:p>
    <w:p>
      <w:pPr>
        <w:spacing w:after="0" w:line="121" w:lineRule="exact"/>
        <w:rPr>
          <w:sz w:val="20"/>
          <w:szCs w:val="20"/>
          <w:color w:val="auto"/>
        </w:rPr>
      </w:pPr>
    </w:p>
    <w:p>
      <w:pPr>
        <w:ind w:left="440" w:firstLine="419"/>
        <w:spacing w:after="0" w:line="253" w:lineRule="auto"/>
        <w:tabs>
          <w:tab w:leader="none" w:pos="11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connection with transactions described in clause (b) below, a “person” or “group” within the meaning of Section 13(d) of the Exchange Act, other than the Company, its direct or indirect Wholly Owned Subsidiaries and any employee benefit plans of the Company or its Wholly Owned Subsidiaries, has become and files a Schedule TO (or any successor schedule, form or report) or any schedule, form or report under the Exchange Act that discloses that such person or group has become the direct or indirect “beneficial owner,” as defined in Rule 13d-3 under the Exchange Act, of shares of the Class A Common Stock representing more than 50% of the voting power of the Class A Common Stock, unless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regardless of whether such a filing has actually been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“person” or “group” shall be deemed to be the beneficial owner of any securities tendered pursuant to a tender or exchange offer made by or on behalf of such “person” or “group” until such tendered securities are accepted for purchase or exchange under such offer;</w:t>
      </w:r>
    </w:p>
    <w:p>
      <w:pPr>
        <w:spacing w:after="0" w:line="86"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(A) any recapitalization, reclassification or change of the Class A Common Stock (other than a change to par value, or from par value to no par value, or changes resulting from a subdivision or combination) as a result of which the Class A Common Stock would be converted into, or exchanged for, stock, other securities, other property or assets; (B) any share exchange, consolidation or merger of the Company pursuant to which the Class A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transaction described in clause (A) or clause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w:t>
      </w:r>
    </w:p>
    <w:p>
      <w:pPr>
        <w:spacing w:after="0" w:line="86"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any plan or proposal for the liquidation or dissolution of the Company;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9" w:name="page20"/>
    <w:bookmarkEnd w:id="19"/>
    <w:p>
      <w:pPr>
        <w:ind w:left="444" w:right="160" w:firstLine="419"/>
        <w:spacing w:after="0" w:line="282" w:lineRule="auto"/>
        <w:tabs>
          <w:tab w:leader="none" w:pos="11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Class A Common Stock (or other common stock underlying the Notes) ceases to be listed or quoted on any of The New York Stock Exchange, the Nasdaq Global Select Market or the Nasdaq Global Market (or any of their respective successors);</w:t>
      </w:r>
    </w:p>
    <w:p>
      <w:pPr>
        <w:spacing w:after="0" w:line="160"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transaction or transactions described in clause (b) above shall not constitute a Fundamental Change, if at least 90%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received or to be received by the Class A common stockholders of the Company, excluding cash payments for fractional shares and cash payments made in respect of dissenters’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and cash payments made in respect of dissenters’ appraisal rights (subject to the provisions of Section 14.02(a)). If any transaction in which the Class A Common Stock is replaced by the common stock or other Common Equity of another entity occurs, following completion of any related Make-Whole Fundamental Change Period (or, in the case of a transaction that would have been a Fundamental Change or a Make-Whole Fundamental Change but for the proviso immediately following clause (d) of this definition, following the effective date of such transaction), references to the Company in this definition shall instead be references to such other entity.</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shall have the meaning specified in Section 15.02(c).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shall have the meaning specified in Section 15.02(b)(i).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given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mailed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notify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sent</w:t>
      </w:r>
      <w:r>
        <w:rPr>
          <w:rFonts w:ascii="Times New Roman" w:cs="Times New Roman" w:eastAsia="Times New Roman" w:hAnsi="Times New Roman"/>
          <w:sz w:val="18"/>
          <w:szCs w:val="18"/>
          <w:color w:val="auto"/>
        </w:rPr>
        <w:t>” with respect to any notice to be given to a Holder pursuant to this Indenture, shall mean notice</w:t>
      </w:r>
    </w:p>
    <w:p>
      <w:pPr>
        <w:spacing w:after="0" w:line="31" w:lineRule="exact"/>
        <w:rPr>
          <w:sz w:val="20"/>
          <w:szCs w:val="20"/>
          <w:color w:val="auto"/>
        </w:rPr>
      </w:pPr>
    </w:p>
    <w:p>
      <w:pPr>
        <w:ind w:left="4" w:right="160" w:hanging="4"/>
        <w:spacing w:after="0" w:line="253"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to the Depositary (or its designee) pursuant to the standing instructions from the Depositary or its designee, including by electronic mail in accordance with accepted practices or applicable procedures at the Depositary (in the case of a Global Note) or (y) mailed to such Holder by first class mail, postage prepaid, at its address as it appears on the Note Register (in the case of a Physical Note), in each case, in accordance with Section 17.03. Notice so “given” shall be deemed to include any notice to be “mailed” or “delivered,” as applicable, under this Indenture.</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shall have the meaning specified in Section 2.05(b).</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20" w:name="page21"/>
    <w:bookmarkEnd w:id="20"/>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applied to any Note, or other similar terms (but excluding the term “beneficial holder”), means any Person in whose name at the time a particular Note is registered on the Note Register.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instrument as originally executed or, if amended or supplemented as herein provided, as so amended or supplemented.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means the several initial purchasers named in Schedule I to the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Irrevocable Election</w:t>
      </w:r>
      <w:r>
        <w:rPr>
          <w:rFonts w:ascii="Times New Roman" w:cs="Times New Roman" w:eastAsia="Times New Roman" w:hAnsi="Times New Roman"/>
          <w:sz w:val="18"/>
          <w:szCs w:val="18"/>
          <w:color w:val="auto"/>
        </w:rPr>
        <w:t>” shall have the meaning specified in Section 14.02(a)(iii).</w:t>
      </w:r>
    </w:p>
    <w:p>
      <w:pPr>
        <w:spacing w:after="0" w:line="225"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date of original issuance</w:t>
      </w:r>
      <w:r>
        <w:rPr>
          <w:rFonts w:ascii="Times New Roman" w:cs="Times New Roman" w:eastAsia="Times New Roman" w:hAnsi="Times New Roman"/>
          <w:sz w:val="18"/>
          <w:szCs w:val="18"/>
          <w:color w:val="auto"/>
        </w:rPr>
        <w:t>” means (a) with respect to any Notes issued pursuant to the Purchase Agreement, and any Notes issued in exchange therefor or in substitution thereof, the date the Company first issues such Notes; and (b) with respect to any additional Notes issued pursuant to Section 2.10, and any Notes issued in exchange therefor or in substitution thereof, either (i) the later of (x) the date the Company first issues such Notes and (y) the last date any Notes are originally issued as part of the same offering pursuant to the exercise of the option granted to the initial purchaser(s) of such Notes to purchase additional Notes; or (ii) such other date as is specified in an Officer’s Certificate delivered to the Trustee before the original issuance of such Notes.</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Class A Common Stock (or any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Class A Common Stock (or such other security) is traded. If the Class A Common Stock (or such other security) is not listed for trading on a U.S. national or regional securities exchange on the relevant date,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last quoted bid price for the Class A Common Stock (or such other security) in the over-the-counter market on the relevant date as reported by OTC Markets Group Inc. or a similar organization. If the Class A Common Stock (or such other security) is not so quoted,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average of the mid-point of the last bid and ask prices for the Class A Common Stock (or such other security) on the relevant date from each of at least three nationally recognized independent investment banking firms selected by the Company for this purpose.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determined without regard to after-hours trading or any other trading outside of regular trading session hours.</w:t>
      </w:r>
    </w:p>
    <w:p>
      <w:pPr>
        <w:spacing w:after="0" w:line="185" w:lineRule="exact"/>
        <w:rPr>
          <w:sz w:val="20"/>
          <w:szCs w:val="20"/>
          <w:color w:val="auto"/>
        </w:rPr>
      </w:pPr>
    </w:p>
    <w:p>
      <w:pPr>
        <w:ind w:right="1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Make-Whole Fundamental Change</w:t>
      </w:r>
      <w:r>
        <w:rPr>
          <w:rFonts w:ascii="Times New Roman" w:cs="Times New Roman" w:eastAsia="Times New Roman" w:hAnsi="Times New Roman"/>
          <w:sz w:val="17"/>
          <w:szCs w:val="17"/>
          <w:color w:val="auto"/>
        </w:rPr>
        <w:t xml:space="preserve">” means any transaction or event that constitutes a Fundamental Change (as defined above and determined after giving effect to any exceptions to or exclusions from such definition, but without regard to the </w:t>
      </w:r>
      <w:r>
        <w:rPr>
          <w:rFonts w:ascii="Times New Roman" w:cs="Times New Roman" w:eastAsia="Times New Roman" w:hAnsi="Times New Roman"/>
          <w:sz w:val="17"/>
          <w:szCs w:val="17"/>
          <w:i w:val="1"/>
          <w:iCs w:val="1"/>
          <w:color w:val="auto"/>
        </w:rPr>
        <w:t>proviso</w:t>
      </w:r>
      <w:r>
        <w:rPr>
          <w:rFonts w:ascii="Times New Roman" w:cs="Times New Roman" w:eastAsia="Times New Roman" w:hAnsi="Times New Roman"/>
          <w:sz w:val="17"/>
          <w:szCs w:val="17"/>
          <w:color w:val="auto"/>
        </w:rPr>
        <w:t xml:space="preserve"> in clause (b) of the definition thereof).</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shall have the meaning specified in Section 14.03(a).</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21" w:name="page22"/>
    <w:bookmarkEnd w:id="21"/>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for the purposes of determining amounts due upon conversion (a) a failure by the primary U.S. national or regional securities exchange or market on which the Class A Common Stock is listed or admitted for trading to open for trading during its regular trading session or (b) the occurrence or existence prior to 1:00 p.m., New York City time, on any Scheduled Trading Day for the Class A Common Stock for more than one half-hour period in the aggregate during regular trading hours of any suspension or limitation imposed on trading (by reason of movements in price exceeding limits permitted by the relevant stock exchange or otherwise) in the Class A Common Stock or in any options contracts or futures contracts relating to the Class A Common Stock.</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May 15, 2032.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shall have the meaning specified in Section 14.01(b)(i).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have the meaning specified in the first paragraph of the recitals of this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shall have the meaning specified in Section 14.02(b).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Redemption</w:t>
      </w:r>
      <w:r>
        <w:rPr>
          <w:rFonts w:ascii="Times New Roman" w:cs="Times New Roman" w:eastAsia="Times New Roman" w:hAnsi="Times New Roman"/>
          <w:sz w:val="18"/>
          <w:szCs w:val="18"/>
          <w:color w:val="auto"/>
        </w:rPr>
        <w:t>” shall have the meaning specified in Section 16.02(a).</w:t>
      </w:r>
    </w:p>
    <w:p>
      <w:pPr>
        <w:spacing w:after="0" w:line="22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Observation Period</w:t>
      </w:r>
      <w:r>
        <w:rPr>
          <w:rFonts w:ascii="Times New Roman" w:cs="Times New Roman" w:eastAsia="Times New Roman" w:hAnsi="Times New Roman"/>
          <w:sz w:val="18"/>
          <w:szCs w:val="18"/>
          <w:color w:val="auto"/>
        </w:rPr>
        <w:t>” with respect to any Note surrendered for conversion means: (i) subject to clause (ii), if the relevant Conversion Date occurs prior to February 15, 2032, the 20 consecutive Trading Day period beginning on, and including, the second Trading Day immediately succeeding such Conversion Date; (ii) with respect to any Called Notes, if the relevant Conversion Date occurs during the related Redemption Period, the 20 consecutive Trading Days beginning on, and including, the 21st Scheduled Trading Day immediately preceding such Redemption Date; and (iii) subject to clause (ii), if the relevant Conversion Date occurs on or after February 15, 2032, the 20 consecutive Trading Days beginning on, and including, the 21st Scheduled Trading Day immediately preceding the Maturity Date.</w:t>
      </w:r>
    </w:p>
    <w:p>
      <w:pPr>
        <w:spacing w:after="0" w:line="182"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means the preliminary offering memorandum dated May 7, 2026, as supplemented by the related pricing term sheet dated May 7, 2026, relating to the offering and sale of the Notes.</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Chief Executive Officer, the Chief Financial Officer, the General Counsel, the Chief Legal Officer, the Treasurer, the Secretary, the Assistant Secretary, any Executive or Senior Vice President or any Vice President (whether or not designated by a number or numbers or word or words added before or after the title “Vice President”).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22" w:name="page23"/>
    <w:bookmarkEnd w:id="22"/>
    <w:p>
      <w:pPr>
        <w:ind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when used with respect to the Company, means a certificate that is delivered to the Trustee and that is signed by any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17.05 if and to the extent required by the provisions of such Section 17.05.</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shall have the meaning specified in Section 16.01.</w:t>
      </w:r>
    </w:p>
    <w:p>
      <w:pPr>
        <w:spacing w:after="0" w:line="22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51" w:lineRule="exact"/>
        <w:rPr>
          <w:sz w:val="20"/>
          <w:szCs w:val="20"/>
          <w:color w:val="auto"/>
        </w:rPr>
      </w:pPr>
    </w:p>
    <w:p>
      <w:pPr>
        <w:ind w:left="1100" w:hanging="241"/>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theretofore canceled by the Trustee or accepted by the Trustee for cancellation;</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that have been paid pursuant to the second paragraph of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converted pursuant to Article 14 and required to be cancelled pursuant to Section 2.08; and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redeemed pursuant to Article 16.</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Partial Redemption Limitation</w:t>
      </w:r>
      <w:r>
        <w:rPr>
          <w:rFonts w:ascii="Times New Roman" w:cs="Times New Roman" w:eastAsia="Times New Roman" w:hAnsi="Times New Roman"/>
          <w:sz w:val="18"/>
          <w:szCs w:val="18"/>
          <w:color w:val="auto"/>
        </w:rPr>
        <w:t>” shall have the meaning specified in Section 16.02(d).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shall have the meaning specified in Section 4.02.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23" w:name="page24"/>
    <w:bookmarkEnd w:id="23"/>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55" w:lineRule="exact"/>
        <w:rPr>
          <w:sz w:val="20"/>
          <w:szCs w:val="20"/>
          <w:color w:val="auto"/>
        </w:rPr>
      </w:pPr>
    </w:p>
    <w:p>
      <w:pPr>
        <w:ind w:left="4"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Notes</w:t>
      </w:r>
      <w:r>
        <w:rPr>
          <w:rFonts w:ascii="Times New Roman" w:cs="Times New Roman" w:eastAsia="Times New Roman" w:hAnsi="Times New Roman"/>
          <w:sz w:val="18"/>
          <w:szCs w:val="18"/>
          <w:color w:val="auto"/>
        </w:rPr>
        <w:t>” means permanent certificated Notes in registered form issued in denominations of $1,000 principal amount and integral multiples thereof.</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left="4" w:right="34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Predecessor Note</w:t>
      </w:r>
      <w:r>
        <w:rPr>
          <w:rFonts w:ascii="Times New Roman" w:cs="Times New Roman" w:eastAsia="Times New Roman" w:hAnsi="Times New Roman"/>
          <w:sz w:val="17"/>
          <w:szCs w:val="17"/>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53"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that certain Purchase Agreement, dated May 7, 2026, among the Company and Morgan Stanley &amp; Co. LLC and Goldman Sachs &amp; Co. LLC, as representatives of the several Initial Purchasers.</w:t>
      </w:r>
    </w:p>
    <w:p>
      <w:pPr>
        <w:spacing w:after="0" w:line="15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Qualified Successor Entity</w:t>
      </w:r>
      <w:r>
        <w:rPr>
          <w:rFonts w:ascii="Times New Roman" w:cs="Times New Roman" w:eastAsia="Times New Roman" w:hAnsi="Times New Roman"/>
          <w:sz w:val="17"/>
          <w:szCs w:val="17"/>
          <w:color w:val="auto"/>
        </w:rPr>
        <w:t xml:space="preserve">” means, with respect to a Business Combination Event, a corporation;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 if such Business Combination Event is an Exempted Fundamental Change, then a limited liability company, limited partnership or other similar entity shall also constitute a Qualified Successor Entity with respect to such Business Combination Event; and (ii) a limited liability company or limited partnership that is the resulting, surviving or transferee person of such Business Combination Event shall also constitute a Qualified Successor Entity with respect to such Business Combination Event, if each of the following clauses (1), (2), (3) and (4) is satisfied: (1) either (x) such limited liability company or limited partnership is treated as a corporation or an entity disregarded as separate from a corporation, in each case, for U.S. federal income tax purposes, or (y) the Company has received an opinion of a nationally recognized tax counsel to the effect that such Business Combination Event shall not be treated as an exchange under Section 1001 of the U.S. Internal Revenue Code of 1986, as amended, for Holders or beneficial owners of the Notes;</w:t>
      </w:r>
    </w:p>
    <w:p>
      <w:pPr>
        <w:spacing w:after="0" w:line="4" w:lineRule="exact"/>
        <w:rPr>
          <w:sz w:val="20"/>
          <w:szCs w:val="20"/>
          <w:color w:val="auto"/>
        </w:rPr>
      </w:pPr>
    </w:p>
    <w:p>
      <w:pPr>
        <w:ind w:left="4" w:right="60" w:hanging="4"/>
        <w:spacing w:after="0" w:line="252"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limited liability company or limited partnership is a direct or indirect Wholly Owned Subsidiary of a corporation (or other entity treated as a corporation for U.S. federal income tax purposes) duly organized and existing under the laws of the United States of America, any state thereof or the District of Columbia; (3) such Business Combination Event constitutes a Share Exchange Event whose Reference Property consists solely of any combination of U.S. dollars and shares of common stock or other corporate Common Equity interests of a corporation (or other entity treated as a corporation for U.S. federal income tax purposes) described in clause (2); and (4) if such limited liability company or limited partnership is disregarded as separate from its owner for U.S. federal income tax purposes, its regarded owner for those purposes is a corporation (or other entity treated as a corporation for U.S. federal income tax purposes) described in clause (2).</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66" w:right="499" w:bottom="1440" w:gutter="0" w:footer="0" w:header="0"/>
        </w:sectPr>
      </w:pPr>
    </w:p>
    <w:bookmarkStart w:id="24" w:name="page25"/>
    <w:bookmarkEnd w:id="24"/>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Class A Common Stock (or other applicable security) have the right to receive any cash, securities or other property or in which the Class A Common Stock (or such other security) is exchanged for or converted into any combination of cash, securities or other property, the date fixed for determination of holders of the Class A Common Stock (or such other security) entitled to receive such cash, securities or other property (whether such date is fixed by the Board of Directors, by statute, by contract or otherwise).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shall have the meaning specified in Section 16.02(a).</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Period</w:t>
      </w:r>
      <w:r>
        <w:rPr>
          <w:rFonts w:ascii="Times New Roman" w:cs="Times New Roman" w:eastAsia="Times New Roman" w:hAnsi="Times New Roman"/>
          <w:sz w:val="18"/>
          <w:szCs w:val="18"/>
          <w:color w:val="auto"/>
        </w:rPr>
        <w:t>” means, with respect to any Optional Redemption, the period from, and including, the date on which the Company delivers a Notice of Redemption for such Optional Redemption until the close of business on the second Scheduled Trading Day immediately preceding the related Redemption Date (or, if the Company defaults in the payment of the Redemption Price, until the close of business on the Scheduled Trading Day immediately preceding the date on which the Redemption Price has been paid or duly provided for).</w:t>
      </w:r>
    </w:p>
    <w:p>
      <w:pPr>
        <w:spacing w:after="0" w:line="176"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for any Notes to be redeemed pursuant to Section 16.01, 100% of the principal amount of such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Redemption Date (unless the Redemption Date falls after a Special Interest Record Date but on or prior to the immediately succeeding Special Interest Payment Date, in which case interest accrued to the Special Interest Payment Date will be paid by the Company to Holders of record of such Notes as of the close of business on such Special Interest Record Date on, or at the Company’s election, before, such Special Interest Payment Date, and the Redemption Price will be equal to 100% of the principal amount of such Notes).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shall have the meaning specified in Section 6.03.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Restrictive Notes Legend</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66" w:right="499" w:bottom="1440" w:gutter="0" w:footer="0" w:header="0"/>
        </w:sectPr>
      </w:pPr>
    </w:p>
    <w:bookmarkStart w:id="25" w:name="page26"/>
    <w:bookmarkEnd w:id="25"/>
    <w:p>
      <w:pPr>
        <w:ind w:left="4" w:right="2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 market on which the Class A Common Stock is listed or admitted for trading. If the Class A Common Stock is not so listed or admitted for trading, “</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Business Day.</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has the meaning specified in Section 14.02(a)(iv).</w:t>
      </w:r>
    </w:p>
    <w:p>
      <w:pPr>
        <w:spacing w:after="0" w:line="225" w:lineRule="exact"/>
        <w:rPr>
          <w:sz w:val="20"/>
          <w:szCs w:val="20"/>
          <w:color w:val="auto"/>
        </w:rPr>
      </w:pPr>
    </w:p>
    <w:p>
      <w:pPr>
        <w:ind w:left="4"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means, with respect to any conversion of Notes, Physical Settlement, Cash Settlement or Combination Settlement, as elected (or deemed to have been elected) by the Company.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has the meaning specified in Section 14.02(a)(iii).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ind w:left="4" w:right="22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Significant Subsidiary</w:t>
      </w:r>
      <w:r>
        <w:rPr>
          <w:rFonts w:ascii="Times New Roman" w:cs="Times New Roman" w:eastAsia="Times New Roman" w:hAnsi="Times New Roman"/>
          <w:sz w:val="17"/>
          <w:szCs w:val="17"/>
          <w:color w:val="auto"/>
        </w:rPr>
        <w:t xml:space="preserve">” means a Subsidiary of the Company that is a “significant subsidiary” as defined in Article 1, Rule 1-02(w)(1) of Regulation S-X promulgated by the Commission (or any successor rule);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 Subsidiary that meets the criteria of clause (1)</w:t>
      </w:r>
    </w:p>
    <w:p>
      <w:pPr>
        <w:spacing w:after="0" w:line="1" w:lineRule="exact"/>
        <w:rPr>
          <w:sz w:val="20"/>
          <w:szCs w:val="20"/>
          <w:color w:val="auto"/>
        </w:rPr>
      </w:pPr>
    </w:p>
    <w:p>
      <w:pPr>
        <w:ind w:left="4" w:right="40" w:hanging="4"/>
        <w:spacing w:after="0" w:line="252" w:lineRule="auto"/>
        <w:tabs>
          <w:tab w:leader="none" w:pos="3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thereof but not clause (1)(i) or (1)(ii) thereof, in each case as such rule is in effect on the date hereof, such Subsidiary shall be deemed not to be a Significant Subsidiary unless the Subsidiary’s income from continuing operations before income taxes (after intercompany eliminations), exclusive of amounts attributable to any noncontrolling interests for the last completed fiscal year prior to the date of such determination exceeds $50,000,000. For the avoidance of doubt, to the extent any such Subsidiary would not be deemed to be a “significant subsidiary” under the relevant definition set forth in Article 1, Rule 1-02(w) of Regulation S-X (or any successor rule) as in effect on the relevant date of determination, such Subsidiary shall not be deemed to be a Significant Subsidiary under this Indenture irrespective of whether such Subsidiary has greater than $50,000,000 in income from continuing operations as described in the immediately preceding sentence.</w:t>
      </w:r>
    </w:p>
    <w:p>
      <w:pPr>
        <w:spacing w:after="0" w:line="1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w:t>
      </w:r>
      <w:r>
        <w:rPr>
          <w:rFonts w:ascii="Times New Roman" w:cs="Times New Roman" w:eastAsia="Times New Roman" w:hAnsi="Times New Roman"/>
          <w:sz w:val="18"/>
          <w:szCs w:val="18"/>
          <w:color w:val="auto"/>
        </w:rPr>
        <w:t>” means all amounts, if any, payable pursuant to Section 4.06(d), Section 4.06(e) and Section 6.03, as applicable.</w:t>
      </w:r>
    </w:p>
    <w:p>
      <w:pPr>
        <w:spacing w:after="0" w:line="22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 Payment Date</w:t>
      </w:r>
      <w:r>
        <w:rPr>
          <w:rFonts w:ascii="Times New Roman" w:cs="Times New Roman" w:eastAsia="Times New Roman" w:hAnsi="Times New Roman"/>
          <w:sz w:val="18"/>
          <w:szCs w:val="18"/>
          <w:color w:val="auto"/>
        </w:rPr>
        <w:t>” means, if and to the extent that Special Interest is payable on the Notes, each May 15 and November 15 of each year, beginning on November 15, 2026.</w:t>
      </w:r>
    </w:p>
    <w:p>
      <w:pPr>
        <w:spacing w:after="0" w:line="155"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 Record Date</w:t>
      </w:r>
      <w:r>
        <w:rPr>
          <w:rFonts w:ascii="Times New Roman" w:cs="Times New Roman" w:eastAsia="Times New Roman" w:hAnsi="Times New Roman"/>
          <w:sz w:val="18"/>
          <w:szCs w:val="18"/>
          <w:color w:val="auto"/>
        </w:rPr>
        <w:t>,” with respect to any Special Interest Payment Date, means the May 1 or November 1 (whether or not such day is a Business Day) immediately preceding the applicable May 15 or November 15 Special Interest Payment Date, respectively.</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66" w:right="479" w:bottom="1440" w:gutter="0" w:footer="0" w:header="0"/>
        </w:sectPr>
      </w:pPr>
    </w:p>
    <w:bookmarkStart w:id="26" w:name="page27"/>
    <w:bookmarkEnd w:id="26"/>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Specified Dollar Amount</w:t>
      </w:r>
      <w:r>
        <w:rPr>
          <w:rFonts w:ascii="Times New Roman" w:cs="Times New Roman" w:eastAsia="Times New Roman" w:hAnsi="Times New Roman"/>
          <w:sz w:val="18"/>
          <w:szCs w:val="18"/>
          <w:color w:val="auto"/>
        </w:rPr>
        <w:t>” means the maximum cash amount per $1,000 principal amount of Notes to be received upon conversion as specified in the Settlement Notice (or deemed specified as provided in Section 14.02(a)(iii)) related to any converted Notes.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shall have the meaning specified in Section 14.03(c).</w:t>
      </w:r>
    </w:p>
    <w:p>
      <w:pPr>
        <w:spacing w:after="0" w:line="225"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shall have the meaning specified in Section 11.01(a).</w:t>
      </w:r>
    </w:p>
    <w:p>
      <w:pPr>
        <w:spacing w:after="0" w:line="225" w:lineRule="exact"/>
        <w:rPr>
          <w:sz w:val="20"/>
          <w:szCs w:val="20"/>
          <w:color w:val="auto"/>
        </w:rPr>
      </w:pPr>
    </w:p>
    <w:p>
      <w:pPr>
        <w:ind w:left="4" w:right="6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means, except for determining amounts due upon conversion, a day on which (i) trading in the Class A Common Stock (or other security for which a closing sale price must be determined) generally occurs on the Nasdaq Global Select Market or, if the Class A Common Stock (or such other security) is not then listed on the Nasdaq Global Select Market, on the principal other U.S. national or regional securities exchange on which the Class A Common Stock (or such other security) is then listed or, if the Class A Common Stock (or such other security) is not then listed on a U.S. national or regional securities exchange, on the principal other market on which the Class A Common Stock (or such other security) is then traded and</w:t>
      </w:r>
    </w:p>
    <w:p>
      <w:pPr>
        <w:spacing w:after="0" w:line="3" w:lineRule="exact"/>
        <w:rPr>
          <w:sz w:val="20"/>
          <w:szCs w:val="20"/>
          <w:color w:val="auto"/>
        </w:rPr>
      </w:pPr>
    </w:p>
    <w:p>
      <w:pPr>
        <w:ind w:left="4" w:hanging="4"/>
        <w:spacing w:after="0" w:line="251"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Last Reported Sale Price for the Class A Common Stock (or closing sale price for such other security) is available on such securities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Class A Common Stock (or such other security) is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Business Day; and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for purposes of determining amounts due upon conversion only,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(x) there is no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Disruption Event and (y) trading in the Class A Common Stock generally occurs on the Nasdaq Global Select Market or, if the Class A Common Stock is not then listed on the Nasdaq Global Select Market, on the principal other U.S. national or regional securities exchange on which the Class A Common Stock is then listed or, if the Class A Common Stock is not then listed on a U.S. national or regional securities exchange, on the principal other market on which the Class A Common Stock is then listed or admitted for trading, except that if the Class A Common Stock is not so listed or admitted for trading,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190"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xml:space="preserve">” of the Notes on any date of determination means the average of the secondary market bid quotations obtained by the Bid Solicitation Agent for $5,000,000 (or such lesser amount as may then be outstanding) principal amount of Notes at approximately 3:30 p.m., New York City time, on such determination date from three independent nationally recognized securities dealers the Company selects for this purpose;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three such bids cannot reasonably be obtained by the Bid Solicitation Agent but two such bids are obtained, then the average of the two bids shall be used, and if only one such bid can reasonably be</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66" w:right="479" w:bottom="1440" w:gutter="0" w:footer="0" w:header="0"/>
        </w:sectPr>
      </w:pPr>
    </w:p>
    <w:bookmarkStart w:id="27" w:name="page28"/>
    <w:bookmarkEnd w:id="27"/>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obtained by the Bid Solicitation Agent, that one bid shall be used. If, on any determination date, the Bid Solicitation Agent cannot reasonably obtain at least one bid for $5,000,000 (or such lesser amount as may then be outstanding) principal amount of Notes from a nationally recognized securities dealer, then the Trading Price per $1,000 principal amount of Notes on such determination date shall be deemed to be less than 98% of the product of the Last Reported Sale Price of the Class A Common Stock and the Conversion Rate.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xml:space="preserve">” means the Trust Indenture Act of 1939, as amended, as it was in force at the date of execution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Trust Indenture Act of 1939 is amended after the date hereof, the term “Trust Indenture Act” shall mean,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such amendment, the Trust Indenture Act of 1939, as so amended.</w:t>
      </w:r>
    </w:p>
    <w:p>
      <w:pPr>
        <w:spacing w:after="0" w:line="171" w:lineRule="exact"/>
        <w:rPr>
          <w:sz w:val="20"/>
          <w:szCs w:val="20"/>
          <w:color w:val="auto"/>
        </w:rPr>
      </w:pPr>
    </w:p>
    <w:p>
      <w:pPr>
        <w:ind w:right="4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means the Person named as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shall mean or include each Person who is then a Trustee hereunder.</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w:t>
      </w:r>
    </w:p>
    <w:p>
      <w:pPr>
        <w:spacing w:after="0" w:line="178"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Section 1.02</w:t>
      </w:r>
      <w:r>
        <w:rPr>
          <w:rFonts w:ascii="Times New Roman" w:cs="Times New Roman" w:eastAsia="Times New Roman" w:hAnsi="Times New Roman"/>
          <w:sz w:val="18"/>
          <w:szCs w:val="18"/>
          <w:i w:val="1"/>
          <w:iCs w:val="1"/>
          <w:color w:val="auto"/>
        </w:rPr>
        <w:t>. References to Interest</w:t>
      </w:r>
      <w:r>
        <w:rPr>
          <w:rFonts w:ascii="Times New Roman" w:cs="Times New Roman" w:eastAsia="Times New Roman" w:hAnsi="Times New Roman"/>
          <w:sz w:val="18"/>
          <w:szCs w:val="18"/>
          <w:color w:val="auto"/>
        </w:rPr>
        <w:t>. Unless the context otherwise requires, any reference to interest on, or in respect of, any Note in this Indenture shall be deemed to refer solely to Special Interest (if, in such context, Special Interest is, was or would be payable pursuant to any of Section 4.06(d), Section 4.06(e) and Section 6.03 and/or to any interest payable on any Defaulted Amounts as set forth in Section 2.03(c).</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EGISTRATION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p>
      <w:pPr>
        <w:spacing w:after="0" w:line="20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Designation and Amount.</w:t>
      </w:r>
      <w:r>
        <w:rPr>
          <w:rFonts w:ascii="Times New Roman" w:cs="Times New Roman" w:eastAsia="Times New Roman" w:hAnsi="Times New Roman"/>
          <w:sz w:val="18"/>
          <w:szCs w:val="18"/>
          <w:color w:val="auto"/>
        </w:rPr>
        <w:t xml:space="preserve"> The Notes shall be designated as the “0.00% Convertible Senior Notes due 2032.” The aggregate principal amount of Notes that may be authenticated and delivered under this Indenture is initially limited to $460,000,000, subject to Section 2.10 and except for Notes authenticated and delivered upon registration or transfer of, or in exchange for, or in lieu of other Notes to the extent expressly permitted hereunder.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8" w:name="page29"/>
    <w:bookmarkEnd w:id="28"/>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2.02</w:t>
      </w:r>
      <w:r>
        <w:rPr>
          <w:rFonts w:ascii="Times New Roman" w:cs="Times New Roman" w:eastAsia="Times New Roman" w:hAnsi="Times New Roman"/>
          <w:sz w:val="18"/>
          <w:szCs w:val="18"/>
          <w:i w:val="1"/>
          <w:iCs w:val="1"/>
          <w:color w:val="auto"/>
        </w:rPr>
        <w:t>. Form of Notes.</w:t>
      </w:r>
      <w:r>
        <w:rPr>
          <w:rFonts w:ascii="Times New Roman" w:cs="Times New Roman" w:eastAsia="Times New Roman" w:hAnsi="Times New Roman"/>
          <w:sz w:val="18"/>
          <w:szCs w:val="18"/>
          <w:color w:val="auto"/>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8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83"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83" w:lineRule="exact"/>
        <w:rPr>
          <w:sz w:val="20"/>
          <w:szCs w:val="20"/>
          <w:color w:val="auto"/>
        </w:rPr>
      </w:pPr>
    </w:p>
    <w:p>
      <w:pPr>
        <w:ind w:right="240" w:firstLine="440"/>
        <w:spacing w:after="0" w:line="254" w:lineRule="auto"/>
        <w:rPr>
          <w:sz w:val="20"/>
          <w:szCs w:val="20"/>
          <w:color w:val="auto"/>
        </w:rPr>
      </w:pPr>
      <w:r>
        <w:rPr>
          <w:rFonts w:ascii="Times New Roman" w:cs="Times New Roman" w:eastAsia="Times New Roman" w:hAnsi="Times New Roman"/>
          <w:sz w:val="18"/>
          <w:szCs w:val="18"/>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any accrued and unpaid interest on, a Global Note shall be made to the Holder of such Note on the date of payment, unless a record date or other means of determining Holders eligible to receive payment is provided for herein.</w:t>
      </w:r>
    </w:p>
    <w:p>
      <w:pPr>
        <w:spacing w:after="0" w:line="19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2.03</w:t>
      </w:r>
      <w:r>
        <w:rPr>
          <w:rFonts w:ascii="Times New Roman" w:cs="Times New Roman" w:eastAsia="Times New Roman" w:hAnsi="Times New Roman"/>
          <w:sz w:val="18"/>
          <w:szCs w:val="18"/>
          <w:i w:val="1"/>
          <w:iCs w:val="1"/>
          <w:color w:val="auto"/>
        </w:rPr>
        <w:t>. Date and Denomination of Notes; No Regular Interest; Payments of Special Interest and Defaulted Amounts.</w:t>
      </w:r>
      <w:r>
        <w:rPr>
          <w:rFonts w:ascii="Times New Roman" w:cs="Times New Roman" w:eastAsia="Times New Roman" w:hAnsi="Times New Roman"/>
          <w:sz w:val="18"/>
          <w:szCs w:val="18"/>
          <w:color w:val="auto"/>
        </w:rPr>
        <w:t xml:space="preserve"> (a) The Notes shall be issuable in registered form without coupons in minimum denominations of $1,000 principal amount and integral multiples thereof. Each Note shall be dated the date of its authentication and shall not bear regular interest, and the principal amount of the Notes shall not accrete. Special Interest on the Notes, if any, shall be computed on the basis of a 360-day year composed of twelve 30-day months and, for partial months, on the basis of the number of days actually elapsed in a 30-day month.</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8" w:right="459" w:bottom="1440" w:gutter="0" w:footer="0" w:header="0"/>
        </w:sectPr>
      </w:pPr>
    </w:p>
    <w:bookmarkStart w:id="29" w:name="page30"/>
    <w:bookmarkEnd w:id="29"/>
    <w:p>
      <w:pPr>
        <w:ind w:firstLine="436"/>
        <w:spacing w:after="0" w:line="269" w:lineRule="auto"/>
        <w:tabs>
          <w:tab w:leader="none" w:pos="69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Person in whose name any Note (or its Predecessor Note) is registered on the Note Register at the close of business on any Special Interest Record Date with respect to any Special Interest Payment Date shall be entitled to receive any Special Interest payable on such Special Interest Payment Date. The principal amount of any Note (x) in the case of any Physical Note, shall be payable at the office or agency of the Company maintained by the Company for such purposes in the continental United States of America, which shall initially be the Corporate Trust Office and (y) in the case of any Global Note, shall be payable by wire transfer of immediately available funds to the account of the Depositary or its nominee. The Company shall pay, or cause the Paying Agent to pay, any Special Interest (i) on any Physical Notes (A) to Holders holding Physical Notes having an aggregate principal amount of $5,000,000 or less, by check mailed to the Holders at their address as it appears in the Note Register and (B) to Holders holding Physical Notes having an aggregate principal amount of more than $5,000,000, either by check mailed to each such Holder or, upon written application by such a Holder to the Note Registrar not later than the relevant Special Interest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spacing w:after="0" w:line="178" w:lineRule="exact"/>
        <w:rPr>
          <w:rFonts w:ascii="Times New Roman" w:cs="Times New Roman" w:eastAsia="Times New Roman" w:hAnsi="Times New Roman"/>
          <w:sz w:val="17"/>
          <w:szCs w:val="17"/>
          <w:color w:val="auto"/>
        </w:rPr>
      </w:pPr>
    </w:p>
    <w:p>
      <w:pPr>
        <w:ind w:right="240" w:firstLine="436"/>
        <w:spacing w:after="0" w:line="258" w:lineRule="auto"/>
        <w:tabs>
          <w:tab w:leader="none" w:pos="6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Defaulted Amounts shall forthwith cease to be payable to the Holder on the relevant payment date and shall not accrue interest unless Special Interest was payable pursuant to this Indenture on the relevant payment date, in which case such Defaulted Amounts shall accrue interest per annum at the then-applicable Special Interest rate borne by the Notes, subject to the enforceability thereof under applicable law, from, and including, such relevant payment date, and such Defaulted Amounts together with any such interest thereon shall be paid by the Company, at its election in each case, as provided in clause (i) or (ii) below:</w:t>
      </w:r>
    </w:p>
    <w:p>
      <w:pPr>
        <w:spacing w:after="0" w:line="75" w:lineRule="exact"/>
        <w:rPr>
          <w:rFonts w:ascii="Times New Roman" w:cs="Times New Roman" w:eastAsia="Times New Roman" w:hAnsi="Times New Roman"/>
          <w:sz w:val="18"/>
          <w:szCs w:val="18"/>
          <w:color w:val="auto"/>
        </w:rPr>
      </w:pPr>
    </w:p>
    <w:p>
      <w:pPr>
        <w:ind w:left="440" w:right="140" w:firstLine="419"/>
        <w:spacing w:after="0" w:line="254" w:lineRule="auto"/>
        <w:tabs>
          <w:tab w:leader="none" w:pos="107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0" w:name="page31"/>
    <w:bookmarkEnd w:id="30"/>
    <w:p>
      <w:pPr>
        <w:ind w:left="440" w:right="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63" w:lineRule="exact"/>
        <w:rPr>
          <w:sz w:val="20"/>
          <w:szCs w:val="20"/>
          <w:color w:val="auto"/>
        </w:rPr>
      </w:pPr>
    </w:p>
    <w:p>
      <w:pPr>
        <w:ind w:left="440" w:right="100" w:firstLine="419"/>
        <w:spacing w:after="0" w:line="255" w:lineRule="auto"/>
        <w:tabs>
          <w:tab w:leader="none" w:pos="11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 For the avoidance of doubt, the Company may make payment of any Defaulted Amounts and default interest relating to any amounts due upon conversion of the Notes in a manner other than as provided in Section 2.03(c)(i);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manner would be permitted under the terms of this Indenture if such amounts due upon conversion were not Defaulted Amounts or default interest.</w:t>
      </w:r>
    </w:p>
    <w:p>
      <w:pPr>
        <w:spacing w:after="0" w:line="80"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at any time be under any duty or responsibility to any Holder of Notes to determine the Defaulted Amounts, or with respect to the nature, extent, or calculation of the amount of Defaulted Amounts owed, or with respect to the method employed in such calculation of the Defaulted Amounts.</w:t>
      </w:r>
    </w:p>
    <w:p>
      <w:pPr>
        <w:spacing w:after="0" w:line="174" w:lineRule="exact"/>
        <w:rPr>
          <w:sz w:val="20"/>
          <w:szCs w:val="20"/>
          <w:color w:val="auto"/>
        </w:rPr>
      </w:pPr>
    </w:p>
    <w:p>
      <w:pPr>
        <w:ind w:right="220" w:firstLine="440"/>
        <w:spacing w:after="0" w:line="267" w:lineRule="auto"/>
        <w:rPr>
          <w:sz w:val="20"/>
          <w:szCs w:val="20"/>
          <w:color w:val="auto"/>
        </w:rPr>
      </w:pPr>
      <w:r>
        <w:rPr>
          <w:rFonts w:ascii="Times New Roman" w:cs="Times New Roman" w:eastAsia="Times New Roman" w:hAnsi="Times New Roman"/>
          <w:sz w:val="18"/>
          <w:szCs w:val="18"/>
          <w:color w:val="auto"/>
        </w:rPr>
        <w:t>Section 2.04</w:t>
      </w:r>
      <w:r>
        <w:rPr>
          <w:rFonts w:ascii="Times New Roman" w:cs="Times New Roman" w:eastAsia="Times New Roman" w:hAnsi="Times New Roman"/>
          <w:sz w:val="18"/>
          <w:szCs w:val="18"/>
          <w:i w:val="1"/>
          <w:iCs w:val="1"/>
          <w:color w:val="auto"/>
        </w:rPr>
        <w:t>. Execution, Authentication and Delivery of Notes.</w:t>
      </w:r>
      <w:r>
        <w:rPr>
          <w:rFonts w:ascii="Times New Roman" w:cs="Times New Roman" w:eastAsia="Times New Roman" w:hAnsi="Times New Roman"/>
          <w:sz w:val="18"/>
          <w:szCs w:val="18"/>
          <w:color w:val="auto"/>
        </w:rPr>
        <w:t xml:space="preserve"> The Notes shall be signed in the name and on behalf of the Company by the manual, facsimile or electronic signature of its Chief Executive Officer, Chief Financial Officer, General Counsel, Treasurer or Secretary or any of its Executive or Senior Vice Presidents.</w:t>
      </w:r>
    </w:p>
    <w:p>
      <w:pPr>
        <w:spacing w:after="0" w:line="17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Section 17.05, the Trustee shall receive an Officer’s Certificate and an Opinion of Counsel of the Company with respect to the issuance, authentication and delivery of such Notes.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31" w:name="page32"/>
    <w:bookmarkEnd w:id="31"/>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83"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2.05</w:t>
      </w:r>
      <w:r>
        <w:rPr>
          <w:rFonts w:ascii="Times New Roman" w:cs="Times New Roman" w:eastAsia="Times New Roman" w:hAnsi="Times New Roman"/>
          <w:sz w:val="18"/>
          <w:szCs w:val="18"/>
          <w:i w:val="1"/>
          <w:iCs w:val="1"/>
          <w:color w:val="auto"/>
        </w:rPr>
        <w:t>. Exchange and Registration of Transfer of Notes; Restrictions on Transfer; Depositary.</w:t>
      </w:r>
    </w:p>
    <w:p>
      <w:pPr>
        <w:spacing w:after="0" w:line="227" w:lineRule="exact"/>
        <w:rPr>
          <w:sz w:val="20"/>
          <w:szCs w:val="20"/>
          <w:color w:val="auto"/>
        </w:rPr>
      </w:pPr>
    </w:p>
    <w:p>
      <w:pPr>
        <w:ind w:firstLine="436"/>
        <w:spacing w:after="0" w:line="277" w:lineRule="auto"/>
        <w:tabs>
          <w:tab w:leader="none" w:pos="68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cause to be kept at the Corporate Trust Office a register (the register maintained in such office or in any other office or agency of the Company designated pursuant to Section 4.02, the “</w:t>
      </w:r>
      <w:r>
        <w:rPr>
          <w:rFonts w:ascii="Times New Roman" w:cs="Times New Roman" w:eastAsia="Times New Roman" w:hAnsi="Times New Roman"/>
          <w:sz w:val="17"/>
          <w:szCs w:val="17"/>
          <w:b w:val="1"/>
          <w:bCs w:val="1"/>
          <w:color w:val="auto"/>
        </w:rPr>
        <w:t>Note Register</w:t>
      </w:r>
      <w:r>
        <w:rPr>
          <w:rFonts w:ascii="Times New Roman" w:cs="Times New Roman" w:eastAsia="Times New Roman" w:hAnsi="Times New Roman"/>
          <w:sz w:val="17"/>
          <w:szCs w:val="17"/>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17"/>
          <w:szCs w:val="17"/>
          <w:b w:val="1"/>
          <w:bCs w:val="1"/>
          <w:color w:val="auto"/>
        </w:rPr>
        <w:t>Note Registrar</w:t>
      </w:r>
      <w:r>
        <w:rPr>
          <w:rFonts w:ascii="Times New Roman" w:cs="Times New Roman" w:eastAsia="Times New Roman" w:hAnsi="Times New Roman"/>
          <w:sz w:val="17"/>
          <w:szCs w:val="17"/>
          <w:color w:val="auto"/>
        </w:rPr>
        <w:t>” for the purpose of registering Notes and transfers of Notes as herein provided. The Company may appoint one or more co-Note Registrars in accordance with Section 4.02.</w:t>
      </w:r>
    </w:p>
    <w:p>
      <w:pPr>
        <w:spacing w:after="0" w:line="16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Upon surrender for registration of transfer of any Note to the Note Registrar or any co-Note Registrar, and satisfaction of the requirements for such transfer set forth in this Section 2.05, the Company shall execute, and the Trustee, upon receipt of a Company Order,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2" w:name="page33"/>
    <w:bookmarkEnd w:id="32"/>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80" w:lineRule="exact"/>
        <w:rPr>
          <w:sz w:val="20"/>
          <w:szCs w:val="20"/>
          <w:color w:val="auto"/>
        </w:rPr>
      </w:pPr>
    </w:p>
    <w:p>
      <w:pPr>
        <w:ind w:left="4" w:right="60" w:firstLine="440"/>
        <w:spacing w:after="0" w:line="276" w:lineRule="auto"/>
        <w:rPr>
          <w:sz w:val="20"/>
          <w:szCs w:val="20"/>
          <w:color w:val="auto"/>
        </w:rPr>
      </w:pPr>
      <w:r>
        <w:rPr>
          <w:rFonts w:ascii="Times New Roman" w:cs="Times New Roman" w:eastAsia="Times New Roman" w:hAnsi="Times New Roman"/>
          <w:sz w:val="17"/>
          <w:szCs w:val="17"/>
          <w:color w:val="auto"/>
        </w:rPr>
        <w:t>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w:t>
      </w:r>
    </w:p>
    <w:p>
      <w:pPr>
        <w:spacing w:after="0" w:line="1" w:lineRule="exact"/>
        <w:rPr>
          <w:sz w:val="20"/>
          <w:szCs w:val="20"/>
          <w:color w:val="auto"/>
        </w:rPr>
      </w:pPr>
    </w:p>
    <w:p>
      <w:pPr>
        <w:ind w:left="4" w:right="500" w:hanging="4"/>
        <w:spacing w:after="0" w:line="255" w:lineRule="auto"/>
        <w:tabs>
          <w:tab w:leader="none" w:pos="2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Notes, or a portion of any Note, surrendered for required repurchase upon a Fundamental Change (and not withdrawn) in accordance with Article 15 or (iii) any Notes selected for Optional Redemption in accordance with Article 16, except the unredeemed portion of any Note being redeemed in part.</w:t>
      </w:r>
    </w:p>
    <w:p>
      <w:pPr>
        <w:spacing w:after="0" w:line="186"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76" w:lineRule="exact"/>
        <w:rPr>
          <w:sz w:val="20"/>
          <w:szCs w:val="20"/>
          <w:color w:val="auto"/>
        </w:rPr>
      </w:pPr>
    </w:p>
    <w:p>
      <w:pPr>
        <w:ind w:left="4" w:right="60" w:firstLine="436"/>
        <w:spacing w:after="0" w:line="256" w:lineRule="auto"/>
        <w:tabs>
          <w:tab w:leader="none" w:pos="69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applicable procedures of the Depositary therefor.</w:t>
      </w:r>
    </w:p>
    <w:p>
      <w:pPr>
        <w:spacing w:after="0" w:line="187"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Note that bears or is required under this Section 2.05(c) to bear the Restrictive Notes Legend (together with any Class A Common Stock issued upon conversion of the Notes that is required to bear the legend set forth in Section 2.05(d), collectively, the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be subject to the restrictions on transfer set forth in this Section 2.05(c) (including the Restrictive Notes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encompasses any sale, pledge, transfer or other disposition whatsoever of any Restricted Security.</w:t>
      </w:r>
    </w:p>
    <w:p>
      <w:pPr>
        <w:spacing w:after="0" w:line="183"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Until the date (the “</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that is the later of (1) the date that is one year after the last date of original issuance of the Notes, or such shorter period of time as permitted by Rule 144 or any successor provision thereto, and (2) such later date, if any, as may be required by applicable law, any certificate evidencing such Note (and all securities issued in exchange therefor or substitution thereof, other than Class A Common Stock, if any,</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33" w:name="page34"/>
    <w:bookmarkEnd w:id="33"/>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issued upon conversion thereof, which shall bear the legend set forth in Section 2.05(d), if applicable) shall bear a legend in substantially the following form (the “</w:t>
      </w:r>
      <w:r>
        <w:rPr>
          <w:rFonts w:ascii="Times New Roman" w:cs="Times New Roman" w:eastAsia="Times New Roman" w:hAnsi="Times New Roman"/>
          <w:sz w:val="18"/>
          <w:szCs w:val="18"/>
          <w:b w:val="1"/>
          <w:bCs w:val="1"/>
          <w:color w:val="auto"/>
        </w:rPr>
        <w:t>Restrictive Notes Legend</w:t>
      </w:r>
      <w:r>
        <w:rPr>
          <w:rFonts w:ascii="Times New Roman" w:cs="Times New Roman" w:eastAsia="Times New Roman" w:hAnsi="Times New Roman"/>
          <w:sz w:val="18"/>
          <w:szCs w:val="18"/>
          <w:color w:val="auto"/>
        </w:rPr>
        <w:t>”)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8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THIS SECURITY AND THE CLASS A COMMON STOCK, IF ANY, ISSUABLE UPON CONVERSION OF THIS SECURITY HAVE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w:t>
      </w:r>
    </w:p>
    <w:p>
      <w:pPr>
        <w:spacing w:after="0" w:line="72" w:lineRule="exact"/>
        <w:rPr>
          <w:sz w:val="20"/>
          <w:szCs w:val="20"/>
          <w:color w:val="auto"/>
        </w:rPr>
      </w:pPr>
    </w:p>
    <w:p>
      <w:pPr>
        <w:ind w:left="440" w:right="420" w:firstLine="419"/>
        <w:spacing w:after="0" w:line="266" w:lineRule="auto"/>
        <w:tabs>
          <w:tab w:leader="none" w:pos="11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63" w:lineRule="exact"/>
        <w:rPr>
          <w:rFonts w:ascii="Times New Roman" w:cs="Times New Roman" w:eastAsia="Times New Roman" w:hAnsi="Times New Roman"/>
          <w:sz w:val="18"/>
          <w:szCs w:val="18"/>
          <w:color w:val="auto"/>
        </w:rPr>
      </w:pPr>
    </w:p>
    <w:p>
      <w:pPr>
        <w:ind w:left="440" w:firstLine="419"/>
        <w:spacing w:after="0" w:line="278" w:lineRule="auto"/>
        <w:tabs>
          <w:tab w:leader="none" w:pos="111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FOR THE BENEFIT OF TEMPUS AI,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THAT IT WILL NOT OFFER, SELL, PLEDGE OR OTHERWISE TRANSFER THIS SECURITY OR ANY BENEFICIAL INTEREST HEREIN PRIOR TO THE DATE THAT IS THE LATER OF</w:t>
      </w:r>
    </w:p>
    <w:p>
      <w:pPr>
        <w:spacing w:after="0" w:line="1" w:lineRule="exact"/>
        <w:rPr>
          <w:rFonts w:ascii="Times New Roman" w:cs="Times New Roman" w:eastAsia="Times New Roman" w:hAnsi="Times New Roman"/>
          <w:sz w:val="17"/>
          <w:szCs w:val="17"/>
          <w:color w:val="auto"/>
        </w:rPr>
      </w:pPr>
    </w:p>
    <w:p>
      <w:pPr>
        <w:ind w:left="440" w:right="200" w:hanging="4"/>
        <w:spacing w:after="0" w:line="255" w:lineRule="auto"/>
        <w:tabs>
          <w:tab w:leader="none" w:pos="7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LAST ORIGINAL ISSUE DATE HEREOF OR SUCH SHORTER PERIOD OF TIME AS PERMITTED BY RULE 144 UNDER THE SECURITIES ACT OR ANY SUCCESSOR PROVISION THERETO AND (Y) SUCH LATER DATE, IF ANY, AS MAY BE REQUIRED BY APPLICABLE LAW, EXCEPT:</w:t>
      </w:r>
    </w:p>
    <w:p>
      <w:pPr>
        <w:spacing w:after="0" w:line="7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66"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IT REASONABLY BELIEVES TO BE A QUALIFIED INSTITUTIONAL BUYER IN COMPLIANCE WITH RULE 144A UNDER THE SECURITIES ACT, OR</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66" w:lineRule="auto"/>
        <w:tabs>
          <w:tab w:leader="none" w:pos="1676"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(IF AVAILABLE) OR ANY OTHER AVAILABLE EXEMPTION FROM THE REGISTRATION REQUIREMENTS OF THE SECURITIES ACT.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70" w:right="499" w:bottom="1440" w:gutter="0" w:footer="0" w:header="0"/>
        </w:sectPr>
      </w:pPr>
    </w:p>
    <w:bookmarkStart w:id="34" w:name="page35"/>
    <w:bookmarkEnd w:id="34"/>
    <w:p>
      <w:pPr>
        <w:jc w:val="both"/>
        <w:ind w:left="4" w:right="18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8"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No transfer of any Note prior to the Resale Restriction Termination Date will be registered by the Note Registrar unless the applicable box on the Form of Assignment and Transfer has been checked.</w:t>
      </w:r>
    </w:p>
    <w:p>
      <w:pPr>
        <w:spacing w:after="0" w:line="162"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Notes Legend required by this Section 2.05(c) and shall not be assigned a restricted CUSIP number. The Company shall be entitled to instruct the Custodian in writing to so surrender any Global Note as to which any of the conditions set forth in clause (i) through (iii) of the immediately preceding sentence have been satisfied, and, upon such instruction, the Custodian shall so surrender such Global Note for exchange; and any new Global Note so exchanged therefor shall not bear the Restrictive Notes Legend specified in this Section 2.05(c) and shall not be assigned a restricted CUSIP number. In addition, the Company may effect the removal of the Restrictive Notes Legend upon the Company’s delivery to the Trustee of written notice to such effect, whereupon the Restrictive Notes Legend set forth above and affixed on any Note shall be deemed, in accordance with the terms of the certificate representing such Note, to be removed therefrom without further action by the Company, the Trustee, the Holder(s) thereof or any other Person; at such time, such Note shall be deemed to be assigned an unrestricted CUSIP number as provided in the certificate representing such Note, it being understood, including for purposes of Section 4.06(e), that the Depositary of any Global Note may require a mandatory exchange or other process to cause such Global Note to be identified by an unrestricted CUSIP number in the facilities of such Depositary. The Company shall promptly notify the Trustee in writing upon the occurrence of the Resale Restriction Termination Date and promptly after a registration statement, if any, with respect to the Notes or any Class A Common Stock issued upon conversion of the Notes has become or been declared effective under the Securities Act.</w:t>
      </w:r>
    </w:p>
    <w:p>
      <w:pPr>
        <w:spacing w:after="0" w:line="177" w:lineRule="exact"/>
        <w:rPr>
          <w:sz w:val="20"/>
          <w:szCs w:val="20"/>
          <w:color w:val="auto"/>
        </w:rPr>
      </w:pPr>
    </w:p>
    <w:p>
      <w:pPr>
        <w:ind w:left="4" w:right="120" w:firstLine="440"/>
        <w:spacing w:after="0" w:line="272" w:lineRule="auto"/>
        <w:rPr>
          <w:sz w:val="20"/>
          <w:szCs w:val="20"/>
          <w:color w:val="auto"/>
        </w:rPr>
      </w:pPr>
      <w:r>
        <w:rPr>
          <w:rFonts w:ascii="Times New Roman" w:cs="Times New Roman" w:eastAsia="Times New Roman" w:hAnsi="Times New Roman"/>
          <w:sz w:val="17"/>
          <w:szCs w:val="17"/>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w:t>
      </w:r>
    </w:p>
    <w:p>
      <w:pPr>
        <w:spacing w:after="0" w:line="2" w:lineRule="exact"/>
        <w:rPr>
          <w:sz w:val="20"/>
          <w:szCs w:val="20"/>
          <w:color w:val="auto"/>
        </w:rPr>
      </w:pPr>
    </w:p>
    <w:p>
      <w:pPr>
        <w:ind w:left="264" w:hanging="264"/>
        <w:spacing w:after="0"/>
        <w:tabs>
          <w:tab w:leader="none" w:pos="26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exchange of a Global Note or a portion thereof for one or more Physical Notes in accordance with the second immediately succeeding paragraph.</w:t>
      </w:r>
    </w:p>
    <w:p>
      <w:pPr>
        <w:spacing w:after="0" w:line="150" w:lineRule="exact"/>
        <w:rPr>
          <w:rFonts w:ascii="Times New Roman" w:cs="Times New Roman" w:eastAsia="Times New Roman" w:hAnsi="Times New Roman"/>
          <w:sz w:val="17"/>
          <w:szCs w:val="17"/>
          <w:color w:val="auto"/>
        </w:rPr>
      </w:pPr>
    </w:p>
    <w:p>
      <w:pPr>
        <w:ind w:left="5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70" w:right="479" w:bottom="1440" w:gutter="0" w:footer="0" w:header="0"/>
        </w:sectPr>
      </w:pPr>
    </w:p>
    <w:bookmarkStart w:id="35" w:name="page36"/>
    <w:bookmarkEnd w:id="35"/>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8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in writing. Upon execution and authentication, the Trustee shall deliver such Physical Notes to the Persons in whose names such Physical Notes are so registered.</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At such time as all interests in a Global Note have been converted, canceled, repurchased upon a Fundamental Change,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upon a Fundamental Change,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6" w:name="page37"/>
    <w:bookmarkEnd w:id="36"/>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 of the Company, the Trustee or any agent of the Company or the Trustee shall have any responsibility or liability for any act or omission of the Depositary or for the payment of amounts to owners of beneficial interests in a Global Note, for any aspect of the records relating to or payments made on account of those interests by the Depositary, or for maintaining, supervising or reviewing any records of the Depositary relating to those interests.</w:t>
      </w:r>
    </w:p>
    <w:p>
      <w:pPr>
        <w:spacing w:after="0" w:line="180" w:lineRule="exact"/>
        <w:rPr>
          <w:sz w:val="20"/>
          <w:szCs w:val="20"/>
          <w:color w:val="auto"/>
        </w:rPr>
      </w:pPr>
    </w:p>
    <w:p>
      <w:pPr>
        <w:ind w:firstLine="436"/>
        <w:spacing w:after="0" w:line="254"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Resale Restriction Termination Date, any stock certificate representing Class A Common Stock issued upon conversion of a Note shall bear a legend in substantially the following form (unless such Class A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Class A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Class A Common Stock):</w:t>
      </w:r>
    </w:p>
    <w:p>
      <w:pPr>
        <w:spacing w:after="0" w:line="80"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w:t>
      </w:r>
    </w:p>
    <w:p>
      <w:pPr>
        <w:spacing w:after="0" w:line="67" w:lineRule="exact"/>
        <w:rPr>
          <w:sz w:val="20"/>
          <w:szCs w:val="20"/>
          <w:color w:val="auto"/>
        </w:rPr>
      </w:pPr>
    </w:p>
    <w:p>
      <w:pPr>
        <w:ind w:left="440" w:right="480" w:firstLine="419"/>
        <w:spacing w:after="0" w:line="266" w:lineRule="auto"/>
        <w:tabs>
          <w:tab w:leader="none" w:pos="111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63" w:lineRule="exact"/>
        <w:rPr>
          <w:rFonts w:ascii="Times New Roman" w:cs="Times New Roman" w:eastAsia="Times New Roman" w:hAnsi="Times New Roman"/>
          <w:sz w:val="18"/>
          <w:szCs w:val="18"/>
          <w:color w:val="auto"/>
        </w:rPr>
      </w:pPr>
    </w:p>
    <w:p>
      <w:pPr>
        <w:ind w:left="440" w:right="40" w:firstLine="419"/>
        <w:spacing w:after="0" w:line="278" w:lineRule="auto"/>
        <w:tabs>
          <w:tab w:leader="none" w:pos="111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FOR THE BENEFIT OF TEMPUS AI,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THAT IT WILL NOT OFFER, SELL, PLEDGE OR OTHERWISE TRANSFER THIS SECURITY OR ANY BENEFICIAL INTEREST HEREIN PRIOR TO THE DATE THAT IS THE LATER OF</w:t>
      </w:r>
    </w:p>
    <w:p>
      <w:pPr>
        <w:spacing w:after="0" w:line="1" w:lineRule="exact"/>
        <w:rPr>
          <w:rFonts w:ascii="Times New Roman" w:cs="Times New Roman" w:eastAsia="Times New Roman" w:hAnsi="Times New Roman"/>
          <w:sz w:val="17"/>
          <w:szCs w:val="17"/>
          <w:color w:val="auto"/>
        </w:rPr>
      </w:pPr>
    </w:p>
    <w:p>
      <w:pPr>
        <w:jc w:val="both"/>
        <w:ind w:left="440" w:right="180" w:hanging="4"/>
        <w:spacing w:after="0" w:line="253" w:lineRule="auto"/>
        <w:tabs>
          <w:tab w:leader="none" w:pos="7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80"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980" w:right="60" w:firstLine="408"/>
        <w:spacing w:after="0" w:line="282" w:lineRule="auto"/>
        <w:tabs>
          <w:tab w:leader="none" w:pos="166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IT REASONABLY BELIEVES TO BE A QUALIFIED INSTITUTIONAL BUYER IN COMPLIANCE WITH RULE 144A UNDER THE SECURITIES ACT,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7" w:name="page38"/>
    <w:bookmarkEnd w:id="37"/>
    <w:p>
      <w:pPr>
        <w:ind w:left="980" w:right="340" w:firstLine="408"/>
        <w:spacing w:after="0" w:line="266" w:lineRule="auto"/>
        <w:tabs>
          <w:tab w:leader="none" w:pos="16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AN EXEMPTION FROM REGISTRATION PROVIDED BY RULE 144 (IF AVAILABLE) UNDER THE SECURITIES ACT OR ANY OTHER AVAILABLE EXEMPTION FROM THE REGISTRATION REQUIREMENTS OF THE SECURITIES ACT.</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TRANSFER AGENT FOR THE COMPANY’S CLASS A COMMON STOCK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Any such Class A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Class A Common Stock for exchange in accordance with the procedures of the transfer agent for the Class A Common Stock, be exchanged for a new certificate or certificates for a like aggregate number of shares of Class A Common Stock, which shall not bear the restrictive legend required by this Section 2.05(d).</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ind w:right="40" w:firstLine="436"/>
        <w:spacing w:after="0" w:line="258"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or restricted Class A Common Stock issued upon the conversion or exchange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Class A Common Stock, as the case may be, no longer being a “restricted security” (as defined under Rule 144).</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8" w:name="page39"/>
    <w:bookmarkEnd w:id="38"/>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2.06</w:t>
      </w:r>
      <w:r>
        <w:rPr>
          <w:rFonts w:ascii="Times New Roman" w:cs="Times New Roman" w:eastAsia="Times New Roman" w:hAnsi="Times New Roman"/>
          <w:sz w:val="18"/>
          <w:szCs w:val="18"/>
          <w:i w:val="1"/>
          <w:iCs w:val="1"/>
          <w:color w:val="auto"/>
        </w:rPr>
        <w:t>. Mutilated, Destroyed, Lost or Stolen Notes.</w:t>
      </w:r>
      <w:r>
        <w:rPr>
          <w:rFonts w:ascii="Times New Roman" w:cs="Times New Roman" w:eastAsia="Times New Roman" w:hAnsi="Times New Roman"/>
          <w:sz w:val="18"/>
          <w:szCs w:val="18"/>
          <w:color w:val="auto"/>
        </w:rPr>
        <w:t xml:space="preserve"> 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claim,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upon a Fundamental Change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claim,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20"/>
          </w:cols>
          <w:pgMar w:left="440" w:top="268" w:right="539" w:bottom="1440" w:gutter="0" w:footer="0" w:header="0"/>
        </w:sectPr>
      </w:pPr>
    </w:p>
    <w:bookmarkStart w:id="39" w:name="page40"/>
    <w:bookmarkEnd w:id="39"/>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2.07</w:t>
      </w:r>
      <w:r>
        <w:rPr>
          <w:rFonts w:ascii="Times New Roman" w:cs="Times New Roman" w:eastAsia="Times New Roman" w:hAnsi="Times New Roman"/>
          <w:sz w:val="18"/>
          <w:szCs w:val="18"/>
          <w:i w:val="1"/>
          <w:iCs w:val="1"/>
          <w:color w:val="auto"/>
        </w:rPr>
        <w:t>. Temporary Notes.</w:t>
      </w:r>
      <w:r>
        <w:rPr>
          <w:rFonts w:ascii="Times New Roman" w:cs="Times New Roman" w:eastAsia="Times New Roman" w:hAnsi="Times New Roman"/>
          <w:sz w:val="18"/>
          <w:szCs w:val="18"/>
          <w:color w:val="auto"/>
        </w:rPr>
        <w:t xml:space="preserve">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9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Cancellation of Notes Paid, Converted, Etc..</w:t>
      </w:r>
      <w:r>
        <w:rPr>
          <w:rFonts w:ascii="Times New Roman" w:cs="Times New Roman" w:eastAsia="Times New Roman" w:hAnsi="Times New Roman"/>
          <w:sz w:val="18"/>
          <w:szCs w:val="18"/>
          <w:color w:val="auto"/>
        </w:rPr>
        <w:t xml:space="preserve"> The Company shall cause all Notes surrendered for the purpose of payment at maturity, repurchase upon a Fundamental Change, redemption, registration of transfer or exchange or conversion (other than any Notes exchanged pursuant to Section 14.12), if surrendered to the Company or any of its agents or Subsidiaries, to be surrendered to the Trustee for cancellation. All Notes delivered to the Trustee shall be canceled promptly by it in accordance with its customary procedures upon written request by the Company.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evidence of such disposition to the Company, at the Company’s written request in a Company Order.</w:t>
      </w:r>
    </w:p>
    <w:p>
      <w:pPr>
        <w:spacing w:after="0" w:line="185"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2.09. </w:t>
      </w:r>
      <w:r>
        <w:rPr>
          <w:rFonts w:ascii="Times New Roman" w:cs="Times New Roman" w:eastAsia="Times New Roman" w:hAnsi="Times New Roman"/>
          <w:sz w:val="17"/>
          <w:szCs w:val="17"/>
          <w:i w:val="1"/>
          <w:iCs w:val="1"/>
          <w:color w:val="auto"/>
        </w:rPr>
        <w:t>CUSIP Numbers.</w:t>
      </w:r>
      <w:r>
        <w:rPr>
          <w:rFonts w:ascii="Times New Roman" w:cs="Times New Roman" w:eastAsia="Times New Roman" w:hAnsi="Times New Roman"/>
          <w:sz w:val="17"/>
          <w:szCs w:val="17"/>
          <w:color w:val="auto"/>
        </w:rPr>
        <w:t xml:space="preserve"> The Company in issuing the Notes may use “CUSIP” numbers (if then generally in use), and, if so, the Trustee shall use “CUSIP” numbers in all notices issued to Holders as a convenience to such 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Trustee shall have no liability for any defect in the “CUSIP” numbers as they appear on any Note, notice or elsewhere,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68" w:lineRule="exact"/>
        <w:rPr>
          <w:sz w:val="20"/>
          <w:szCs w:val="20"/>
          <w:color w:val="auto"/>
        </w:rPr>
      </w:pPr>
    </w:p>
    <w:p>
      <w:pPr>
        <w:ind w:right="6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Additional Notes; Repurchases.</w:t>
      </w:r>
      <w:r>
        <w:rPr>
          <w:rFonts w:ascii="Times New Roman" w:cs="Times New Roman" w:eastAsia="Times New Roman" w:hAnsi="Times New Roman"/>
          <w:sz w:val="18"/>
          <w:szCs w:val="18"/>
          <w:color w:val="auto"/>
        </w:rPr>
        <w:t xml:space="preserve"> The Company may, without the consent of, or notice to, the Holders and notwithstanding Section 2.01, reopen this Indenture and issue additional Notes hereunder with the same terms as the Notes initially issued hereunder (other than differences in the issue date, the issue price, interest, if any, accrued prior to the issue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8" w:right="459" w:bottom="1440" w:gutter="0" w:footer="0" w:header="0"/>
        </w:sectPr>
      </w:pPr>
    </w:p>
    <w:bookmarkStart w:id="40" w:name="page41"/>
    <w:bookmarkEnd w:id="40"/>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such additional Notes and, if applicable, restrictions on transfer in respect of such additional Notes) in an unlimited aggregate principal amount;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any such additional Notes are not fungible with the Notes initially issued hereunder for U.S. federal income tax or securities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in each case, without the consent of or notice to the Holders of the Notes. The Company may, at its option and to the extent permitted by applicable law, reissue, resell or surrender to the Trustee for cancellation any Notes that it may repurchase, in the case of a reissuance or resale, so long as such Notes do not constitute “restricted securities” (as defined under Rule 144) upon such reissuance or resale;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reissued or resold Notes are not fungible with the Notes initially issued hereunder for U.S. federal income tax or securities law purposes, such reissued or resold Notes shall have one or more separate CUSIP numbers. Any Notes that the Company may repurchase shall be considered outstanding for all purposes under this Indenture (other than, at any time when such Notes are owned by the Company, by any Subsidiary thereof or by any Affiliate of the Company or any Subsidiary thereof, as set forth in Section 8.04) unless and until such time as the Company surrenders them to the Trustee for cancellation and, upon receipt of a Company Order, the Trustee shall cancel all Notes so surrendered.</w:t>
      </w:r>
    </w:p>
    <w:p>
      <w:pPr>
        <w:spacing w:after="0" w:line="200" w:lineRule="exact"/>
        <w:rPr>
          <w:sz w:val="20"/>
          <w:szCs w:val="20"/>
          <w:color w:val="auto"/>
        </w:rPr>
      </w:pPr>
    </w:p>
    <w:p>
      <w:pPr>
        <w:spacing w:after="0" w:line="21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ISCHARGE</w:t>
      </w:r>
    </w:p>
    <w:p>
      <w:pPr>
        <w:spacing w:after="0" w:line="205" w:lineRule="exact"/>
        <w:rPr>
          <w:sz w:val="20"/>
          <w:szCs w:val="20"/>
          <w:color w:val="auto"/>
        </w:rPr>
      </w:pPr>
    </w:p>
    <w:p>
      <w:pPr>
        <w:ind w:left="4" w:right="20" w:firstLine="440"/>
        <w:spacing w:after="0" w:line="271" w:lineRule="auto"/>
        <w:rPr>
          <w:sz w:val="20"/>
          <w:szCs w:val="20"/>
          <w:color w:val="auto"/>
        </w:rPr>
      </w:pPr>
      <w:r>
        <w:rPr>
          <w:rFonts w:ascii="Times New Roman" w:cs="Times New Roman" w:eastAsia="Times New Roman" w:hAnsi="Times New Roman"/>
          <w:sz w:val="17"/>
          <w:szCs w:val="17"/>
          <w:color w:val="auto"/>
        </w:rPr>
        <w:t>Section 3.01</w:t>
      </w:r>
      <w:r>
        <w:rPr>
          <w:rFonts w:ascii="Times New Roman" w:cs="Times New Roman" w:eastAsia="Times New Roman" w:hAnsi="Times New Roman"/>
          <w:sz w:val="17"/>
          <w:szCs w:val="17"/>
          <w:i w:val="1"/>
          <w:iCs w:val="1"/>
          <w:color w:val="auto"/>
        </w:rPr>
        <w:t>. Satisfaction and Discharge.</w:t>
      </w:r>
      <w:r>
        <w:rPr>
          <w:rFonts w:ascii="Times New Roman" w:cs="Times New Roman" w:eastAsia="Times New Roman" w:hAnsi="Times New Roman"/>
          <w:sz w:val="17"/>
          <w:szCs w:val="17"/>
          <w:color w:val="auto"/>
        </w:rPr>
        <w:t xml:space="preserve"> (a) This Indenture and the Notes shall cease to be of further effect when (i) all Notes theretofore authenticated and delivered (other than (x) Notes which have been destroyed, lost or stolen and which have been replaced, paid or converted as provided in Section 2.06 and (y) Notes for whose payment money has heretofore been deposited in trust or segregated and held in trust by the Company and thereafter repaid to the Company or discharged from such trust, as provided in Section 4.04(d)) have been delivered to the Trustee for cancellation; or</w:t>
      </w:r>
    </w:p>
    <w:p>
      <w:pPr>
        <w:spacing w:after="0" w:line="1" w:lineRule="exact"/>
        <w:rPr>
          <w:sz w:val="20"/>
          <w:szCs w:val="20"/>
          <w:color w:val="auto"/>
        </w:rPr>
      </w:pPr>
    </w:p>
    <w:p>
      <w:pPr>
        <w:ind w:left="4" w:right="40" w:hanging="4"/>
        <w:spacing w:after="0" w:line="251"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deposited with the Trustee or delivered to Holders, as applicable, after the Notes have become due and payable, whether on the Maturity Date, any Redemption Date, any Fundamental Change Repurchase Date, upon conversion or otherwise, cash or cash and/or shares of Class A Common Stock, solely to satisfy the Company’s Conversion Obligation, sufficient to pay all of the outstanding Notes and all other sums due and payable under this Indenture or the Notes by the Company; and (b) the Trustee upon request of the Company contained in an Officer’s Certificate and at the expense of the Company, shall execute proper instruments acknowledging satisfaction and discharge of this Indenture, when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or the earlier resignation or removal of the Trustee, the obligations of the Company to the Trustee under Section 7.06 shall survive.</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p>
      <w:pPr>
        <w:spacing w:after="0" w:line="205" w:lineRule="exact"/>
        <w:rPr>
          <w:sz w:val="20"/>
          <w:szCs w:val="20"/>
          <w:color w:val="auto"/>
        </w:rPr>
      </w:pPr>
    </w:p>
    <w:p>
      <w:pPr>
        <w:jc w:val="both"/>
        <w:ind w:right="100" w:firstLine="440"/>
        <w:spacing w:after="0" w:line="267" w:lineRule="auto"/>
        <w:rPr>
          <w:sz w:val="20"/>
          <w:szCs w:val="20"/>
          <w:color w:val="auto"/>
        </w:rPr>
      </w:pPr>
      <w:r>
        <w:rPr>
          <w:rFonts w:ascii="Times New Roman" w:cs="Times New Roman" w:eastAsia="Times New Roman" w:hAnsi="Times New Roman"/>
          <w:sz w:val="18"/>
          <w:szCs w:val="18"/>
          <w:color w:val="auto"/>
        </w:rPr>
        <w:t>Section 4.01</w:t>
      </w:r>
      <w:r>
        <w:rPr>
          <w:rFonts w:ascii="Times New Roman" w:cs="Times New Roman" w:eastAsia="Times New Roman" w:hAnsi="Times New Roman"/>
          <w:sz w:val="18"/>
          <w:szCs w:val="18"/>
          <w:i w:val="1"/>
          <w:iCs w:val="1"/>
          <w:color w:val="auto"/>
        </w:rPr>
        <w:t>. Payment of Principal and Special Interest.</w:t>
      </w:r>
      <w:r>
        <w:rPr>
          <w:rFonts w:ascii="Times New Roman" w:cs="Times New Roman" w:eastAsia="Times New Roman" w:hAnsi="Times New Roman"/>
          <w:sz w:val="18"/>
          <w:szCs w:val="18"/>
          <w:color w:val="auto"/>
        </w:rPr>
        <w:t xml:space="preserve"> The Company covenants and agrees that it will cause to be paid the principal (including the Redemption Price and the Fundamental Change Repurchase Price, if applicable) of, and accrued and unpaid interest, if any, on, each of the Notes at the places, at the respective times and in the manner provided herein and in the Notes.</w:t>
      </w:r>
    </w:p>
    <w:p>
      <w:pPr>
        <w:spacing w:after="0" w:line="17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Any applicable withholding taxes (including backup withholding) may be withheld from payments of interest, if any, and payments upon conversion, redemption, repurchase or maturity of the Notes, or if any withholding taxes (including backup withholding) are paid on behalf of a Holder or beneficial owner, those withholding taxes may be withheld from or set off against payments of cash or Class A Common Stock, if any, payable on the Notes (or, in some circumstances, any payments on the Class A Common Stock) or sales proceeds payable to, or other funds or assets of, the Holder or beneficial owner.</w:t>
      </w:r>
    </w:p>
    <w:p>
      <w:pPr>
        <w:spacing w:after="0" w:line="181" w:lineRule="exact"/>
        <w:rPr>
          <w:sz w:val="20"/>
          <w:szCs w:val="20"/>
          <w:color w:val="auto"/>
        </w:rPr>
      </w:pPr>
    </w:p>
    <w:p>
      <w:pPr>
        <w:ind w:firstLine="440"/>
        <w:spacing w:after="0" w:line="275" w:lineRule="auto"/>
        <w:rPr>
          <w:sz w:val="20"/>
          <w:szCs w:val="20"/>
          <w:color w:val="auto"/>
        </w:rPr>
      </w:pPr>
      <w:r>
        <w:rPr>
          <w:rFonts w:ascii="Times New Roman" w:cs="Times New Roman" w:eastAsia="Times New Roman" w:hAnsi="Times New Roman"/>
          <w:sz w:val="17"/>
          <w:szCs w:val="17"/>
          <w:color w:val="auto"/>
        </w:rPr>
        <w:t>Section 4.02</w:t>
      </w:r>
      <w:r>
        <w:rPr>
          <w:rFonts w:ascii="Times New Roman" w:cs="Times New Roman" w:eastAsia="Times New Roman" w:hAnsi="Times New Roman"/>
          <w:sz w:val="17"/>
          <w:szCs w:val="17"/>
          <w:i w:val="1"/>
          <w:iCs w:val="1"/>
          <w:color w:val="auto"/>
        </w:rPr>
        <w:t>. Maintenance of Office or Agency.</w:t>
      </w:r>
      <w:r>
        <w:rPr>
          <w:rFonts w:ascii="Times New Roman" w:cs="Times New Roman" w:eastAsia="Times New Roman" w:hAnsi="Times New Roman"/>
          <w:sz w:val="17"/>
          <w:szCs w:val="17"/>
          <w:color w:val="auto"/>
        </w:rPr>
        <w:t xml:space="preserve"> The Company will maintain in the continental United States of America an office or agency where the Notes may be surrendered for registration of transfer or exchange or for presentation for payment or repurchase (“</w:t>
      </w:r>
      <w:r>
        <w:rPr>
          <w:rFonts w:ascii="Times New Roman" w:cs="Times New Roman" w:eastAsia="Times New Roman" w:hAnsi="Times New Roman"/>
          <w:sz w:val="17"/>
          <w:szCs w:val="17"/>
          <w:b w:val="1"/>
          <w:bCs w:val="1"/>
          <w:color w:val="auto"/>
        </w:rPr>
        <w:t>Paying Agent</w:t>
      </w:r>
      <w:r>
        <w:rPr>
          <w:rFonts w:ascii="Times New Roman" w:cs="Times New Roman" w:eastAsia="Times New Roman" w:hAnsi="Times New Roman"/>
          <w:sz w:val="17"/>
          <w:szCs w:val="17"/>
          <w:color w:val="auto"/>
        </w:rPr>
        <w:t>”) or for conversion (“</w:t>
      </w:r>
      <w:r>
        <w:rPr>
          <w:rFonts w:ascii="Times New Roman" w:cs="Times New Roman" w:eastAsia="Times New Roman" w:hAnsi="Times New Roman"/>
          <w:sz w:val="17"/>
          <w:szCs w:val="17"/>
          <w:b w:val="1"/>
          <w:bCs w:val="1"/>
          <w:color w:val="auto"/>
        </w:rPr>
        <w:t>Conversion Agent</w:t>
      </w:r>
      <w:r>
        <w:rPr>
          <w:rFonts w:ascii="Times New Roman" w:cs="Times New Roman" w:eastAsia="Times New Roman" w:hAnsi="Times New Roman"/>
          <w:sz w:val="17"/>
          <w:szCs w:val="17"/>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continental United States of America.</w:t>
      </w:r>
    </w:p>
    <w:p>
      <w:pPr>
        <w:spacing w:after="0" w:line="170"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designation or rescission shall in any manner relieve the Company of its obligation to maintain an office or agency in the continental United States of America for such purposes. The Company will give prompt written notice to the Trustee of any such designation or rescission and of any change in the location of any such other office or agency. The terms “</w:t>
      </w:r>
      <w:r>
        <w:rPr>
          <w:rFonts w:ascii="Times New Roman" w:cs="Times New Roman" w:eastAsia="Times New Roman" w:hAnsi="Times New Roman"/>
          <w:sz w:val="17"/>
          <w:szCs w:val="17"/>
          <w:b w:val="1"/>
          <w:bCs w:val="1"/>
          <w:color w:val="auto"/>
        </w:rPr>
        <w:t>Paying Agent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Conversion Agent</w:t>
      </w:r>
      <w:r>
        <w:rPr>
          <w:rFonts w:ascii="Times New Roman" w:cs="Times New Roman" w:eastAsia="Times New Roman" w:hAnsi="Times New Roman"/>
          <w:sz w:val="17"/>
          <w:szCs w:val="17"/>
          <w:color w:val="auto"/>
        </w:rPr>
        <w:t>” include any such additional or other offices or agencies, as applicable.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42" w:name="page43"/>
    <w:bookmarkEnd w:id="42"/>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hereby initially designates the Trustee as the Paying Agent, Note Registrar, Custodian and Conversion Agent and the Corporate Trust Office as the office or agency in the continental United States of America where Notes may be surrendered for registration of transfer or exchange or for presentation for payment or repurchase or for conversion and where notices and demands to or upon the Company in respect of the Notes and this Indenture may be served;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Corporate Trust Office shall not be a place for service of legal process for the Company.</w:t>
      </w:r>
    </w:p>
    <w:p>
      <w:pPr>
        <w:spacing w:after="0" w:line="178" w:lineRule="exact"/>
        <w:rPr>
          <w:sz w:val="20"/>
          <w:szCs w:val="20"/>
          <w:color w:val="auto"/>
        </w:rPr>
      </w:pPr>
    </w:p>
    <w:p>
      <w:pPr>
        <w:ind w:right="380" w:firstLine="440"/>
        <w:spacing w:after="0" w:line="284" w:lineRule="auto"/>
        <w:rPr>
          <w:sz w:val="20"/>
          <w:szCs w:val="20"/>
          <w:color w:val="auto"/>
        </w:rPr>
      </w:pPr>
      <w:r>
        <w:rPr>
          <w:rFonts w:ascii="Times New Roman" w:cs="Times New Roman" w:eastAsia="Times New Roman" w:hAnsi="Times New Roman"/>
          <w:sz w:val="18"/>
          <w:szCs w:val="18"/>
          <w:color w:val="auto"/>
        </w:rPr>
        <w:t>Section 4.03</w:t>
      </w:r>
      <w:r>
        <w:rPr>
          <w:rFonts w:ascii="Times New Roman" w:cs="Times New Roman" w:eastAsia="Times New Roman" w:hAnsi="Times New Roman"/>
          <w:sz w:val="18"/>
          <w:szCs w:val="18"/>
          <w:i w:val="1"/>
          <w:iCs w:val="1"/>
          <w:color w:val="auto"/>
        </w:rPr>
        <w:t>. Appointments to Fill Vacancies in Trustee’s Office.</w:t>
      </w:r>
      <w:r>
        <w:rPr>
          <w:rFonts w:ascii="Times New Roman" w:cs="Times New Roman" w:eastAsia="Times New Roman" w:hAnsi="Times New Roman"/>
          <w:sz w:val="18"/>
          <w:szCs w:val="18"/>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58"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Section 4.04</w:t>
      </w:r>
      <w:r>
        <w:rPr>
          <w:rFonts w:ascii="Times New Roman" w:cs="Times New Roman" w:eastAsia="Times New Roman" w:hAnsi="Times New Roman"/>
          <w:sz w:val="18"/>
          <w:szCs w:val="18"/>
          <w:i w:val="1"/>
          <w:iCs w:val="1"/>
          <w:color w:val="auto"/>
        </w:rPr>
        <w:t>. Provisions as to Paying Agent.</w:t>
      </w:r>
      <w:r>
        <w:rPr>
          <w:rFonts w:ascii="Times New Roman" w:cs="Times New Roman" w:eastAsia="Times New Roman" w:hAnsi="Times New Roman"/>
          <w:sz w:val="18"/>
          <w:szCs w:val="18"/>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67" w:lineRule="exact"/>
        <w:rPr>
          <w:sz w:val="20"/>
          <w:szCs w:val="20"/>
          <w:color w:val="auto"/>
        </w:rPr>
      </w:pPr>
    </w:p>
    <w:p>
      <w:pPr>
        <w:ind w:left="440" w:right="180" w:firstLine="419"/>
        <w:spacing w:after="0" w:line="312" w:lineRule="auto"/>
        <w:tabs>
          <w:tab w:leader="none" w:pos="107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will hold all sums held by it as such agent for the payment of the principal (including the Redemption Price and the Fundamental Change Repurchase Price, if applicable) of, and accrued and unpaid interest, if any, on, the Notes in trust for the benefit of the Holders;</w:t>
      </w:r>
    </w:p>
    <w:p>
      <w:pPr>
        <w:spacing w:after="0" w:line="31" w:lineRule="exact"/>
        <w:rPr>
          <w:rFonts w:ascii="Times New Roman" w:cs="Times New Roman" w:eastAsia="Times New Roman" w:hAnsi="Times New Roman"/>
          <w:sz w:val="17"/>
          <w:szCs w:val="17"/>
          <w:color w:val="auto"/>
        </w:rPr>
      </w:pPr>
    </w:p>
    <w:p>
      <w:pPr>
        <w:jc w:val="both"/>
        <w:ind w:left="440" w:right="300" w:firstLine="419"/>
        <w:spacing w:after="0" w:line="266" w:lineRule="auto"/>
        <w:tabs>
          <w:tab w:leader="none" w:pos="11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prompt written notice of any failure by the Company to make any payment of the principal (including the Redemption Price and the Fundamental Change Repurchase Price, if applicable) of, and any accrued and unpaid Special Interest on, the Notes when the same shall be due and payable; and</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any time during the continuance of an Event of Default, upon request of the Trustee, it will forthwith pay to the Trustee all sums so held in trust.</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shall, on or before each due date of the principal (including the Redemption Price and the Fundamental Change Repurchase Price, if applicable) of, or any accrued and unpaid interest on, the Notes, deposit with the Paying Agent a sum sufficient to pay such principal (including the Redemption Price and the Fundamental Change Repurchase Price, if applicable) or accrued and unpaid interest, if any, and (unless such Paying Agent is the Trustee) the Company will promptly notify the Trustee in writing of any failure to take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deposit is made on the due date, such deposit must be received by the Paying Agent by 11:00 a.m., New York City time, on such date.</w:t>
      </w:r>
    </w:p>
    <w:p>
      <w:pPr>
        <w:spacing w:after="0" w:line="183" w:lineRule="exact"/>
        <w:rPr>
          <w:sz w:val="20"/>
          <w:szCs w:val="20"/>
          <w:color w:val="auto"/>
        </w:rPr>
      </w:pPr>
    </w:p>
    <w:p>
      <w:pPr>
        <w:ind w:right="40" w:firstLine="436"/>
        <w:spacing w:after="0" w:line="256"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it will, on or before each due date of the principal (including the Redemption Price and the Fundamental Change Repurchase Price, if applicable) of, and any accrued and unpaid interest on, the Notes, set aside, segregate and hold in trust for the benefit of the Holders of the Notes a sum sufficient to pay such principal (including the Redemption Price and the Fundamental Change Repurchase Price, if applicable) and accrued and unpaid interest, if any,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if any, on, the Notes when the same shall become due and payable.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3" w:name="page44"/>
    <w:bookmarkEnd w:id="43"/>
    <w:p>
      <w:pPr>
        <w:ind w:right="60" w:firstLine="436"/>
        <w:spacing w:after="0" w:line="258"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escheatment laws, any money and shares of Class A Common Stock deposited with the Trustee or any Paying Agent, or then held by the Company, in trust for the payment of the principal (including the Redemption Price and the Fundamental Change Repurchase Price, if applicable) of, accrued and unpaid Special Interest, if any, on and the consideration due upon conversion of any Note and remaining unclaimed for two years after such principal (including the Redemption Price and the Fundamental Change Repurchase Price, if applicable), interest, if any,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Class A Common Stock, and all liability of the Company as trustee thereof, shall thereupon cease.</w:t>
      </w:r>
    </w:p>
    <w:p>
      <w:pPr>
        <w:spacing w:after="0" w:line="19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Event of Default pursuant to Section 6.01(h) or (i), the Trustee shall automatically be Paying Agent for the Notes.</w:t>
      </w:r>
    </w:p>
    <w:p>
      <w:pPr>
        <w:spacing w:after="0" w:line="223"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Section 4.05</w:t>
      </w:r>
      <w:r>
        <w:rPr>
          <w:rFonts w:ascii="Times New Roman" w:cs="Times New Roman" w:eastAsia="Times New Roman" w:hAnsi="Times New Roman"/>
          <w:sz w:val="18"/>
          <w:szCs w:val="18"/>
          <w:i w:val="1"/>
          <w:iCs w:val="1"/>
          <w:color w:val="auto"/>
        </w:rPr>
        <w:t>. Existence.</w:t>
      </w:r>
      <w:r>
        <w:rPr>
          <w:rFonts w:ascii="Times New Roman" w:cs="Times New Roman" w:eastAsia="Times New Roman" w:hAnsi="Times New Roman"/>
          <w:sz w:val="18"/>
          <w:szCs w:val="18"/>
          <w:color w:val="auto"/>
        </w:rPr>
        <w:t xml:space="preserve"> Subject to Article 11, the Company shall do or cause to be done all things necessary to preserve and keep in full force and effect its corporate existence.</w:t>
      </w:r>
    </w:p>
    <w:p>
      <w:pPr>
        <w:spacing w:after="0" w:line="158"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Section 4.06</w:t>
      </w:r>
      <w:r>
        <w:rPr>
          <w:rFonts w:ascii="Times New Roman" w:cs="Times New Roman" w:eastAsia="Times New Roman" w:hAnsi="Times New Roman"/>
          <w:sz w:val="18"/>
          <w:szCs w:val="18"/>
          <w:i w:val="1"/>
          <w:iCs w:val="1"/>
          <w:color w:val="auto"/>
        </w:rPr>
        <w:t>. Rule 144A Information Requirement and Annual Reports.</w:t>
      </w:r>
      <w:r>
        <w:rPr>
          <w:rFonts w:ascii="Times New Roman" w:cs="Times New Roman" w:eastAsia="Times New Roman" w:hAnsi="Times New Roman"/>
          <w:sz w:val="18"/>
          <w:szCs w:val="18"/>
          <w:color w:val="auto"/>
        </w:rPr>
        <w:t xml:space="preserve"> (a) At any time the Company is not subject to Section 13 or 15(d) of the Exchange Act, the Company shall, so long as any of the Notes or any shares of Class A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Class A Common Stock issuable upon conversion of such Notes, the information required to be delivered pursuant to Rule 144A(d)(4) under the Securities Act to facilitate the resale of such Notes or shares of Class A Common Stock pursuant to Rule 144A.</w:t>
      </w:r>
    </w:p>
    <w:p>
      <w:pPr>
        <w:spacing w:after="0" w:line="184" w:lineRule="exact"/>
        <w:rPr>
          <w:sz w:val="20"/>
          <w:szCs w:val="20"/>
          <w:color w:val="auto"/>
        </w:rPr>
      </w:pPr>
    </w:p>
    <w:p>
      <w:pPr>
        <w:ind w:right="120" w:firstLine="436"/>
        <w:spacing w:after="0" w:line="258"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file with the Trustee, within 15 days after the same are required to be filed with the Commission, copies of any annual or quarterly reports (on Form 10-K or Form 10-Q or any respective successor form) that the Company is required to file with the Commission pursuant to Section 13 or 15(d) of the Exchange Act (excluding any such information, documents or reports, or portions thereof, subject to confidential treatment and any correspondence with the Commission, and after giving effect to any grace period provided by Rule 12b-25 under the Exchange Act (or any successor thereto), which grace period, for the avoidance of doubt, shall be deemed applicable whether or not the Company checks the box in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44" w:name="page45"/>
    <w:bookmarkEnd w:id="4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relevant Rule 12b-25 filing indicating that the Company expects to file such report within the applicable Rule 12b-25 grace period). Any such document or report that the Company files with the Commission via the Commission’s EDGAR system (or any successor system) shall be deemed to be filed with the Trustee for purposes of this Section 4.06(b) at the time such documents are filed via the EDGAR system (or such successor), it being understood that the Trustee shall not be responsible for determining whether such filings have been made.</w:t>
      </w:r>
    </w:p>
    <w:p>
      <w:pPr>
        <w:spacing w:after="0" w:line="180" w:lineRule="exact"/>
        <w:rPr>
          <w:sz w:val="20"/>
          <w:szCs w:val="20"/>
          <w:color w:val="auto"/>
        </w:rPr>
      </w:pPr>
    </w:p>
    <w:p>
      <w:pPr>
        <w:jc w:val="both"/>
        <w:ind w:right="40" w:firstLine="436"/>
        <w:spacing w:after="0" w:line="261"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reports, information and documents described in subsection (b) above to the Trustee is for informational purposes only, and the information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179"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six-month period beginning on, and including, the date that is six months after the last date of original issuance of the Notes, the Company fails to timely file any document or report that it is required to file with the Commission pursuant to Section 13 or 15(d) of the Exchange Act, as applicable (other than current reports on Form 8-K and after giving effect to all applicable grace periods thereunder, including any grace period provided by Rule 12b-25 (or any successor rule), which grace period for the avoidance of doubt, shall be deemed applicable whether or not the Company checks the box in the relevant Rule 12b-25 filing indicating that the Company expects to file such report within the applicable Rule 12b-25 grace period),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the Company shall pay Special Interest on the Notes. Such Special Interest shall accrue on the Notes at the rate of 0.50% per annum of the principal amount of the Notes outstanding for each day during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For purposes of this Section 4.06(d), the phrase “restrictions pursuant to U.S. securities laws or the terms of this Indenture or the Notes” shall not include, for the avoidance of doubt, the assignment of a restricted CUSIP number or the existence of the Restrictive Notes Legend on Notes in compliance with Section 2.05(c), in either case, during the six-month period described in this Section 4.06(d).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45" w:name="page46"/>
    <w:bookmarkEnd w:id="45"/>
    <w:p>
      <w:pPr>
        <w:ind w:right="60" w:firstLine="436"/>
        <w:spacing w:after="0" w:line="269" w:lineRule="auto"/>
        <w:tabs>
          <w:tab w:leader="none" w:pos="68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and for so long as, the Restrictive Notes Legend on the Notes specified in Section 2.05(c) has not been removed, the Notes are assigned a restricted CUSIP number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of the De-Legending Deadline Date, the Company shall pay Special Interest on the Notes at a rate equal to 0.50% per annum of the principal amount of Notes outstanding until the Restrictive Notes Legend on the Notes has been removed in accordance with Section 2.05(c), the Notes are assigned an unrestricted CUSIP number and the Notes are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Special Interest shall accrue or be owed pursuant to this Section 4.06(e) until the fifteenth Business Day following written notification to the Company by the Trustee (at the direction of any Holder) or any Holder or beneficial owner of the Notes requesting that the Company comply with its obligations described in this Section 4.06(e) (which notice may be given at any time after the 330th day after the last date of original issuance of the Notes), it being understood and agreed that in no event shall Special Interest accrue or be owed pursuant to this Section 4.06(e) for any period prior to the applicable De-Legending Deadline Date.</w:t>
      </w:r>
    </w:p>
    <w:p>
      <w:pPr>
        <w:spacing w:after="0" w:line="178"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Interest will be payable in arrears on each Special Interest Payment Date following accrual as set forth in Section 2.03(b).</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immediately succeeding sentence, any Special Interest that is payable in accordance with Section 4.06(d) or Section 4.06(e) shall be in addition to, and not in lieu of, any Special Interest that may be payable as a result of the Company’s election pursuant to Section 6.03. However, in no event shall Special Interest payable for the Company’s failure to comply with its obligations to timely file any document or report that the Company is required to file with the Commission pursuant to Section 13 or 15(d) of the Exchange Act, as applicable (after giving effect to all applicable grace periods thereunder and other than current reports on Form 8-K), as set forth in Section 4.06(d), together with any Special Interest that may accrue at the Company’s election as a result of the Company’s failure to comply with its reporting obligations pursuant to Section 6.03, accrue at a rate in excess of 0.50% per annum pursuant to this Indenture, regardless of the number of events or circumstances giving rise to the requirement to pay such Special Interest.</w:t>
      </w:r>
    </w:p>
    <w:p>
      <w:pPr>
        <w:spacing w:after="0" w:line="191"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Special Interest is payable by the Company pursuant to Section 4.06(d) or Section 4.06(e), the Company shall deliver to the Trustee an Officer’s Certificate to that effect stating (i) the amount of such Special Interest that is payable and (ii) the date on which such Special Interest is payable. Unless and until a Responsible Officer of the Trustee receives at the Corporate Trust Office such Officer’s Certificate, the Trustee may conclusively assume without inquiry that no such Special Interest is payable. If the Company has paid Special Interest directly to the Persons entitled to it, the Company shall deliver to the Trustee an Officer’s Certificate setting forth the particulars of such payment.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6" w:name="page47"/>
    <w:bookmarkEnd w:id="46"/>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4.07</w:t>
      </w:r>
      <w:r>
        <w:rPr>
          <w:rFonts w:ascii="Times New Roman" w:cs="Times New Roman" w:eastAsia="Times New Roman" w:hAnsi="Times New Roman"/>
          <w:sz w:val="18"/>
          <w:szCs w:val="18"/>
          <w:i w:val="1"/>
          <w:iCs w:val="1"/>
          <w:color w:val="auto"/>
        </w:rPr>
        <w:t>. Stay, Extension and Usury Laws.</w:t>
      </w:r>
      <w:r>
        <w:rPr>
          <w:rFonts w:ascii="Times New Roman" w:cs="Times New Roman" w:eastAsia="Times New Roman" w:hAnsi="Times New Roman"/>
          <w:sz w:val="18"/>
          <w:szCs w:val="18"/>
          <w:color w:val="auto"/>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if any,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83" w:lineRule="exact"/>
        <w:rPr>
          <w:sz w:val="20"/>
          <w:szCs w:val="20"/>
          <w:color w:val="auto"/>
        </w:rPr>
      </w:pPr>
    </w:p>
    <w:p>
      <w:pPr>
        <w:ind w:right="100" w:firstLine="440"/>
        <w:spacing w:after="0" w:line="290" w:lineRule="auto"/>
        <w:rPr>
          <w:sz w:val="20"/>
          <w:szCs w:val="20"/>
          <w:color w:val="auto"/>
        </w:rPr>
      </w:pPr>
      <w:r>
        <w:rPr>
          <w:rFonts w:ascii="Times New Roman" w:cs="Times New Roman" w:eastAsia="Times New Roman" w:hAnsi="Times New Roman"/>
          <w:sz w:val="17"/>
          <w:szCs w:val="17"/>
          <w:color w:val="auto"/>
        </w:rPr>
        <w:t>Section 4.08</w:t>
      </w:r>
      <w:r>
        <w:rPr>
          <w:rFonts w:ascii="Times New Roman" w:cs="Times New Roman" w:eastAsia="Times New Roman" w:hAnsi="Times New Roman"/>
          <w:sz w:val="17"/>
          <w:szCs w:val="17"/>
          <w:i w:val="1"/>
          <w:iCs w:val="1"/>
          <w:color w:val="auto"/>
        </w:rPr>
        <w:t>. Compliance Certificate; Statements as to Defaults.</w:t>
      </w:r>
      <w:r>
        <w:rPr>
          <w:rFonts w:ascii="Times New Roman" w:cs="Times New Roman" w:eastAsia="Times New Roman" w:hAnsi="Times New Roman"/>
          <w:sz w:val="17"/>
          <w:szCs w:val="17"/>
          <w:color w:val="auto"/>
        </w:rPr>
        <w:t xml:space="preserve"> The Company shall deliver to the Trustee within 120 days after the end of each fiscal year of the Company (beginning with the fiscal year ending on December 31, 2026) an Officer’s Certificate stating whether the signers thereof have knowledge of any Event of Default that occurred during the previous year and, if so, specifying each such Event of Default and the nature thereof.</w:t>
      </w:r>
    </w:p>
    <w:p>
      <w:pPr>
        <w:spacing w:after="0" w:line="15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Company shall deliver to the Trustee, within 30 days after the Company obtains knowledge of the occurrence of any Event of Default or Default, an Officer’s Certificate setting forth the details of such Event of Default or Default, its status and the action that the Company is taking or proposing to take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not required to deliver such notice if such Event of Default or Default has been cured or is no longer continuing.</w:t>
      </w:r>
    </w:p>
    <w:p>
      <w:pPr>
        <w:spacing w:after="0" w:line="178" w:lineRule="exact"/>
        <w:rPr>
          <w:sz w:val="20"/>
          <w:szCs w:val="20"/>
          <w:color w:val="auto"/>
        </w:rPr>
      </w:pPr>
    </w:p>
    <w:p>
      <w:pPr>
        <w:ind w:right="220" w:firstLine="440"/>
        <w:spacing w:after="0" w:line="284" w:lineRule="auto"/>
        <w:rPr>
          <w:sz w:val="20"/>
          <w:szCs w:val="20"/>
          <w:color w:val="auto"/>
        </w:rPr>
      </w:pPr>
      <w:r>
        <w:rPr>
          <w:rFonts w:ascii="Times New Roman" w:cs="Times New Roman" w:eastAsia="Times New Roman" w:hAnsi="Times New Roman"/>
          <w:sz w:val="18"/>
          <w:szCs w:val="18"/>
          <w:color w:val="auto"/>
        </w:rPr>
        <w:t>Section 4.09</w:t>
      </w:r>
      <w:r>
        <w:rPr>
          <w:rFonts w:ascii="Times New Roman" w:cs="Times New Roman" w:eastAsia="Times New Roman" w:hAnsi="Times New Roman"/>
          <w:sz w:val="18"/>
          <w:szCs w:val="18"/>
          <w:i w:val="1"/>
          <w:iCs w:val="1"/>
          <w:color w:val="auto"/>
        </w:rPr>
        <w:t>. Further Instruments and Acts.</w:t>
      </w:r>
      <w:r>
        <w:rPr>
          <w:rFonts w:ascii="Times New Roman" w:cs="Times New Roman" w:eastAsia="Times New Roman" w:hAnsi="Times New Roman"/>
          <w:sz w:val="18"/>
          <w:szCs w:val="18"/>
          <w:color w:val="auto"/>
        </w:rPr>
        <w:t xml:space="preserve"> Upon request of the Trustee, the Company will execute and deliver such further instruments and do such further acts as may be reasonably necessary or proper to carry out more effectively the purposes of this Indenture.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ISTS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EPORTS BY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 AND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p>
      <w:pPr>
        <w:spacing w:after="0" w:line="20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Section 5.01</w:t>
      </w:r>
      <w:r>
        <w:rPr>
          <w:rFonts w:ascii="Times New Roman" w:cs="Times New Roman" w:eastAsia="Times New Roman" w:hAnsi="Times New Roman"/>
          <w:sz w:val="18"/>
          <w:szCs w:val="18"/>
          <w:i w:val="1"/>
          <w:iCs w:val="1"/>
          <w:color w:val="auto"/>
        </w:rPr>
        <w:t>. Lists of Holders.</w:t>
      </w:r>
      <w:r>
        <w:rPr>
          <w:rFonts w:ascii="Times New Roman" w:cs="Times New Roman" w:eastAsia="Times New Roman" w:hAnsi="Times New Roman"/>
          <w:sz w:val="18"/>
          <w:szCs w:val="18"/>
          <w:color w:val="auto"/>
        </w:rPr>
        <w:t xml:space="preserve"> The Company covenants and agrees that it will furnish or cause to be furnished to the Trustee, semi-annually, not more than 15 days after each May 1 and November 1 in each year beginning with November 1, 2026,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8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Section 5.02</w:t>
      </w:r>
      <w:r>
        <w:rPr>
          <w:rFonts w:ascii="Times New Roman" w:cs="Times New Roman" w:eastAsia="Times New Roman" w:hAnsi="Times New Roman"/>
          <w:sz w:val="18"/>
          <w:szCs w:val="18"/>
          <w:i w:val="1"/>
          <w:iCs w:val="1"/>
          <w:color w:val="auto"/>
        </w:rPr>
        <w:t>. Preservation and Disclosure of Lists.</w:t>
      </w:r>
      <w:r>
        <w:rPr>
          <w:rFonts w:ascii="Times New Roman" w:cs="Times New Roman" w:eastAsia="Times New Roman" w:hAnsi="Times New Roman"/>
          <w:sz w:val="18"/>
          <w:szCs w:val="18"/>
          <w:color w:val="auto"/>
        </w:rPr>
        <w:t xml:space="preserve">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dispose of any list furnished to it as provided in Section 5.01 upon receipt of a new list so furnished.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8" w:right="4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EMEDIES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6.01</w:t>
      </w:r>
      <w:r>
        <w:rPr>
          <w:rFonts w:ascii="Times New Roman" w:cs="Times New Roman" w:eastAsia="Times New Roman" w:hAnsi="Times New Roman"/>
          <w:sz w:val="18"/>
          <w:szCs w:val="18"/>
          <w:i w:val="1"/>
          <w:iCs w:val="1"/>
          <w:color w:val="auto"/>
        </w:rPr>
        <w:t>. Events of Default.</w:t>
      </w:r>
      <w:r>
        <w:rPr>
          <w:rFonts w:ascii="Times New Roman" w:cs="Times New Roman" w:eastAsia="Times New Roman" w:hAnsi="Times New Roman"/>
          <w:sz w:val="18"/>
          <w:szCs w:val="18"/>
          <w:color w:val="auto"/>
        </w:rPr>
        <w:t xml:space="preserve"> Each of the following events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with respect to the Notes:</w:t>
      </w:r>
    </w:p>
    <w:p>
      <w:pPr>
        <w:spacing w:after="0" w:line="121" w:lineRule="exact"/>
        <w:rPr>
          <w:sz w:val="20"/>
          <w:szCs w:val="20"/>
          <w:color w:val="auto"/>
        </w:rPr>
      </w:pPr>
    </w:p>
    <w:p>
      <w:pPr>
        <w:ind w:left="680" w:hanging="244"/>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Special Interest on any Note when due and payable, and the default continues for a period of 30 days;</w:t>
      </w:r>
    </w:p>
    <w:p>
      <w:pPr>
        <w:spacing w:after="0" w:line="225"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Note when due and payable on the Maturity Date, upon Optional Redemption, upon any required repurchase, upon declaration of acceleration or otherwise;</w:t>
      </w:r>
    </w:p>
    <w:p>
      <w:pPr>
        <w:spacing w:after="0" w:line="161" w:lineRule="exact"/>
        <w:rPr>
          <w:rFonts w:ascii="Times New Roman" w:cs="Times New Roman" w:eastAsia="Times New Roman" w:hAnsi="Times New Roman"/>
          <w:sz w:val="18"/>
          <w:szCs w:val="18"/>
          <w:color w:val="auto"/>
        </w:rPr>
      </w:pPr>
    </w:p>
    <w:p>
      <w:pPr>
        <w:ind w:right="520" w:firstLine="436"/>
        <w:spacing w:after="0" w:line="282"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this Indenture upon exercise of a Holder’s conversion right and such failure continues for three Business Days;</w:t>
      </w:r>
    </w:p>
    <w:p>
      <w:pPr>
        <w:spacing w:after="0" w:line="161" w:lineRule="exact"/>
        <w:rPr>
          <w:rFonts w:ascii="Times New Roman" w:cs="Times New Roman" w:eastAsia="Times New Roman" w:hAnsi="Times New Roman"/>
          <w:sz w:val="18"/>
          <w:szCs w:val="18"/>
          <w:color w:val="auto"/>
        </w:rPr>
      </w:pPr>
    </w:p>
    <w:p>
      <w:pPr>
        <w:ind w:right="140" w:firstLine="436"/>
        <w:spacing w:after="0" w:line="261"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give (i) a Fundamental Change Company Notice in accordance with Section 15.02(c) or notice of a Make-Whole Fundamental Change in accordance with Section 14.03(b), in either case when due and such failure continues for two Business Days, or (ii) notice of a specified corporate transaction or event in accordance with Section 14.01(b)(ii) or 14.01(b)(iii) when due and such failure continues for one Business Day;</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under Article 11;</w:t>
      </w:r>
    </w:p>
    <w:p>
      <w:pPr>
        <w:spacing w:after="0" w:line="225" w:lineRule="exact"/>
        <w:rPr>
          <w:rFonts w:ascii="Times New Roman" w:cs="Times New Roman" w:eastAsia="Times New Roman" w:hAnsi="Times New Roman"/>
          <w:sz w:val="18"/>
          <w:szCs w:val="18"/>
          <w:color w:val="auto"/>
        </w:rPr>
      </w:pPr>
    </w:p>
    <w:p>
      <w:pPr>
        <w:ind w:right="200" w:firstLine="436"/>
        <w:spacing w:after="0" w:line="282" w:lineRule="auto"/>
        <w:tabs>
          <w:tab w:leader="none" w:pos="6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60 days after written notice from the Trustee or the Holders of at least 25% in principal amount of the Notes then outstanding has been received by the Company to comply with any of its other agreements contained in the Notes or this Indenture;</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Significant Subsidiary of the Company with respect to any mortgage, agreement or other instrument under which there may be outstanding, or by which there may be secured or evidenced, any indebtedness for money borrowed with a principal amount in excess of $75,000,000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debt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45 days after written notice to the Company by the Trustee or to the Company and the Trustee by Holders of at least 25% in aggregate principal amount of Notes then outstanding in accordance with this Indenture;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8" w:name="page49"/>
    <w:bookmarkEnd w:id="48"/>
    <w:p>
      <w:pPr>
        <w:ind w:firstLine="436"/>
        <w:spacing w:after="0" w:line="256"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18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case or other proceeding shall be commenced against the Company or any Significant Subsidiary seeking liquidation,</w:t>
      </w:r>
    </w:p>
    <w:p>
      <w:pPr>
        <w:spacing w:after="0" w:line="27"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w:t>
      </w:r>
    </w:p>
    <w:p>
      <w:pPr>
        <w:spacing w:after="0" w:line="187"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 Rescission and Annulment</w:t>
      </w:r>
      <w:r>
        <w:rPr>
          <w:rFonts w:ascii="Times New Roman" w:cs="Times New Roman" w:eastAsia="Times New Roman" w:hAnsi="Times New Roman"/>
          <w:sz w:val="18"/>
          <w:szCs w:val="18"/>
          <w:color w:val="auto"/>
        </w:rPr>
        <w:t>. If one or more Events of Default shall have occurred and be continuing, then, and in each and every such case (other than an Event of Default specified in Section 6.01(h) or Section 6.01(i) with respect to the Company), unless the principal of, and accrued and unpaid Special Interest, if any, on,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interest, if any, on, all the outstanding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6.01(h) or</w:t>
      </w:r>
    </w:p>
    <w:p>
      <w:pPr>
        <w:spacing w:after="0" w:line="5"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Section 6.01(i) with respect to the Company occurs and is continuing, 100% of the principal of, and accrued and unpaid interest, if any, on, all Notes shall become and shall automatically be immediately due and payable.</w:t>
      </w:r>
    </w:p>
    <w:p>
      <w:pPr>
        <w:spacing w:after="0" w:line="18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(including, for the avoidance of doubt, the failure to pay interest, if any, due and payable on any Defaulted Amounts), other than the nonpayment of the principal of and accrued and unpaid interest, if any, on Notes that shall have become due solely by such acceleration, shall have been cured or waived pursuant to Section 6.09, then and in every such case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49" w:name="page50"/>
    <w:bookmarkEnd w:id="49"/>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and without limiting the manner in which any Default or Event of Default can be cured: (i) a failure by the Company to send a notice in accordance with this Indenture and any related Default (or Event of Default) shall be deemed cured and shall cease to continue upon delivery of such notice to the applicable recipient; (ii) if the Company fails to make any payment of principal of or interest, if any, on the Notes (or delivery of any other consideration in respect thereof) when due, such Default (or Event of Default) shall be deemed cured and shall cease to continue upon the making of such payment or delivery, as applicable, together with accrued interest, if any, thereon, if applicable; and (iii) a Reporting Event of Default shall be deemed cured and shall cease to continue at such time as the Company files the applicable report or reports that gave rise to such Reporting Event of Default (it being understood that any report that the Company files with the Commission through the EDGAR system (or any successor thereto) will be deemed to be filed with the Trustee at the time such report is so filed via the EDGAR system (or such successor)); provided that, for the avoidance of doubt, (x) the cure of any Event of Default shall not invalidate any acceleration of the Notes on account of such Event of Default that was properly effected prior to such time as such Event of Default was cured and (y) the cure of any Reporting Event of Default shall not affect the Company’s obligation to pay any Special Interest that accrues prior to the time of such cure. In addition, if an Event of Default is cured or waived before any related notice of acceleration is delivered, such Event of Default shall be deemed cured and the Notes shall not be subject to acceleration on account of such Event of Default.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Section 6.03. </w:t>
      </w:r>
      <w:r>
        <w:rPr>
          <w:rFonts w:ascii="Times New Roman" w:cs="Times New Roman" w:eastAsia="Times New Roman" w:hAnsi="Times New Roman"/>
          <w:sz w:val="17"/>
          <w:szCs w:val="17"/>
          <w:i w:val="1"/>
          <w:iCs w:val="1"/>
          <w:color w:val="auto"/>
        </w:rPr>
        <w:t>Special Interest</w:t>
      </w:r>
      <w:r>
        <w:rPr>
          <w:rFonts w:ascii="Times New Roman" w:cs="Times New Roman" w:eastAsia="Times New Roman" w:hAnsi="Times New Roman"/>
          <w:sz w:val="17"/>
          <w:szCs w:val="17"/>
          <w:color w:val="auto"/>
        </w:rPr>
        <w:t>. Notwithstanding anything in this Indenture or in the Notes to the contrary, to the extent the Company elects, the sole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remedy for an Event of Default relating to the Company’s failure to comply with its obligations as set forth in Section 4.06(b) (such default,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shall, for the first 365 days after the occurrence of such an Event of Default, consist exclusively of the right to receive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Interest on the Notes at a rate equal to (x) 0.25% per annum of the principal amount of the Notes outstanding for each day that such Event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is continuing during the first 180 days after the occurrence of such Event of Default and (y) 0.50% per annum of the principal amount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outstanding from the 181st day to, and including, the 365th day following the occurrence of such Event of Default, as long as such Event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is continuing. Subject to the last paragraph of this Section 6.03, Special Interest payable pursuant to this Section 6.03 shall be in addition to,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lieu of, any Special Interest payable pursuant to Section 4.06(d) or Section 4.06(e). If the Company so elects, such Special Interest shall be payable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in Section 2.03(b). On the 366th day after such Event of Default (if the Event of Default relating to the Company’s failure to comply with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as set forth in Section 4.06(b) is not cured or waived prior to such 366th day), the Notes shall be immediately subject to acceleration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in Section 6.02. The provisions of this paragraph will not affect the rights of Holders in the event of the occurrence of any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Company’s failure to comply with its obligations as set forth in Section 4.06(b). In the event the Company does not elect to pay Special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following an Event of Default in accordance with this Section 6.03 or the Company elected to make such payment but does not pay the Special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when due, the Notes shall be immediately subject to acceleration as provided in Section 6.02 as a result of the Event of Default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6.01(f) if such Event of Default is then continuing.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50" w:name="page51"/>
    <w:bookmarkEnd w:id="50"/>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to elect to pay Special Interest as the sole remedy during the first 365 days after the occurrence of any Event of Default relating to the Company’s failure to comply with its obligations as set forth in Section 4.06(b) in accordance with the two immediately preceding paragraphs, the Company must notify all Holders of the Notes, the Trustee and the Paying Agent (if other than the Trustee) in writing of such election prior to the beginning of such 365-day period. Upon the failure to timely give such notice, the Notes shall be immediately subject to acceleration as provided in Section 6.02.</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In no event shall Special Interest payable at the Company’s election for failure to comply with its obligations as set forth in Section 4.06(b) as set forth in this Section 6.03, together with any Special Interest that may accrue as a result of the Company’s failure to timely file any document or report that the Company is required to file with the Commission pursuant to Section 13 or 15(d) of the Exchange Act, as applicable (after giving effect to all applicable grace periods thereunder and other than current reports on Form 8-K), pursuant to Section 4.06(d), accrue at a rate in excess of 0.50% per annum pursuant to this Indenture, regardless of the number of events or circumstances giving rise to the requirement to pay such Special Interest.</w:t>
      </w:r>
    </w:p>
    <w:p>
      <w:pPr>
        <w:spacing w:after="0" w:line="18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6.04</w:t>
      </w:r>
      <w:r>
        <w:rPr>
          <w:rFonts w:ascii="Times New Roman" w:cs="Times New Roman" w:eastAsia="Times New Roman" w:hAnsi="Times New Roman"/>
          <w:sz w:val="18"/>
          <w:szCs w:val="18"/>
          <w:i w:val="1"/>
          <w:iCs w:val="1"/>
          <w:color w:val="auto"/>
        </w:rPr>
        <w:t>. Payments of Notes on Default; Suit Therefor.</w:t>
      </w:r>
      <w:r>
        <w:rPr>
          <w:rFonts w:ascii="Times New Roman" w:cs="Times New Roman" w:eastAsia="Times New Roman" w:hAnsi="Times New Roman"/>
          <w:sz w:val="18"/>
          <w:szCs w:val="18"/>
          <w:color w:val="auto"/>
        </w:rPr>
        <w:t xml:space="preserve">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no interest accruing on any overdue principal or Special Interest unless Special Interest was payable pursuant to this Indenture on the required payment date, in which case such overdue amounts shall accrue interest per annum at the then-applicable Special Interest rate borne by the Notes, subject to the enforceability thereof under applicable law, from, and including, such required payment date)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87"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51" w:name="page52"/>
    <w:bookmarkEnd w:id="51"/>
    <w:p>
      <w:pPr>
        <w:ind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expenses,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79"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76"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64"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party to any such proceedings.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40"/>
          </w:cols>
          <w:pgMar w:left="440" w:top="270" w:right="519" w:bottom="1440" w:gutter="0" w:footer="0" w:header="0"/>
        </w:sectPr>
      </w:pPr>
    </w:p>
    <w:bookmarkStart w:id="52" w:name="page53"/>
    <w:bookmarkEnd w:id="52"/>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81"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Section 6.05</w:t>
      </w:r>
      <w:r>
        <w:rPr>
          <w:rFonts w:ascii="Times New Roman" w:cs="Times New Roman" w:eastAsia="Times New Roman" w:hAnsi="Times New Roman"/>
          <w:sz w:val="18"/>
          <w:szCs w:val="18"/>
          <w:i w:val="1"/>
          <w:iCs w:val="1"/>
          <w:color w:val="auto"/>
        </w:rPr>
        <w:t>. Application of Monies Collected by Trustee.</w:t>
      </w:r>
      <w:r>
        <w:rPr>
          <w:rFonts w:ascii="Times New Roman" w:cs="Times New Roman" w:eastAsia="Times New Roman" w:hAnsi="Times New Roman"/>
          <w:sz w:val="18"/>
          <w:szCs w:val="18"/>
          <w:color w:val="auto"/>
        </w:rPr>
        <w:t xml:space="preserve"> Any monies or property collected by the Trustee pursuant to this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to the payment of all amounts due the Trustee in all of its capacities under this Indenture;</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in case the principal of the outstanding Notes shall not have become due and be unpaid, to the payment of interest, if any, on,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due upon conversion of, the Notes in default in the order of the date due of the payments of such interest and cash due upon conversion, as the case may be, with interest (to the extent that such interest is payable on such Notes and has been collected by the Trustee) upon such overdue payments at the rate of Special Interest, if any, then payable on such Notes, such payments to be made ratably to the Persons entitled thereto;</w:t>
      </w:r>
    </w:p>
    <w:p>
      <w:pPr>
        <w:spacing w:after="0" w:line="176"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Third</w:t>
      </w:r>
      <w:r>
        <w:rPr>
          <w:rFonts w:ascii="Times New Roman" w:cs="Times New Roman" w:eastAsia="Times New Roman" w:hAnsi="Times New Roman"/>
          <w:sz w:val="17"/>
          <w:szCs w:val="17"/>
          <w:color w:val="auto"/>
        </w:rPr>
        <w:t>, in case the principal of the outstanding Notes shall have become due, by declaration or otherwise, and be unpaid, to the payment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whole amount (including, if applicable, the payment of the Redemption Price and the Fundamental Change Repurchase Price and any cash due upon conversion) then owing and unpaid upon the Notes for principal and interest, if any, with interest (to the extent any Special Interest is then payable on the Notes) on the overdue principal and, to the extent that such interest has been collected by the Trustee, upon overdue installments of interest at the rate of Special Interest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conversion) and any accrued and unpaid interest; and</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to the payment of the remainder, if any, to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53" w:name="page54"/>
    <w:bookmarkEnd w:id="53"/>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6.06</w:t>
      </w:r>
      <w:r>
        <w:rPr>
          <w:rFonts w:ascii="Times New Roman" w:cs="Times New Roman" w:eastAsia="Times New Roman" w:hAnsi="Times New Roman"/>
          <w:sz w:val="18"/>
          <w:szCs w:val="18"/>
          <w:i w:val="1"/>
          <w:iCs w:val="1"/>
          <w:color w:val="auto"/>
        </w:rPr>
        <w:t>. Proceedings by Holders.</w:t>
      </w:r>
      <w:r>
        <w:rPr>
          <w:rFonts w:ascii="Times New Roman" w:cs="Times New Roman" w:eastAsia="Times New Roman" w:hAnsi="Times New Roman"/>
          <w:sz w:val="18"/>
          <w:szCs w:val="18"/>
          <w:color w:val="auto"/>
        </w:rPr>
        <w:t xml:space="preserve"> Except to enforce the right to receive payment of principal (including, if applicable, the Redemption Price and the Fundamental Change Repurchase Price) or interest, if any,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77" w:lineRule="exact"/>
        <w:rPr>
          <w:sz w:val="20"/>
          <w:szCs w:val="20"/>
          <w:color w:val="auto"/>
        </w:rPr>
      </w:pPr>
    </w:p>
    <w:p>
      <w:pPr>
        <w:ind w:left="684" w:hanging="244"/>
        <w:spacing w:after="0"/>
        <w:tabs>
          <w:tab w:leader="none" w:pos="6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previously shall have given to the Trustee written notice of an Event of Default and of the continuance thereof, as herein provided;</w:t>
      </w:r>
    </w:p>
    <w:p>
      <w:pPr>
        <w:spacing w:after="0" w:line="225" w:lineRule="exact"/>
        <w:rPr>
          <w:rFonts w:ascii="Times New Roman" w:cs="Times New Roman" w:eastAsia="Times New Roman" w:hAnsi="Times New Roman"/>
          <w:sz w:val="18"/>
          <w:szCs w:val="18"/>
          <w:color w:val="auto"/>
        </w:rPr>
      </w:pPr>
    </w:p>
    <w:p>
      <w:pPr>
        <w:ind w:left="4" w:right="520" w:firstLine="436"/>
        <w:spacing w:after="0" w:line="282" w:lineRule="auto"/>
        <w:tabs>
          <w:tab w:leader="none" w:pos="6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161" w:lineRule="exact"/>
        <w:rPr>
          <w:rFonts w:ascii="Times New Roman" w:cs="Times New Roman" w:eastAsia="Times New Roman" w:hAnsi="Times New Roman"/>
          <w:sz w:val="18"/>
          <w:szCs w:val="18"/>
          <w:color w:val="auto"/>
        </w:rPr>
      </w:pPr>
    </w:p>
    <w:p>
      <w:pPr>
        <w:ind w:left="4" w:right="520" w:firstLine="436"/>
        <w:spacing w:after="0" w:line="282" w:lineRule="auto"/>
        <w:tabs>
          <w:tab w:leader="none" w:pos="6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shall have offered to the Trustee such security or indemnity reasonably satisfactory to it against any loss, claim, liability or expense to be incurred therein or thereby;</w:t>
      </w:r>
    </w:p>
    <w:p>
      <w:pPr>
        <w:spacing w:after="0" w:line="161" w:lineRule="exact"/>
        <w:rPr>
          <w:rFonts w:ascii="Times New Roman" w:cs="Times New Roman" w:eastAsia="Times New Roman" w:hAnsi="Times New Roman"/>
          <w:sz w:val="18"/>
          <w:szCs w:val="18"/>
          <w:color w:val="auto"/>
        </w:rPr>
      </w:pPr>
    </w:p>
    <w:p>
      <w:pPr>
        <w:ind w:left="4" w:right="300" w:firstLine="436"/>
        <w:spacing w:after="0" w:line="282" w:lineRule="auto"/>
        <w:tabs>
          <w:tab w:leader="none" w:pos="6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or provision, of such security or indemnity, shall have neglected or refused to institute any such action, suit or proceeding; and</w:t>
      </w:r>
    </w:p>
    <w:p>
      <w:pPr>
        <w:spacing w:after="0" w:line="161"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6.09, 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88" w:lineRule="exact"/>
        <w:rPr>
          <w:sz w:val="20"/>
          <w:szCs w:val="20"/>
          <w:color w:val="auto"/>
        </w:rPr>
      </w:pPr>
    </w:p>
    <w:p>
      <w:pPr>
        <w:jc w:val="both"/>
        <w:ind w:left="4" w:right="460" w:firstLine="440"/>
        <w:spacing w:after="0" w:line="276" w:lineRule="auto"/>
        <w:rPr>
          <w:sz w:val="20"/>
          <w:szCs w:val="20"/>
          <w:color w:val="auto"/>
        </w:rPr>
      </w:pPr>
      <w:r>
        <w:rPr>
          <w:rFonts w:ascii="Times New Roman" w:cs="Times New Roman" w:eastAsia="Times New Roman" w:hAnsi="Times New Roman"/>
          <w:sz w:val="17"/>
          <w:szCs w:val="17"/>
          <w:color w:val="auto"/>
        </w:rPr>
        <w:t>Notwithstanding any other provision of this Indenture and any provision of any Note, each Holder shall have the right to receive payment or delivery, as the case may be, of (x) the principal (including the Redemption Price and the Fundamental Change Repurchase Price, if applicable) of,</w:t>
      </w:r>
    </w:p>
    <w:p>
      <w:pPr>
        <w:spacing w:after="0" w:line="1" w:lineRule="exact"/>
        <w:rPr>
          <w:sz w:val="20"/>
          <w:szCs w:val="20"/>
          <w:color w:val="auto"/>
        </w:rPr>
      </w:pPr>
    </w:p>
    <w:p>
      <w:pPr>
        <w:ind w:left="4" w:right="60" w:hanging="4"/>
        <w:spacing w:after="0" w:line="260" w:lineRule="auto"/>
        <w:tabs>
          <w:tab w:leader="none" w:pos="2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4"/>
          </w:cols>
          <w:pgMar w:left="436" w:top="268" w:right="439" w:bottom="1440" w:gutter="0" w:footer="0" w:header="0"/>
        </w:sectPr>
      </w:pPr>
    </w:p>
    <w:bookmarkStart w:id="54" w:name="page55"/>
    <w:bookmarkEnd w:id="54"/>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6.07</w:t>
      </w:r>
      <w:r>
        <w:rPr>
          <w:rFonts w:ascii="Times New Roman" w:cs="Times New Roman" w:eastAsia="Times New Roman" w:hAnsi="Times New Roman"/>
          <w:sz w:val="18"/>
          <w:szCs w:val="18"/>
          <w:i w:val="1"/>
          <w:iCs w:val="1"/>
          <w:color w:val="auto"/>
        </w:rPr>
        <w:t>. Proceedings by Trustee.</w:t>
      </w:r>
      <w:r>
        <w:rPr>
          <w:rFonts w:ascii="Times New Roman" w:cs="Times New Roman" w:eastAsia="Times New Roman" w:hAnsi="Times New Roman"/>
          <w:sz w:val="18"/>
          <w:szCs w:val="18"/>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3"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Section 6.08</w:t>
      </w:r>
      <w:r>
        <w:rPr>
          <w:rFonts w:ascii="Times New Roman" w:cs="Times New Roman" w:eastAsia="Times New Roman" w:hAnsi="Times New Roman"/>
          <w:sz w:val="18"/>
          <w:szCs w:val="18"/>
          <w:i w:val="1"/>
          <w:iCs w:val="1"/>
          <w:color w:val="auto"/>
        </w:rPr>
        <w:t>. Remedies Cumulative and Continuing.</w:t>
      </w:r>
      <w:r>
        <w:rPr>
          <w:rFonts w:ascii="Times New Roman" w:cs="Times New Roman" w:eastAsia="Times New Roman" w:hAnsi="Times New Roman"/>
          <w:sz w:val="18"/>
          <w:szCs w:val="18"/>
          <w:color w:val="auto"/>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85" w:lineRule="exact"/>
        <w:rPr>
          <w:sz w:val="20"/>
          <w:szCs w:val="20"/>
          <w:color w:val="auto"/>
        </w:rPr>
      </w:pPr>
    </w:p>
    <w:p>
      <w:pPr>
        <w:ind w:left="4" w:right="20" w:firstLine="440"/>
        <w:spacing w:after="0" w:line="267" w:lineRule="auto"/>
        <w:rPr>
          <w:sz w:val="20"/>
          <w:szCs w:val="20"/>
          <w:color w:val="auto"/>
        </w:rPr>
      </w:pPr>
      <w:r>
        <w:rPr>
          <w:rFonts w:ascii="Times New Roman" w:cs="Times New Roman" w:eastAsia="Times New Roman" w:hAnsi="Times New Roman"/>
          <w:sz w:val="17"/>
          <w:szCs w:val="17"/>
          <w:color w:val="auto"/>
        </w:rPr>
        <w:t xml:space="preserve">Section 6.09. </w:t>
      </w:r>
      <w:r>
        <w:rPr>
          <w:rFonts w:ascii="Times New Roman" w:cs="Times New Roman" w:eastAsia="Times New Roman" w:hAnsi="Times New Roman"/>
          <w:sz w:val="17"/>
          <w:szCs w:val="17"/>
          <w:i w:val="1"/>
          <w:iCs w:val="1"/>
          <w:color w:val="auto"/>
        </w:rPr>
        <w:t>Direction of Proceedings and Waiver of Defaults by Majority of Holders.</w:t>
      </w:r>
      <w:r>
        <w:rPr>
          <w:rFonts w:ascii="Times New Roman" w:cs="Times New Roman" w:eastAsia="Times New Roman" w:hAnsi="Times New Roman"/>
          <w:sz w:val="17"/>
          <w:szCs w:val="17"/>
          <w:color w:val="auto"/>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(a) such direction shall not be in conflict with any rule of law or with this Indenture, and (b) the Trustee may take any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action deemed proper by the Trustee and that is not inconsistent with such direction. The Trustee may refuse to follow any direction that it determines is unduly prejudicial to the rights of any other Holder (it being understood that the Trustee shall not have an affirmative duty to ascertain whether or not any such direction is unduly prejudicial to any other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(including, for the avoidance of doubt, any acceleration as a result of such Default or Event of Default) except any continuing defaults relating to (i) a default in the payment of accrued and unpaid interest, if any, on, or the principal (including any Redemption Price and any Fundamental Change Repurchase Price) of, the Notes when due that has not been cured pursuant to the provisions of Section 6.01, (ii) a failure by the Company to pay or deliver, as the case may be, the consideration due upon conversion of the Notes or</w:t>
      </w:r>
    </w:p>
    <w:p>
      <w:pPr>
        <w:spacing w:after="0" w:line="3" w:lineRule="exact"/>
        <w:rPr>
          <w:sz w:val="20"/>
          <w:szCs w:val="20"/>
          <w:color w:val="auto"/>
        </w:rPr>
      </w:pPr>
    </w:p>
    <w:p>
      <w:pPr>
        <w:ind w:left="4" w:hanging="4"/>
        <w:spacing w:after="0" w:line="252" w:lineRule="auto"/>
        <w:tabs>
          <w:tab w:leader="none" w:pos="31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68" w:right="459" w:bottom="1440" w:gutter="0" w:footer="0" w:header="0"/>
        </w:sectPr>
      </w:pPr>
    </w:p>
    <w:bookmarkStart w:id="55" w:name="page56"/>
    <w:bookmarkEnd w:id="55"/>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6.10. </w:t>
      </w:r>
      <w:r>
        <w:rPr>
          <w:rFonts w:ascii="Times New Roman" w:cs="Times New Roman" w:eastAsia="Times New Roman" w:hAnsi="Times New Roman"/>
          <w:sz w:val="18"/>
          <w:szCs w:val="18"/>
          <w:i w:val="1"/>
          <w:iCs w:val="1"/>
          <w:color w:val="auto"/>
        </w:rPr>
        <w:t>Notice of Defaults.</w:t>
      </w:r>
      <w:r>
        <w:rPr>
          <w:rFonts w:ascii="Times New Roman" w:cs="Times New Roman" w:eastAsia="Times New Roman" w:hAnsi="Times New Roman"/>
          <w:sz w:val="18"/>
          <w:szCs w:val="18"/>
          <w:color w:val="auto"/>
        </w:rPr>
        <w:t xml:space="preserve"> The Trustee shall, within 90 days after a Responsible Officer obtains actual knowledge of the occurrence of a Default that is then continuing, deliver to all Holders notice of all Defaults actually known to a Responsible Officer, unless such Defaults shall have been cured or waived before the giving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in the case of a Default in the payment of the principal of (including the Redemption Price and the Fundamental Change Repurchase Price, if applicable), or accrued and unpaid Special Interest on, any of the Notes or a Default in the payment or delivery of the consideration due upon conversion, the Trustee shall be protected in withholding such notice if and so long as it determines that the withholding of such notice is in the interests of the Holders.</w:t>
      </w:r>
    </w:p>
    <w:p>
      <w:pPr>
        <w:spacing w:after="0" w:line="18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Undertaking to Pay Costs.</w:t>
      </w:r>
      <w:r>
        <w:rPr>
          <w:rFonts w:ascii="Times New Roman" w:cs="Times New Roman" w:eastAsia="Times New Roman" w:hAnsi="Times New Roman"/>
          <w:sz w:val="18"/>
          <w:szCs w:val="18"/>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this</w:t>
      </w:r>
    </w:p>
    <w:p>
      <w:pPr>
        <w:spacing w:after="0" w:line="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p>
      <w:pPr>
        <w:spacing w:after="0" w:line="20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Section 7.01</w:t>
      </w:r>
      <w:r>
        <w:rPr>
          <w:rFonts w:ascii="Times New Roman" w:cs="Times New Roman" w:eastAsia="Times New Roman" w:hAnsi="Times New Roman"/>
          <w:sz w:val="18"/>
          <w:szCs w:val="18"/>
          <w:i w:val="1"/>
          <w:iCs w:val="1"/>
          <w:color w:val="auto"/>
        </w:rPr>
        <w:t>. Duties and Responsibilities of Trustee.</w:t>
      </w:r>
      <w:r>
        <w:rPr>
          <w:rFonts w:ascii="Times New Roman" w:cs="Times New Roman" w:eastAsia="Times New Roman" w:hAnsi="Times New Roman"/>
          <w:sz w:val="18"/>
          <w:szCs w:val="18"/>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claim, liability or expense that might be incurred by it in compliance with such request or direction.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68" w:right="459" w:bottom="1440" w:gutter="0" w:footer="0" w:header="0"/>
        </w:sectPr>
      </w:pPr>
    </w:p>
    <w:bookmarkStart w:id="56" w:name="page57"/>
    <w:bookmarkEnd w:id="5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provision of this Indenture shall be construed to relieve the Trustee from liability for its own grossly negligent action, its own grossly negligent failure to act or its own willful misconduct, except that:</w:t>
      </w:r>
    </w:p>
    <w:p>
      <w:pPr>
        <w:spacing w:after="0" w:line="54" w:lineRule="exact"/>
        <w:rPr>
          <w:sz w:val="20"/>
          <w:szCs w:val="20"/>
          <w:color w:val="auto"/>
        </w:rPr>
      </w:pPr>
    </w:p>
    <w:p>
      <w:pPr>
        <w:ind w:left="680" w:hanging="244"/>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and after the curing or waiving of all Events of Default that may have occurred:</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07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58" w:lineRule="auto"/>
        <w:tabs>
          <w:tab w:leader="none" w:pos="112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and willful misconduct on the part of the Trustee, the Trustee may, as to the truth of the statements and the correctness of the opinions expressed therein, conclusively rely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83"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61" w:lineRule="exact"/>
        <w:rPr>
          <w:rFonts w:ascii="Times New Roman" w:cs="Times New Roman" w:eastAsia="Times New Roman" w:hAnsi="Times New Roman"/>
          <w:sz w:val="18"/>
          <w:szCs w:val="18"/>
          <w:color w:val="auto"/>
        </w:rPr>
      </w:pPr>
    </w:p>
    <w:p>
      <w:pPr>
        <w:ind w:right="100" w:firstLine="436"/>
        <w:spacing w:after="0" w:line="261"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79"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7" w:name="page58"/>
    <w:bookmarkEnd w:id="57"/>
    <w:p>
      <w:pPr>
        <w:jc w:val="both"/>
        <w:ind w:right="200" w:firstLine="436"/>
        <w:spacing w:after="0" w:line="266" w:lineRule="auto"/>
        <w:tabs>
          <w:tab w:leader="none" w:pos="6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execution of the trusts and powers under this Indenture;</w:t>
      </w:r>
    </w:p>
    <w:p>
      <w:pPr>
        <w:spacing w:after="0" w:line="22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fees, taxes or other charges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183" w:lineRule="exact"/>
        <w:rPr>
          <w:rFonts w:ascii="Times New Roman" w:cs="Times New Roman" w:eastAsia="Times New Roman" w:hAnsi="Times New Roman"/>
          <w:sz w:val="18"/>
          <w:szCs w:val="18"/>
          <w:color w:val="auto"/>
        </w:rPr>
      </w:pPr>
    </w:p>
    <w:p>
      <w:pPr>
        <w:jc w:val="both"/>
        <w:ind w:right="280" w:firstLine="436"/>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w:t>
      </w:r>
    </w:p>
    <w:p>
      <w:pPr>
        <w:spacing w:after="0" w:line="176" w:lineRule="exact"/>
        <w:rPr>
          <w:sz w:val="20"/>
          <w:szCs w:val="20"/>
          <w:color w:val="auto"/>
        </w:rPr>
      </w:pPr>
    </w:p>
    <w:p>
      <w:pPr>
        <w:ind w:right="220" w:firstLine="440"/>
        <w:spacing w:after="0" w:line="289" w:lineRule="auto"/>
        <w:rPr>
          <w:sz w:val="20"/>
          <w:szCs w:val="20"/>
          <w:color w:val="auto"/>
        </w:rPr>
      </w:pPr>
      <w:r>
        <w:rPr>
          <w:rFonts w:ascii="Times New Roman" w:cs="Times New Roman" w:eastAsia="Times New Roman" w:hAnsi="Times New Roman"/>
          <w:sz w:val="17"/>
          <w:szCs w:val="17"/>
          <w:color w:val="auto"/>
        </w:rPr>
        <w:t>None of the provisions contained in this Indenture shall require the Trustee to expend or risk its own funds or otherwise incur personal financial liability in the performance of any of its duties or in the exercise of any of its rights or powers. Prior to taking any action under this Indenture, the Trustee shall receive indemnification or security satisfactory to it against any loss, liability or expense caused by taking or not taking such action.</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7.02</w:t>
      </w:r>
      <w:r>
        <w:rPr>
          <w:rFonts w:ascii="Times New Roman" w:cs="Times New Roman" w:eastAsia="Times New Roman" w:hAnsi="Times New Roman"/>
          <w:sz w:val="18"/>
          <w:szCs w:val="18"/>
          <w:i w:val="1"/>
          <w:iCs w:val="1"/>
          <w:color w:val="auto"/>
        </w:rPr>
        <w:t>. Reliance on Documents, Opinions, Etc..</w:t>
      </w:r>
      <w:r>
        <w:rPr>
          <w:rFonts w:ascii="Times New Roman" w:cs="Times New Roman" w:eastAsia="Times New Roman" w:hAnsi="Times New Roman"/>
          <w:sz w:val="18"/>
          <w:szCs w:val="18"/>
          <w:color w:val="auto"/>
        </w:rPr>
        <w:t xml:space="preserve"> Except as otherwise provided in Section 7.01:</w:t>
      </w:r>
    </w:p>
    <w:p>
      <w:pPr>
        <w:spacing w:after="0" w:line="119" w:lineRule="exact"/>
        <w:rPr>
          <w:sz w:val="20"/>
          <w:szCs w:val="20"/>
          <w:color w:val="auto"/>
        </w:rPr>
      </w:pPr>
    </w:p>
    <w:p>
      <w:pPr>
        <w:ind w:right="60" w:firstLine="436"/>
        <w:spacing w:after="0" w:line="266"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58" w:name="page59"/>
    <w:bookmarkEnd w:id="58"/>
    <w:p>
      <w:pPr>
        <w:ind w:right="100" w:firstLine="436"/>
        <w:spacing w:after="0" w:line="266"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75" w:lineRule="exact"/>
        <w:rPr>
          <w:rFonts w:ascii="Times New Roman" w:cs="Times New Roman" w:eastAsia="Times New Roman" w:hAnsi="Times New Roman"/>
          <w:sz w:val="18"/>
          <w:szCs w:val="18"/>
          <w:color w:val="auto"/>
        </w:rPr>
      </w:pPr>
    </w:p>
    <w:p>
      <w:pPr>
        <w:ind w:right="160" w:firstLine="436"/>
        <w:spacing w:after="0" w:line="258"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8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custodians, nominees or attorneys and the Trustee shall not be responsible for any misconduct or negligence on the part of any agent, custodian, nominee or attorney appointed by it with due care hereunder;</w:t>
      </w:r>
    </w:p>
    <w:p>
      <w:pPr>
        <w:spacing w:after="0" w:line="18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25"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 and</w:t>
      </w:r>
    </w:p>
    <w:p>
      <w:pPr>
        <w:spacing w:after="0" w:line="175" w:lineRule="exact"/>
        <w:rPr>
          <w:rFonts w:ascii="Times New Roman" w:cs="Times New Roman" w:eastAsia="Times New Roman" w:hAnsi="Times New Roman"/>
          <w:sz w:val="18"/>
          <w:szCs w:val="18"/>
          <w:color w:val="auto"/>
        </w:rPr>
      </w:pPr>
    </w:p>
    <w:p>
      <w:pPr>
        <w:ind w:right="120" w:firstLine="436"/>
        <w:spacing w:after="0" w:line="258"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of its directors, officers, employees, agents, or affiliates shall be responsible for nor have any duty to monitor the performance or any action of the Company, or its directors, members, officers, agents, affiliates, or employees, nor shall they have any liability in connection with the malfeasance or nonfeasance by such parties.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w:t>
      </w:r>
    </w:p>
    <w:p>
      <w:pPr>
        <w:spacing w:after="0" w:line="183"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received by a Responsible Officer of the Trustee from the Company or from any Holder.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70" w:right="439" w:bottom="1440" w:gutter="0" w:footer="0" w:header="0"/>
        </w:sectPr>
      </w:pPr>
    </w:p>
    <w:bookmarkStart w:id="59" w:name="page60"/>
    <w:bookmarkEnd w:id="59"/>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7.03</w:t>
      </w:r>
      <w:r>
        <w:rPr>
          <w:rFonts w:ascii="Times New Roman" w:cs="Times New Roman" w:eastAsia="Times New Roman" w:hAnsi="Times New Roman"/>
          <w:sz w:val="18"/>
          <w:szCs w:val="18"/>
          <w:i w:val="1"/>
          <w:iCs w:val="1"/>
          <w:color w:val="auto"/>
        </w:rPr>
        <w:t>. No Responsibility for Recitals, Etc.</w:t>
      </w:r>
      <w:r>
        <w:rPr>
          <w:rFonts w:ascii="Times New Roman" w:cs="Times New Roman" w:eastAsia="Times New Roman" w:hAnsi="Times New Roman"/>
          <w:sz w:val="18"/>
          <w:szCs w:val="18"/>
          <w:color w:val="auto"/>
        </w:rPr>
        <w:t>.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spacing w:after="0" w:line="183" w:lineRule="exact"/>
        <w:rPr>
          <w:sz w:val="20"/>
          <w:szCs w:val="20"/>
          <w:color w:val="auto"/>
        </w:rPr>
      </w:pPr>
    </w:p>
    <w:p>
      <w:pPr>
        <w:jc w:val="both"/>
        <w:ind w:right="340" w:firstLine="440"/>
        <w:spacing w:after="0" w:line="261" w:lineRule="auto"/>
        <w:rPr>
          <w:sz w:val="20"/>
          <w:szCs w:val="20"/>
          <w:color w:val="auto"/>
        </w:rPr>
      </w:pPr>
      <w:r>
        <w:rPr>
          <w:rFonts w:ascii="Times New Roman" w:cs="Times New Roman" w:eastAsia="Times New Roman" w:hAnsi="Times New Roman"/>
          <w:sz w:val="18"/>
          <w:szCs w:val="18"/>
          <w:color w:val="auto"/>
        </w:rPr>
        <w:t>Section 7.04</w:t>
      </w:r>
      <w:r>
        <w:rPr>
          <w:rFonts w:ascii="Times New Roman" w:cs="Times New Roman" w:eastAsia="Times New Roman" w:hAnsi="Times New Roman"/>
          <w:sz w:val="18"/>
          <w:szCs w:val="18"/>
          <w:i w:val="1"/>
          <w:iCs w:val="1"/>
          <w:color w:val="auto"/>
        </w:rPr>
        <w:t>. Trustee, Paying Agents, Conversion Agents, Bid Solicitation Agent or Note Registrar May Own Notes.</w:t>
      </w:r>
      <w:r>
        <w:rPr>
          <w:rFonts w:ascii="Times New Roman" w:cs="Times New Roman" w:eastAsia="Times New Roman" w:hAnsi="Times New Roman"/>
          <w:sz w:val="18"/>
          <w:szCs w:val="18"/>
          <w:color w:val="auto"/>
        </w:rPr>
        <w:t xml:space="preserve"> The Trustee, any Paying Agent, any Conversion Agent, Bid Solicitation Agent (if other than the Company or any Affiliate thereof) or Note Registrar, in its individual or any other capacity, may become the owner or pledgee of Notes with the same rights it would have if it were not the Trustee, Paying Agent, Conversion Agent, Bid Solicitation Agent or Note Registrar.</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7.05</w:t>
      </w:r>
      <w:r>
        <w:rPr>
          <w:rFonts w:ascii="Times New Roman" w:cs="Times New Roman" w:eastAsia="Times New Roman" w:hAnsi="Times New Roman"/>
          <w:sz w:val="18"/>
          <w:szCs w:val="18"/>
          <w:i w:val="1"/>
          <w:iCs w:val="1"/>
          <w:color w:val="auto"/>
        </w:rPr>
        <w:t>. Monies and Shares of Class A Common Stock to Be Held in Trust.</w:t>
      </w:r>
      <w:r>
        <w:rPr>
          <w:rFonts w:ascii="Times New Roman" w:cs="Times New Roman" w:eastAsia="Times New Roman" w:hAnsi="Times New Roman"/>
          <w:sz w:val="18"/>
          <w:szCs w:val="18"/>
          <w:color w:val="auto"/>
        </w:rPr>
        <w:t xml:space="preserve"> All monies and shares of Class A Common Stock received by the Trustee shall, until used or applied as herein provided, be held in trust for the purposes for which they were received. Money and shares of Class A Common Stock held by the Trustee in trust hereunder need not be segregated from other funds except to the extent required by law. The Trustee shall be under no liability for interest on any money or shares of Class A Common Stock received by it hereunder except as may be agreed from time to time by the Company and the Trustee.</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Section 7.06</w:t>
      </w:r>
      <w:r>
        <w:rPr>
          <w:rFonts w:ascii="Times New Roman" w:cs="Times New Roman" w:eastAsia="Times New Roman" w:hAnsi="Times New Roman"/>
          <w:sz w:val="18"/>
          <w:szCs w:val="18"/>
          <w:i w:val="1"/>
          <w:iCs w:val="1"/>
          <w:color w:val="auto"/>
        </w:rPr>
        <w:t>. Compensation and Expenses of Trustee.</w:t>
      </w:r>
      <w:r>
        <w:rPr>
          <w:rFonts w:ascii="Times New Roman" w:cs="Times New Roman" w:eastAsia="Times New Roman" w:hAnsi="Times New Roman"/>
          <w:sz w:val="18"/>
          <w:szCs w:val="18"/>
          <w:color w:val="auto"/>
        </w:rPr>
        <w:t xml:space="preserve"> The Company covenants and agrees to pay to the Trustee from time to time and the Trustee shall receive such compensation for all services rendered by it hereunder in any capacity (which shall not be limited by any provision of law in regard to the compensation of a trustee of an express trust) as previously and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The Company also covenants to indemnify the Trustee or any predecessor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on the part of the Trustee, its officers, directors, agents or employees, or such agent or authenticating agent, as the case may be, and arising out of or in connection with the acceptance or administration of this Indenture or in any other capacity hereunder and the enforcement of this Indenture (including this Section 7.06), including the costs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60"/>
          </w:cols>
          <w:pgMar w:left="440" w:top="268" w:right="499" w:bottom="1440" w:gutter="0" w:footer="0" w:header="0"/>
        </w:sectPr>
      </w:pPr>
    </w:p>
    <w:bookmarkStart w:id="60" w:name="page61"/>
    <w:bookmarkEnd w:id="6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6.05, funds held in trust herewith for the benefit of the Holders of particular Notes, and, for the avoidance of doubt, such claim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188"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74"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Section 7.07</w:t>
      </w:r>
      <w:r>
        <w:rPr>
          <w:rFonts w:ascii="Times New Roman" w:cs="Times New Roman" w:eastAsia="Times New Roman" w:hAnsi="Times New Roman"/>
          <w:sz w:val="18"/>
          <w:szCs w:val="18"/>
          <w:i w:val="1"/>
          <w:iCs w:val="1"/>
          <w:color w:val="auto"/>
        </w:rPr>
        <w:t>. Officer’s Certificate as Evidence.</w:t>
      </w:r>
      <w:r>
        <w:rPr>
          <w:rFonts w:ascii="Times New Roman" w:cs="Times New Roman" w:eastAsia="Times New Roman" w:hAnsi="Times New Roman"/>
          <w:sz w:val="18"/>
          <w:szCs w:val="18"/>
          <w:color w:val="auto"/>
        </w:rPr>
        <w:t xml:space="preserv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be deemed to be conclusively proved and established by an Officer’s Certificate delivered to the Trustee, and such Officer’s Certificate, in the absence of gross negligence or willful misconduct on the part of the Trustee, shall be full warrant to the Trustee for any action taken or omitted by it under the provisions of this Indenture upon the faith thereof.</w:t>
      </w:r>
    </w:p>
    <w:p>
      <w:pPr>
        <w:spacing w:after="0" w:line="18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Eligibility of Trustee.</w:t>
      </w:r>
      <w:r>
        <w:rPr>
          <w:rFonts w:ascii="Times New Roman" w:cs="Times New Roman" w:eastAsia="Times New Roman" w:hAnsi="Times New Roman"/>
          <w:sz w:val="18"/>
          <w:szCs w:val="18"/>
          <w:color w:val="auto"/>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promptly in the manner and with the effect hereinafter specified in this Article.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61" w:name="page62"/>
    <w:bookmarkEnd w:id="61"/>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7.09</w:t>
      </w:r>
      <w:r>
        <w:rPr>
          <w:rFonts w:ascii="Times New Roman" w:cs="Times New Roman" w:eastAsia="Times New Roman" w:hAnsi="Times New Roman"/>
          <w:sz w:val="18"/>
          <w:szCs w:val="18"/>
          <w:i w:val="1"/>
          <w:iCs w:val="1"/>
          <w:color w:val="auto"/>
        </w:rPr>
        <w:t>. Resignation or Removal of Trustee.</w:t>
      </w:r>
      <w:r>
        <w:rPr>
          <w:rFonts w:ascii="Times New Roman" w:cs="Times New Roman" w:eastAsia="Times New Roman" w:hAnsi="Times New Roman"/>
          <w:sz w:val="18"/>
          <w:szCs w:val="18"/>
          <w:color w:val="auto"/>
        </w:rPr>
        <w:t xml:space="preserve"> (a) 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upon ten Business Days’ notice to the Company and the Holders, petition any court of competent jurisdiction, at the expense of the Company,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90" w:lineRule="exact"/>
        <w:rPr>
          <w:sz w:val="20"/>
          <w:szCs w:val="20"/>
          <w:color w:val="auto"/>
        </w:rPr>
      </w:pPr>
    </w:p>
    <w:p>
      <w:pPr>
        <w:ind w:left="700" w:hanging="264"/>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of the following shall occur:</w:t>
      </w:r>
    </w:p>
    <w:p>
      <w:pPr>
        <w:spacing w:after="0" w:line="117"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07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7.08 and shall fail to resign after written request therefor by the Company or by any such Holder, or</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7" w:lineRule="exact"/>
        <w:rPr>
          <w:sz w:val="20"/>
          <w:szCs w:val="20"/>
          <w:color w:val="auto"/>
        </w:rPr>
      </w:pPr>
    </w:p>
    <w:p>
      <w:pPr>
        <w:ind w:right="120" w:firstLine="436"/>
        <w:spacing w:after="0" w:line="281" w:lineRule="auto"/>
        <w:tabs>
          <w:tab w:leader="none" w:pos="68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64" w:lineRule="exact"/>
        <w:rPr>
          <w:rFonts w:ascii="Times New Roman" w:cs="Times New Roman" w:eastAsia="Times New Roman" w:hAnsi="Times New Roman"/>
          <w:sz w:val="17"/>
          <w:szCs w:val="17"/>
          <w:color w:val="auto"/>
        </w:rPr>
      </w:pPr>
    </w:p>
    <w:p>
      <w:pPr>
        <w:ind w:right="180" w:firstLine="436"/>
        <w:spacing w:after="0" w:line="282"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60"/>
          </w:cols>
          <w:pgMar w:left="440" w:top="268" w:right="499" w:bottom="1440" w:gutter="0" w:footer="0" w:header="0"/>
        </w:sectPr>
      </w:pPr>
    </w:p>
    <w:bookmarkStart w:id="62" w:name="page63"/>
    <w:bookmarkEnd w:id="62"/>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7.10</w:t>
      </w:r>
      <w:r>
        <w:rPr>
          <w:rFonts w:ascii="Times New Roman" w:cs="Times New Roman" w:eastAsia="Times New Roman" w:hAnsi="Times New Roman"/>
          <w:sz w:val="18"/>
          <w:szCs w:val="18"/>
          <w:i w:val="1"/>
          <w:iCs w:val="1"/>
          <w:color w:val="auto"/>
        </w:rPr>
        <w:t>. Acceptance by Successor Trustee.</w:t>
      </w:r>
      <w:r>
        <w:rPr>
          <w:rFonts w:ascii="Times New Roman" w:cs="Times New Roman" w:eastAsia="Times New Roman" w:hAnsi="Times New Roman"/>
          <w:sz w:val="18"/>
          <w:szCs w:val="18"/>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8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78"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Section 7.11</w:t>
      </w:r>
      <w:r>
        <w:rPr>
          <w:rFonts w:ascii="Times New Roman" w:cs="Times New Roman" w:eastAsia="Times New Roman" w:hAnsi="Times New Roman"/>
          <w:sz w:val="18"/>
          <w:szCs w:val="18"/>
          <w:i w:val="1"/>
          <w:iCs w:val="1"/>
          <w:color w:val="auto"/>
        </w:rPr>
        <w:t>. Succession by Merger, Etc.</w:t>
      </w:r>
      <w:r>
        <w:rPr>
          <w:rFonts w:ascii="Times New Roman" w:cs="Times New Roman" w:eastAsia="Times New Roman" w:hAnsi="Times New Roman"/>
          <w:sz w:val="18"/>
          <w:szCs w:val="18"/>
          <w:color w:val="auto"/>
        </w:rPr>
        <w:t xml:space="preserve"> Any organization or other entity into which the Trustee may be merged or converted or with which it may be consolidated, or any organization or other entity resulting from any merger, conversion or consolidation to which the Trustee shall be a party, or any organization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provided that in the case of any organization or other entity succeeding to all or substantially all of the corporate trust business of the Trustee such organization or other entity shall be eligible under the provisions of Section 7.08.</w:t>
      </w:r>
    </w:p>
    <w:p>
      <w:pPr>
        <w:spacing w:after="0" w:line="18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440" w:top="268" w:right="439" w:bottom="1440" w:gutter="0" w:footer="0" w:header="0"/>
        </w:sectPr>
      </w:pPr>
    </w:p>
    <w:bookmarkStart w:id="63" w:name="page64"/>
    <w:bookmarkEnd w:id="63"/>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7.12</w:t>
      </w:r>
      <w:r>
        <w:rPr>
          <w:rFonts w:ascii="Times New Roman" w:cs="Times New Roman" w:eastAsia="Times New Roman" w:hAnsi="Times New Roman"/>
          <w:sz w:val="18"/>
          <w:szCs w:val="18"/>
          <w:i w:val="1"/>
          <w:iCs w:val="1"/>
          <w:color w:val="auto"/>
        </w:rPr>
        <w:t>. Trustee’s Application for Instructions from the Company.</w:t>
      </w:r>
      <w:r>
        <w:rPr>
          <w:rFonts w:ascii="Times New Roman" w:cs="Times New Roman" w:eastAsia="Times New Roman" w:hAnsi="Times New Roman"/>
          <w:sz w:val="18"/>
          <w:szCs w:val="18"/>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200" w:lineRule="exact"/>
        <w:rPr>
          <w:sz w:val="20"/>
          <w:szCs w:val="20"/>
          <w:color w:val="auto"/>
        </w:rPr>
      </w:pPr>
    </w:p>
    <w:p>
      <w:pPr>
        <w:spacing w:after="0" w:line="20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p>
      <w:pPr>
        <w:spacing w:after="0" w:line="205" w:lineRule="exact"/>
        <w:rPr>
          <w:sz w:val="20"/>
          <w:szCs w:val="20"/>
          <w:color w:val="auto"/>
        </w:rPr>
      </w:pPr>
    </w:p>
    <w:p>
      <w:pPr>
        <w:jc w:val="both"/>
        <w:ind w:left="4" w:right="180" w:firstLine="440"/>
        <w:spacing w:after="0" w:line="273" w:lineRule="auto"/>
        <w:rPr>
          <w:sz w:val="20"/>
          <w:szCs w:val="20"/>
          <w:color w:val="auto"/>
        </w:rPr>
      </w:pPr>
      <w:r>
        <w:rPr>
          <w:rFonts w:ascii="Times New Roman" w:cs="Times New Roman" w:eastAsia="Times New Roman" w:hAnsi="Times New Roman"/>
          <w:sz w:val="17"/>
          <w:szCs w:val="17"/>
          <w:color w:val="auto"/>
        </w:rPr>
        <w:t>Section 8.01</w:t>
      </w:r>
      <w:r>
        <w:rPr>
          <w:rFonts w:ascii="Times New Roman" w:cs="Times New Roman" w:eastAsia="Times New Roman" w:hAnsi="Times New Roman"/>
          <w:sz w:val="17"/>
          <w:szCs w:val="17"/>
          <w:i w:val="1"/>
          <w:iCs w:val="1"/>
          <w:color w:val="auto"/>
        </w:rPr>
        <w:t>. Action by Holders.</w:t>
      </w:r>
      <w:r>
        <w:rPr>
          <w:rFonts w:ascii="Times New Roman" w:cs="Times New Roman" w:eastAsia="Times New Roman" w:hAnsi="Times New Roman"/>
          <w:sz w:val="17"/>
          <w:szCs w:val="17"/>
          <w:color w:val="auto"/>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w:t>
      </w:r>
    </w:p>
    <w:p>
      <w:pPr>
        <w:spacing w:after="0" w:line="1" w:lineRule="exact"/>
        <w:rPr>
          <w:sz w:val="20"/>
          <w:szCs w:val="20"/>
          <w:color w:val="auto"/>
        </w:rPr>
      </w:pPr>
    </w:p>
    <w:p>
      <w:pPr>
        <w:ind w:left="4" w:hanging="4"/>
        <w:spacing w:after="0" w:line="252" w:lineRule="auto"/>
        <w:tabs>
          <w:tab w:leader="none" w:pos="2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88"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Proof of Execution by Holders.</w:t>
      </w:r>
      <w:r>
        <w:rPr>
          <w:rFonts w:ascii="Times New Roman" w:cs="Times New Roman" w:eastAsia="Times New Roman" w:hAnsi="Times New Roman"/>
          <w:sz w:val="18"/>
          <w:szCs w:val="18"/>
          <w:color w:val="auto"/>
        </w:rPr>
        <w:t xml:space="preserve"> Subject to the provisions of Section 7.01, Section 7.02 and Section 9.05, proof of the execution of any instrument or writing by a Holder or its agent or proxy shall be sufficient if made in accordance with such reasonable rules and regulations as may be prescribed by the Trustee or in such manner as shall be satisfactory to the Trustee . The holding of Notes shall be proved by the Note Register or by a certificate of the Note Registrar. The record of any Holders’ meeting shall be proved in the manner provided in Section 9.06.</w:t>
      </w:r>
    </w:p>
    <w:p>
      <w:pPr>
        <w:spacing w:after="0" w:line="11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64"/>
          </w:cols>
          <w:pgMar w:left="436" w:top="268" w:right="499" w:bottom="1440" w:gutter="0" w:footer="0" w:header="0"/>
        </w:sectPr>
      </w:pPr>
    </w:p>
    <w:bookmarkStart w:id="64" w:name="page65"/>
    <w:bookmarkEnd w:id="64"/>
    <w:p>
      <w:pPr>
        <w:ind w:firstLine="4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8.03</w:t>
      </w:r>
      <w:r>
        <w:rPr>
          <w:rFonts w:ascii="Times New Roman" w:cs="Times New Roman" w:eastAsia="Times New Roman" w:hAnsi="Times New Roman"/>
          <w:sz w:val="17"/>
          <w:szCs w:val="17"/>
          <w:i w:val="1"/>
          <w:iCs w:val="1"/>
          <w:color w:val="auto"/>
        </w:rPr>
        <w:t>. Who Are Deemed Absolute Owners.</w:t>
      </w:r>
      <w:r>
        <w:rPr>
          <w:rFonts w:ascii="Times New Roman" w:cs="Times New Roman" w:eastAsia="Times New Roman" w:hAnsi="Times New Roman"/>
          <w:sz w:val="17"/>
          <w:szCs w:val="17"/>
          <w:color w:val="auto"/>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if any,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 Global Note shall be the Depositary or its nominee. All such payments or deliveries so made to any Holder for the time being, or upon its order, shall be valid, and, to the extent of the sums or shares of Class A Common Stock so paid or delivered, effectual to satisfy and discharge the liability for monies payable or shares deliverable upon any such Note. Notwithstanding anything to the contrary in this Indenture or the Notes, any holder of a beneficial interest in a Global Note may directly enforce against the Company, without the consent, solicitation, proxy, authorization or any other action of the Depositary or any other Person (x) such holder’s right to convert a Note in which it holds such beneficial interest on account of a Deemed Redemption pursuant to</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Section 14.01(b)(v), and (y) such holder’s right to exchange such beneficial interest for a Note in certificated form in accordance with the provisions of this Indenture following an Event of Default.</w:t>
      </w:r>
    </w:p>
    <w:p>
      <w:pPr>
        <w:spacing w:after="0" w:line="17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Company-Owned Notes Disregarded.</w:t>
      </w:r>
      <w:r>
        <w:rPr>
          <w:rFonts w:ascii="Times New Roman" w:cs="Times New Roman" w:eastAsia="Times New Roman" w:hAnsi="Times New Roman"/>
          <w:sz w:val="18"/>
          <w:szCs w:val="18"/>
          <w:color w:val="auto"/>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68" w:right="459" w:bottom="1440" w:gutter="0" w:footer="0" w:header="0"/>
        </w:sectPr>
      </w:pPr>
    </w:p>
    <w:bookmarkStart w:id="65" w:name="page66"/>
    <w:bookmarkEnd w:id="65"/>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8.05</w:t>
      </w:r>
      <w:r>
        <w:rPr>
          <w:rFonts w:ascii="Times New Roman" w:cs="Times New Roman" w:eastAsia="Times New Roman" w:hAnsi="Times New Roman"/>
          <w:sz w:val="18"/>
          <w:szCs w:val="18"/>
          <w:i w:val="1"/>
          <w:iCs w:val="1"/>
          <w:color w:val="auto"/>
        </w:rPr>
        <w:t>. Revocation of Consents; Future Holders Bound.</w:t>
      </w:r>
      <w:r>
        <w:rPr>
          <w:rFonts w:ascii="Times New Roman" w:cs="Times New Roman" w:eastAsia="Times New Roman" w:hAnsi="Times New Roman"/>
          <w:sz w:val="18"/>
          <w:szCs w:val="18"/>
          <w:color w:val="auto"/>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EETINGS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9.01</w:t>
      </w:r>
      <w:r>
        <w:rPr>
          <w:rFonts w:ascii="Times New Roman" w:cs="Times New Roman" w:eastAsia="Times New Roman" w:hAnsi="Times New Roman"/>
          <w:sz w:val="18"/>
          <w:szCs w:val="18"/>
          <w:i w:val="1"/>
          <w:iCs w:val="1"/>
          <w:color w:val="auto"/>
        </w:rPr>
        <w:t>. Purpose of Meetings.</w:t>
      </w:r>
      <w:r>
        <w:rPr>
          <w:rFonts w:ascii="Times New Roman" w:cs="Times New Roman" w:eastAsia="Times New Roman" w:hAnsi="Times New Roman"/>
          <w:sz w:val="18"/>
          <w:szCs w:val="18"/>
          <w:color w:val="auto"/>
        </w:rPr>
        <w:t xml:space="preserve"> A meeting of Holders may be called at any time and from time to time pursuant to the provisions of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9 for any of the following purposes:</w:t>
      </w:r>
    </w:p>
    <w:p>
      <w:pPr>
        <w:spacing w:after="0" w:line="99" w:lineRule="exact"/>
        <w:rPr>
          <w:sz w:val="20"/>
          <w:szCs w:val="20"/>
          <w:color w:val="auto"/>
        </w:rPr>
      </w:pPr>
    </w:p>
    <w:p>
      <w:pPr>
        <w:jc w:val="both"/>
        <w:ind w:right="80" w:firstLine="436"/>
        <w:spacing w:after="0" w:line="266"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Trustee and nominate a successor trustee pursuant to the provisions of Article 7;</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consent to the execution of an indenture or indentures supplemental hereto pursuant to the provisions of Section 10.02; or</w:t>
      </w:r>
    </w:p>
    <w:p>
      <w:pPr>
        <w:spacing w:after="0" w:line="225"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16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Section 9.02</w:t>
      </w:r>
      <w:r>
        <w:rPr>
          <w:rFonts w:ascii="Times New Roman" w:cs="Times New Roman" w:eastAsia="Times New Roman" w:hAnsi="Times New Roman"/>
          <w:sz w:val="18"/>
          <w:szCs w:val="18"/>
          <w:i w:val="1"/>
          <w:iCs w:val="1"/>
          <w:color w:val="auto"/>
        </w:rPr>
        <w:t>. Call of Meetings by Trustee.</w:t>
      </w:r>
      <w:r>
        <w:rPr>
          <w:rFonts w:ascii="Times New Roman" w:cs="Times New Roman" w:eastAsia="Times New Roman" w:hAnsi="Times New Roman"/>
          <w:sz w:val="18"/>
          <w:szCs w:val="18"/>
          <w:color w:val="auto"/>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spacing w:after="0" w:line="18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68" w:right="479" w:bottom="1440" w:gutter="0" w:footer="0" w:header="0"/>
        </w:sectPr>
      </w:pPr>
    </w:p>
    <w:bookmarkStart w:id="66" w:name="page67"/>
    <w:bookmarkEnd w:id="66"/>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9.03</w:t>
      </w:r>
      <w:r>
        <w:rPr>
          <w:rFonts w:ascii="Times New Roman" w:cs="Times New Roman" w:eastAsia="Times New Roman" w:hAnsi="Times New Roman"/>
          <w:sz w:val="18"/>
          <w:szCs w:val="18"/>
          <w:i w:val="1"/>
          <w:iCs w:val="1"/>
          <w:color w:val="auto"/>
        </w:rPr>
        <w:t>. Call of Meetings by Company or Holders.</w:t>
      </w:r>
      <w:r>
        <w:rPr>
          <w:rFonts w:ascii="Times New Roman" w:cs="Times New Roman" w:eastAsia="Times New Roman" w:hAnsi="Times New Roman"/>
          <w:sz w:val="18"/>
          <w:szCs w:val="18"/>
          <w:color w:val="auto"/>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83" w:lineRule="exact"/>
        <w:rPr>
          <w:sz w:val="20"/>
          <w:szCs w:val="20"/>
          <w:color w:val="auto"/>
        </w:rPr>
      </w:pPr>
    </w:p>
    <w:p>
      <w:pPr>
        <w:jc w:val="both"/>
        <w:ind w:right="20" w:firstLine="440"/>
        <w:spacing w:after="0" w:line="281" w:lineRule="auto"/>
        <w:rPr>
          <w:sz w:val="20"/>
          <w:szCs w:val="20"/>
          <w:color w:val="auto"/>
        </w:rPr>
      </w:pPr>
      <w:r>
        <w:rPr>
          <w:rFonts w:ascii="Times New Roman" w:cs="Times New Roman" w:eastAsia="Times New Roman" w:hAnsi="Times New Roman"/>
          <w:sz w:val="17"/>
          <w:szCs w:val="17"/>
          <w:color w:val="auto"/>
        </w:rPr>
        <w:t>Section 9.04</w:t>
      </w:r>
      <w:r>
        <w:rPr>
          <w:rFonts w:ascii="Times New Roman" w:cs="Times New Roman" w:eastAsia="Times New Roman" w:hAnsi="Times New Roman"/>
          <w:sz w:val="17"/>
          <w:szCs w:val="17"/>
          <w:i w:val="1"/>
          <w:iCs w:val="1"/>
          <w:color w:val="auto"/>
        </w:rPr>
        <w:t>. Qualifications for Voting.</w:t>
      </w:r>
      <w:r>
        <w:rPr>
          <w:rFonts w:ascii="Times New Roman" w:cs="Times New Roman" w:eastAsia="Times New Roman" w:hAnsi="Times New Roman"/>
          <w:sz w:val="17"/>
          <w:szCs w:val="17"/>
          <w:color w:val="auto"/>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64"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Section 9.05</w:t>
      </w:r>
      <w:r>
        <w:rPr>
          <w:rFonts w:ascii="Times New Roman" w:cs="Times New Roman" w:eastAsia="Times New Roman" w:hAnsi="Times New Roman"/>
          <w:sz w:val="18"/>
          <w:szCs w:val="18"/>
          <w:i w:val="1"/>
          <w:iCs w:val="1"/>
          <w:color w:val="auto"/>
        </w:rPr>
        <w:t>. Regulations.</w:t>
      </w:r>
      <w:r>
        <w:rPr>
          <w:rFonts w:ascii="Times New Roman" w:cs="Times New Roman" w:eastAsia="Times New Roman" w:hAnsi="Times New Roman"/>
          <w:sz w:val="18"/>
          <w:szCs w:val="18"/>
          <w:color w:val="auto"/>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2" w:lineRule="exact"/>
        <w:rPr>
          <w:sz w:val="20"/>
          <w:szCs w:val="20"/>
          <w:color w:val="auto"/>
        </w:rPr>
      </w:pPr>
    </w:p>
    <w:p>
      <w:pPr>
        <w:jc w:val="both"/>
        <w:ind w:right="320" w:firstLine="440"/>
        <w:spacing w:after="0" w:line="261" w:lineRule="auto"/>
        <w:rPr>
          <w:sz w:val="20"/>
          <w:szCs w:val="20"/>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Subject to the provisions of Section 8.04, at any meeting of Holders each Holder or proxyholder shall be entitled to one vote for each $1,000 principal amount of Notes held or represented by him or 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68" w:right="459" w:bottom="1440" w:gutter="0" w:footer="0" w:header="0"/>
        </w:sectPr>
      </w:pPr>
    </w:p>
    <w:bookmarkStart w:id="67" w:name="page68"/>
    <w:bookmarkEnd w:id="67"/>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9.06</w:t>
      </w:r>
      <w:r>
        <w:rPr>
          <w:rFonts w:ascii="Times New Roman" w:cs="Times New Roman" w:eastAsia="Times New Roman" w:hAnsi="Times New Roman"/>
          <w:sz w:val="18"/>
          <w:szCs w:val="18"/>
          <w:i w:val="1"/>
          <w:iCs w:val="1"/>
          <w:color w:val="auto"/>
        </w:rPr>
        <w:t>. Voting.</w:t>
      </w:r>
      <w:r>
        <w:rPr>
          <w:rFonts w:ascii="Times New Roman" w:cs="Times New Roman" w:eastAsia="Times New Roman" w:hAnsi="Times New Roman"/>
          <w:sz w:val="18"/>
          <w:szCs w:val="18"/>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record so signed and verified shall be conclusive evidence of the matters therein stated.</w:t>
      </w:r>
    </w:p>
    <w:p>
      <w:pPr>
        <w:spacing w:after="0" w:line="223"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color w:val="auto"/>
        </w:rPr>
        <w:t>Section 9.07</w:t>
      </w:r>
      <w:r>
        <w:rPr>
          <w:rFonts w:ascii="Times New Roman" w:cs="Times New Roman" w:eastAsia="Times New Roman" w:hAnsi="Times New Roman"/>
          <w:sz w:val="18"/>
          <w:szCs w:val="18"/>
          <w:i w:val="1"/>
          <w:iCs w:val="1"/>
          <w:color w:val="auto"/>
        </w:rPr>
        <w:t>. No Delay of Rights by Meeting.</w:t>
      </w:r>
      <w:r>
        <w:rPr>
          <w:rFonts w:ascii="Times New Roman" w:cs="Times New Roman" w:eastAsia="Times New Roman" w:hAnsi="Times New Roman"/>
          <w:sz w:val="18"/>
          <w:szCs w:val="18"/>
          <w:color w:val="auto"/>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NDENTURES</w:t>
      </w:r>
    </w:p>
    <w:p>
      <w:pPr>
        <w:spacing w:after="0" w:line="20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Section 10.01</w:t>
      </w:r>
      <w:r>
        <w:rPr>
          <w:rFonts w:ascii="Times New Roman" w:cs="Times New Roman" w:eastAsia="Times New Roman" w:hAnsi="Times New Roman"/>
          <w:sz w:val="18"/>
          <w:szCs w:val="18"/>
          <w:i w:val="1"/>
          <w:iCs w:val="1"/>
          <w:color w:val="auto"/>
        </w:rPr>
        <w:t>. Supplemental Indentures Without Consent of Holders.</w:t>
      </w:r>
      <w:r>
        <w:rPr>
          <w:rFonts w:ascii="Times New Roman" w:cs="Times New Roman" w:eastAsia="Times New Roman" w:hAnsi="Times New Roman"/>
          <w:sz w:val="18"/>
          <w:szCs w:val="18"/>
          <w:color w:val="auto"/>
        </w:rPr>
        <w:t xml:space="preserve"> The Company and the Trustee, at the Company’s expense, may from time to time and at any time enter into an indenture or indentures supplemental hereto for one or more of the following purposes:</w:t>
      </w:r>
    </w:p>
    <w:p>
      <w:pPr>
        <w:spacing w:after="0" w:line="52" w:lineRule="exact"/>
        <w:rPr>
          <w:sz w:val="20"/>
          <w:szCs w:val="20"/>
          <w:color w:val="auto"/>
        </w:rPr>
      </w:pPr>
    </w:p>
    <w:p>
      <w:pPr>
        <w:ind w:left="680" w:hanging="244"/>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by a Successor Entity of the obligations of the Company under this Indenture pursuant to Article 11;</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the Notes;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225" w:lineRule="exact"/>
        <w:rPr>
          <w:rFonts w:ascii="Times New Roman" w:cs="Times New Roman" w:eastAsia="Times New Roman" w:hAnsi="Times New Roman"/>
          <w:sz w:val="18"/>
          <w:szCs w:val="18"/>
          <w:color w:val="auto"/>
        </w:rPr>
      </w:pPr>
    </w:p>
    <w:p>
      <w:pPr>
        <w:ind w:right="100" w:firstLine="436"/>
        <w:spacing w:after="0" w:line="282"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or Events of Default of the Company for the benefit of the Holders or surrender any right or power conferred upon the Company;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68" w:right="459" w:bottom="1440" w:gutter="0" w:footer="0" w:header="0"/>
        </w:sectPr>
      </w:pPr>
    </w:p>
    <w:bookmarkStart w:id="68" w:name="page69"/>
    <w:bookmarkEnd w:id="68"/>
    <w:p>
      <w:pPr>
        <w:ind w:right="100" w:firstLine="436"/>
        <w:spacing w:after="0" w:line="282" w:lineRule="auto"/>
        <w:tabs>
          <w:tab w:leader="none" w:pos="6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make any change that does not adversely affect the rights of any Holder in any material respect, as certified by the Company in an Officer’s Certificate;</w:t>
      </w:r>
    </w:p>
    <w:p>
      <w:pPr>
        <w:spacing w:after="0" w:line="161"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Share Exchange Event, to provide that the Notes are convertible into Reference Property, subject to the provisions of Section 14.02, and make such related changes to the terms of the Notes to the extent expressly required by Section 14.07;</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provisions of this Indenture or the Notes to the “Description of Notes” section of the Offering Memorandum as evidenced in an Officer’s Certificate;</w:t>
      </w:r>
    </w:p>
    <w:p>
      <w:pPr>
        <w:spacing w:after="0" w:line="161" w:lineRule="exact"/>
        <w:rPr>
          <w:rFonts w:ascii="Times New Roman" w:cs="Times New Roman" w:eastAsia="Times New Roman" w:hAnsi="Times New Roman"/>
          <w:sz w:val="18"/>
          <w:szCs w:val="18"/>
          <w:color w:val="auto"/>
        </w:rPr>
      </w:pPr>
    </w:p>
    <w:p>
      <w:pPr>
        <w:ind w:right="680" w:firstLine="436"/>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of any applicable Depositary, including The Depository Trust Company, so long as such amendment does not adversely affect the rights of any Holder in any material respect;</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 successor trustee with respect to the Notes;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Conversion Rate as provided in this Indenture;</w:t>
      </w:r>
    </w:p>
    <w:p>
      <w:pPr>
        <w:spacing w:after="0" w:line="225" w:lineRule="exact"/>
        <w:rPr>
          <w:rFonts w:ascii="Times New Roman" w:cs="Times New Roman" w:eastAsia="Times New Roman" w:hAnsi="Times New Roman"/>
          <w:sz w:val="18"/>
          <w:szCs w:val="18"/>
          <w:color w:val="auto"/>
        </w:rPr>
      </w:pPr>
    </w:p>
    <w:p>
      <w:pPr>
        <w:ind w:firstLine="436"/>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Note Registrar, Paying Agent, Bid Solicitation Agent or Conversion Agent to facilitate the administration of the trusts under this Indenture by more than one trustee; or</w:t>
      </w:r>
    </w:p>
    <w:p>
      <w:pPr>
        <w:spacing w:after="0" w:line="161" w:lineRule="exact"/>
        <w:rPr>
          <w:rFonts w:ascii="Times New Roman" w:cs="Times New Roman" w:eastAsia="Times New Roman" w:hAnsi="Times New Roman"/>
          <w:sz w:val="18"/>
          <w:szCs w:val="18"/>
          <w:color w:val="auto"/>
        </w:rPr>
      </w:pPr>
    </w:p>
    <w:p>
      <w:pPr>
        <w:ind w:right="260" w:firstLine="436"/>
        <w:spacing w:after="0" w:line="266" w:lineRule="auto"/>
        <w:tabs>
          <w:tab w:leader="none" w:pos="7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irrevocably elect a Settlement Method or a Specified Dollar Amount, or eliminate the Company’s right to elect a Settlement Method (including at the Company’s option upon an Irrevocable Election);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election or elimination shall affect any Settlement Method theretofore elected (or deemed to be elected) with respect to any Note pursuant to the provisions of Article 14.</w:t>
      </w:r>
    </w:p>
    <w:p>
      <w:pPr>
        <w:spacing w:after="0" w:line="176" w:lineRule="exact"/>
        <w:rPr>
          <w:sz w:val="20"/>
          <w:szCs w:val="20"/>
          <w:color w:val="auto"/>
        </w:rPr>
      </w:pPr>
    </w:p>
    <w:p>
      <w:pPr>
        <w:ind w:right="80" w:firstLine="440"/>
        <w:spacing w:after="0" w:line="289" w:lineRule="auto"/>
        <w:rPr>
          <w:sz w:val="20"/>
          <w:szCs w:val="20"/>
          <w:color w:val="auto"/>
        </w:rPr>
      </w:pPr>
      <w:r>
        <w:rPr>
          <w:rFonts w:ascii="Times New Roman" w:cs="Times New Roman" w:eastAsia="Times New Roman" w:hAnsi="Times New Roman"/>
          <w:sz w:val="17"/>
          <w:szCs w:val="17"/>
          <w:color w:val="auto"/>
        </w:rPr>
        <w:t>Upon the written request of the Company, the Trustee is hereby authorized to join with the Company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158"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60"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Section 10.02</w:t>
      </w:r>
      <w:r>
        <w:rPr>
          <w:rFonts w:ascii="Times New Roman" w:cs="Times New Roman" w:eastAsia="Times New Roman" w:hAnsi="Times New Roman"/>
          <w:sz w:val="18"/>
          <w:szCs w:val="18"/>
          <w:i w:val="1"/>
          <w:iCs w:val="1"/>
          <w:color w:val="auto"/>
        </w:rPr>
        <w:t>. Supplemental Indentures with Consent of Holders.</w:t>
      </w:r>
      <w:r>
        <w:rPr>
          <w:rFonts w:ascii="Times New Roman" w:cs="Times New Roman" w:eastAsia="Times New Roman" w:hAnsi="Times New Roman"/>
          <w:sz w:val="18"/>
          <w:szCs w:val="18"/>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without the consent of each Holder of an outstanding Note affected, no such supplemental indenture shall:</w:t>
      </w:r>
    </w:p>
    <w:p>
      <w:pPr>
        <w:spacing w:after="0" w:line="76" w:lineRule="exact"/>
        <w:rPr>
          <w:sz w:val="20"/>
          <w:szCs w:val="20"/>
          <w:color w:val="auto"/>
        </w:rPr>
      </w:pPr>
    </w:p>
    <w:p>
      <w:pPr>
        <w:ind w:left="5420" w:right="4200" w:hanging="4984"/>
        <w:spacing w:after="0" w:line="454" w:lineRule="auto"/>
        <w:tabs>
          <w:tab w:leader="none" w:pos="6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 56</w:t>
      </w:r>
    </w:p>
    <w:p>
      <w:pPr>
        <w:sectPr>
          <w:pgSz w:w="11900" w:h="16838" w:orient="portrait"/>
          <w:cols w:equalWidth="0" w:num="1">
            <w:col w:w="11000"/>
          </w:cols>
          <w:pgMar w:left="440" w:top="270" w:right="459" w:bottom="1440" w:gutter="0" w:footer="0" w:header="0"/>
        </w:sectPr>
      </w:pPr>
    </w:p>
    <w:bookmarkStart w:id="69" w:name="page70"/>
    <w:bookmarkEnd w:id="69"/>
    <w:p>
      <w:pPr>
        <w:ind w:left="700" w:hanging="264"/>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reduce the rate of or extend the stated time for payment of interest, if any, on any Note;</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extend the Maturity Date of any Note;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this Indenture, make any change that adversely affects the conversion rights of any Notes;</w:t>
      </w:r>
    </w:p>
    <w:p>
      <w:pPr>
        <w:spacing w:after="0" w:line="225" w:lineRule="exact"/>
        <w:rPr>
          <w:rFonts w:ascii="Times New Roman" w:cs="Times New Roman" w:eastAsia="Times New Roman" w:hAnsi="Times New Roman"/>
          <w:sz w:val="18"/>
          <w:szCs w:val="18"/>
          <w:color w:val="auto"/>
        </w:rPr>
      </w:pPr>
    </w:p>
    <w:p>
      <w:pPr>
        <w:jc w:val="both"/>
        <w:ind w:right="300" w:firstLine="436"/>
        <w:spacing w:after="0" w:line="266"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or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a currency, or at a place of payment, other than that stated in the Note;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 or</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this Article 10 that requires each Holder’s consent or in the waiver provisions in Section 6.02 or Section 6.09.</w:t>
      </w:r>
    </w:p>
    <w:p>
      <w:pPr>
        <w:spacing w:after="0" w:line="225"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Holders do not need under this Section 10.02 to approve the particular form of any proposed supplemental indenture. It shall be sufficient if such Holders approve the substance thereof. After any supplemental indenture under Section 10.01 or this Section 10.02 becomes effective, the Company shall deliver to the Holders a notice briefly describing such supplemental indenture. However, the failure to give such notice to all the Holders, or any defect in the notice, will not impair or affect the validity of the supplemental indenture.</w:t>
      </w:r>
    </w:p>
    <w:p>
      <w:pPr>
        <w:spacing w:after="0" w:line="17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10.03</w:t>
      </w:r>
      <w:r>
        <w:rPr>
          <w:rFonts w:ascii="Times New Roman" w:cs="Times New Roman" w:eastAsia="Times New Roman" w:hAnsi="Times New Roman"/>
          <w:sz w:val="18"/>
          <w:szCs w:val="18"/>
          <w:i w:val="1"/>
          <w:iCs w:val="1"/>
          <w:color w:val="auto"/>
        </w:rPr>
        <w:t>. Effect of Supplemental Indentures.</w:t>
      </w:r>
      <w:r>
        <w:rPr>
          <w:rFonts w:ascii="Times New Roman" w:cs="Times New Roman" w:eastAsia="Times New Roman" w:hAnsi="Times New Roman"/>
          <w:sz w:val="18"/>
          <w:szCs w:val="18"/>
          <w:color w:val="auto"/>
        </w:rPr>
        <w:t xml:space="preserve"> Upon the execution of any supplemental indenture pursuant to the provisions of this Article 10, this Indenture shall be and be deemed to be modified and amended in accordance therewith and the respective rights, limitation of rights, obligations, duties, indemnities, privileges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00"/>
          </w:cols>
          <w:pgMar w:left="440" w:top="270" w:right="559" w:bottom="1440" w:gutter="0" w:footer="0" w:header="0"/>
        </w:sectPr>
      </w:pPr>
    </w:p>
    <w:bookmarkStart w:id="70" w:name="page71"/>
    <w:bookmarkEnd w:id="70"/>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10.04</w:t>
      </w:r>
      <w:r>
        <w:rPr>
          <w:rFonts w:ascii="Times New Roman" w:cs="Times New Roman" w:eastAsia="Times New Roman" w:hAnsi="Times New Roman"/>
          <w:sz w:val="18"/>
          <w:szCs w:val="18"/>
          <w:i w:val="1"/>
          <w:iCs w:val="1"/>
          <w:color w:val="auto"/>
        </w:rPr>
        <w:t>. Notation on Notes.</w:t>
      </w:r>
      <w:r>
        <w:rPr>
          <w:rFonts w:ascii="Times New Roman" w:cs="Times New Roman" w:eastAsia="Times New Roman" w:hAnsi="Times New Roman"/>
          <w:sz w:val="18"/>
          <w:szCs w:val="18"/>
          <w:color w:val="auto"/>
        </w:rPr>
        <w:t xml:space="preserve">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w:t>
      </w:r>
    </w:p>
    <w:p>
      <w:pPr>
        <w:spacing w:after="0" w:line="182"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Section 10.05</w:t>
      </w:r>
      <w:r>
        <w:rPr>
          <w:rFonts w:ascii="Times New Roman" w:cs="Times New Roman" w:eastAsia="Times New Roman" w:hAnsi="Times New Roman"/>
          <w:sz w:val="18"/>
          <w:szCs w:val="18"/>
          <w:i w:val="1"/>
          <w:iCs w:val="1"/>
          <w:color w:val="auto"/>
        </w:rPr>
        <w:t>. Evidence of Compliance of Supplemental Indenture to Be Furnished to Trustee.</w:t>
      </w:r>
      <w:r>
        <w:rPr>
          <w:rFonts w:ascii="Times New Roman" w:cs="Times New Roman" w:eastAsia="Times New Roman" w:hAnsi="Times New Roman"/>
          <w:sz w:val="18"/>
          <w:szCs w:val="18"/>
          <w:color w:val="auto"/>
        </w:rPr>
        <w:t xml:space="preserve"> 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 such Opinion of Counsel to include a customary legal opinion stating that such supplemental indenture is the valid and binding obligation of the Company, subject to customary exceptions and qualifications. The Trustee shall have no responsibility for determining whether any amendment or supplemental indenture will or may have an adverse effect on any Holder.</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ONVEYANCE AND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EASE</w:t>
      </w:r>
    </w:p>
    <w:p>
      <w:pPr>
        <w:spacing w:after="0" w:line="20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Section 11.01</w:t>
      </w:r>
      <w:r>
        <w:rPr>
          <w:rFonts w:ascii="Times New Roman" w:cs="Times New Roman" w:eastAsia="Times New Roman" w:hAnsi="Times New Roman"/>
          <w:sz w:val="18"/>
          <w:szCs w:val="18"/>
          <w:i w:val="1"/>
          <w:iCs w:val="1"/>
          <w:color w:val="auto"/>
        </w:rPr>
        <w:t>. Company May Consolidate, Etc. on Certain Terms.</w:t>
      </w:r>
      <w:r>
        <w:rPr>
          <w:rFonts w:ascii="Times New Roman" w:cs="Times New Roman" w:eastAsia="Times New Roman" w:hAnsi="Times New Roman"/>
          <w:sz w:val="18"/>
          <w:szCs w:val="18"/>
          <w:color w:val="auto"/>
        </w:rPr>
        <w:t xml:space="preserve"> Subject to the provisions of Section 11.02, the Company shall not consolidate with,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(each,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unless:</w:t>
      </w:r>
    </w:p>
    <w:p>
      <w:pPr>
        <w:spacing w:after="0" w:line="70" w:lineRule="exact"/>
        <w:rPr>
          <w:sz w:val="20"/>
          <w:szCs w:val="20"/>
          <w:color w:val="auto"/>
        </w:rPr>
      </w:pPr>
    </w:p>
    <w:p>
      <w:pPr>
        <w:ind w:firstLine="436"/>
        <w:spacing w:after="0" w:line="268"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if not the Company, shall be a Qualified Successor Entity organized and existing under the laws of the United States of America, any state thereof or the District of Columbia, and the Successor Entity (if not the Company) shall expressly assume, by supplemental indenture all of the obligations of the Company under the Notes and this Indenture; and</w:t>
      </w:r>
    </w:p>
    <w:p>
      <w:pPr>
        <w:spacing w:after="0" w:line="174"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Business Combination Event, no Default or Event of Default shall have occurred and be continuing under this Indenture.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60"/>
          </w:cols>
          <w:pgMar w:left="440" w:top="268" w:right="499" w:bottom="1440" w:gutter="0" w:footer="0" w:header="0"/>
        </w:sectPr>
      </w:pPr>
    </w:p>
    <w:bookmarkStart w:id="71" w:name="page72"/>
    <w:bookmarkEnd w:id="71"/>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spacing w:after="0" w:line="17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Section 11.02</w:t>
      </w:r>
      <w:r>
        <w:rPr>
          <w:rFonts w:ascii="Times New Roman" w:cs="Times New Roman" w:eastAsia="Times New Roman" w:hAnsi="Times New Roman"/>
          <w:sz w:val="18"/>
          <w:szCs w:val="18"/>
          <w:i w:val="1"/>
          <w:iCs w:val="1"/>
          <w:color w:val="auto"/>
        </w:rPr>
        <w:t>. Successor Entity to Be Substituted.</w:t>
      </w:r>
      <w:r>
        <w:rPr>
          <w:rFonts w:ascii="Times New Roman" w:cs="Times New Roman" w:eastAsia="Times New Roman" w:hAnsi="Times New Roman"/>
          <w:sz w:val="18"/>
          <w:szCs w:val="18"/>
          <w:color w:val="auto"/>
        </w:rPr>
        <w:t xml:space="preserve"> In case of any such Business Combination Event and upon the assumption by the Successor Entity, by supplemental indenture, executed and delivered to the Trustee and satisfactory in form to the Trustee, of the due and punctual payment of the principal of and accrued and unpaid interest, if any, on all of the Notes, the due and punctual delivery or payment, as the case may be, of any consideration due upon conversion of the Notes and the due and punctual performance of all of the covenants and conditions of this Indenture to be performed by the Company, such Successor Entity (if not the Company) shall succeed to and, except in the case of a lease of all or substantially all of the consolidated properties and assets of the Company and its Subsidiaries, taken as a whole, shall be substituted for the Company, with the same effect as if it had been named herein as the party of the first part, and may thereafter exercise every right and power of the Company under this Indenture. Such Successor Entity thereupon may cause to be signed, and may issue either in its own name or in the name of the Company any or all of the Notes issuable hereunder which theretofore shall not have been signed by the Company and delivered to the Trustee; and, upon the order of such Successor Entity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Entity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Business Combination Event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 In case of any Business Combination Event, such changes in phraseology and form (but not in substance) may be made in the Notes thereafter to be issued as may be appropriate.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MMUNITY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4"/>
          <w:szCs w:val="14"/>
          <w:color w:val="auto"/>
        </w:rPr>
        <w:t>FFICERS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IRECTORS</w:t>
      </w:r>
    </w:p>
    <w:p>
      <w:pPr>
        <w:spacing w:after="0" w:line="20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Section 12.01</w:t>
      </w:r>
      <w:r>
        <w:rPr>
          <w:rFonts w:ascii="Times New Roman" w:cs="Times New Roman" w:eastAsia="Times New Roman" w:hAnsi="Times New Roman"/>
          <w:sz w:val="18"/>
          <w:szCs w:val="18"/>
          <w:i w:val="1"/>
          <w:iCs w:val="1"/>
          <w:color w:val="auto"/>
        </w:rPr>
        <w:t>. Indenture and Notes Solely Corporate Obligations.</w:t>
      </w:r>
      <w:r>
        <w:rPr>
          <w:rFonts w:ascii="Times New Roman" w:cs="Times New Roman" w:eastAsia="Times New Roman" w:hAnsi="Times New Roman"/>
          <w:sz w:val="18"/>
          <w:szCs w:val="18"/>
          <w:color w:val="auto"/>
        </w:rPr>
        <w:t xml:space="preserve"> No recourse for the payment of the principal of or accrued and unpaid interest, if any,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72" w:name="page73"/>
    <w:bookmarkEnd w:id="7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against any incorporator, stockholder, employee, agent, Officer or director or Subsidiary, as such, past, present or future, of the Company or of any successor entity, either directly or through the Company or any successor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MITTED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14</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ONVERSION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14.01</w:t>
      </w:r>
      <w:r>
        <w:rPr>
          <w:rFonts w:ascii="Times New Roman" w:cs="Times New Roman" w:eastAsia="Times New Roman" w:hAnsi="Times New Roman"/>
          <w:sz w:val="18"/>
          <w:szCs w:val="18"/>
          <w:i w:val="1"/>
          <w:iCs w:val="1"/>
          <w:color w:val="auto"/>
        </w:rPr>
        <w:t>. Conversion Privilege.</w:t>
      </w:r>
    </w:p>
    <w:p>
      <w:pPr>
        <w:spacing w:after="0" w:line="227" w:lineRule="exact"/>
        <w:rPr>
          <w:sz w:val="20"/>
          <w:szCs w:val="20"/>
          <w:color w:val="auto"/>
        </w:rPr>
      </w:pPr>
    </w:p>
    <w:p>
      <w:pPr>
        <w:ind w:right="80" w:firstLine="436"/>
        <w:spacing w:after="0" w:line="254"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upon compliance with the provisions of this Article 14, each Holder of a Note shall have the right, at such Holder’s option, to convert all or any portion (if the portion to be converted is $1,000 principal amount or an integral multiple thereof) of such Note (i) subject to satisfaction of the conditions described in Section 14.01(b), at any time prior to the close of business on the Business Day immediately preceding February 15, 2032 under the circumstances and during the periods set forth in Section 14.01(b), and (ii) regardless of the conditions described in Section 14.01(b), on or after February 15, 2032 and prior to the close of business on the second Scheduled Trading Day immediately preceding the Maturity Date, in each case, at an initial conversion rate of 14.4388 shares of Class A Common Stock (subject to adjustment as provided in this Article 14,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per $1,000 principal amount of Notes (subject to, and in accordance with, the settlement provisions of Section 14.02, the “</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The Trustee shall have no obligation to make any determination as to whether any of the conditions described in Section 14.01(b) have been satisfied.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w:t>
      </w:r>
    </w:p>
    <w:p>
      <w:pPr>
        <w:spacing w:after="0" w:line="117" w:lineRule="exact"/>
        <w:rPr>
          <w:sz w:val="20"/>
          <w:szCs w:val="20"/>
          <w:color w:val="auto"/>
        </w:rPr>
      </w:pPr>
    </w:p>
    <w:p>
      <w:pPr>
        <w:ind w:left="440" w:right="100" w:firstLine="419"/>
        <w:spacing w:after="0" w:line="254" w:lineRule="auto"/>
        <w:tabs>
          <w:tab w:leader="none" w:pos="10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close of business on the Business Day immediately preceding February 15, 2032, a Holder may surrender all or any portion of its Notes for conversion at any time during the five Business Day period immediately after any ten consecutive Trading Day 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in which the Trading Price per $1,000 principal amount of Notes, as determined following a request by a Holder of Notes in accordance with this subsection (b)(i), for each Trading Day of the Measurement Period was less than 98% of the product of the Last Reported Sale Price of the Class A Common Stock on each such Trading Day and the Conversion Rate on each such Trading Day. The Trading Prices shall be determined by the Bid Solicitation Agent pursuant to this subsection (b)(i) and the definition of Trading Price set forth in this Indenture. The Bid Solicitation Agent (if other than the Company) shall have no obligation to determine the Trading Price per $1,000 principal amount of Notes unless the Company has requested</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20"/>
          </w:cols>
          <w:pgMar w:left="440" w:top="270" w:right="539" w:bottom="1440" w:gutter="0" w:footer="0" w:header="0"/>
        </w:sectPr>
      </w:pPr>
    </w:p>
    <w:bookmarkStart w:id="73" w:name="page74"/>
    <w:bookmarkEnd w:id="7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determination, and the Company shall have no obligation to make such request (or, if the Company is acting as Bid Solicitation Agent, the Company shall have no obligation to determine the Trading Price per $1,000 principal amount of Notes) unless a Holder or Holders of at least $5,000,000 (or such lesser amount as may then be outstanding) aggregate principal amount of Notes provides the Company with reasonable evidence that the Trading Price per $1,000 principal amount of Notes on any Trading Day would be less than 98% of the product of the Last Reported Sale Price of the Class A Common Stock on such Trading Day and the Conversion Rate on such Trading Day, at which time the Company shall instruct three independent nationally recognized securities dealers to deliver bids and instruct the Bid Solicitation Agent (if other than the Company) to determine, or if the Company is acting as Bid Solicitation Agent,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Class A Common Stock and the Conversion Rate. If (x) the Company is not acting as Bid Solicitation Agent, and the Company does not, when the Company is required to, instruct the Bid Solicitation Agent to determine the Trading Price per $1,000 principal amount of Notes when obligated as provided in the preceding sentence, or if the Company gives such instruction to the Bid Solicitation Agent and the Bid Solicitation Agent fails to make such determination, or (y) the Company is acting as Bid Solicitation Agent and the Company fails to make such determination when obligated as provided in the preceding sentence, then, in either case, the Trading Price per $1,000 principal amount of Notes on any date shall be deemed to be less than 98% of the product of the Last Reported Sale Price of the Class A Common Stock and the Conversion Rate on each Trading Day of such failure. If the Trading Price condition set forth above has been met, the Company shall so notify the Holders, the Trustee and the Conversion Agent (if other than the Trustee) in writing. Any such determination shall be conclusive absent manifest error. If, at any time after the Trading Price condition set forth above has been met, the Trading Price per $1,000 principal amount of Notes is greater than or equal to 98% of the product of the Last Reported Sale Price of the Class A Common Stock and the Conversion Rate for such date, the Company shall so notify the Holders, the Trustee and the Conversion Agent (if other than the Trustee) in writing and thereafter neither the Company nor the Bid Solicitation Agent (if other than the Company) shall be required to solicit bids (or determine the Trading Price of the Notes as set forth in this Indenture) again unless a new Holder request is made as provided in this subsection (b)(i).</w:t>
      </w:r>
    </w:p>
    <w:p>
      <w:pPr>
        <w:spacing w:after="0" w:line="98" w:lineRule="exact"/>
        <w:rPr>
          <w:sz w:val="20"/>
          <w:szCs w:val="20"/>
          <w:color w:val="auto"/>
        </w:rPr>
      </w:pPr>
    </w:p>
    <w:p>
      <w:pPr>
        <w:ind w:left="680" w:hanging="26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close of business on the Business Day immediately preceding February 15, 2032, the Company elects to:</w:t>
      </w:r>
    </w:p>
    <w:p>
      <w:pPr>
        <w:spacing w:after="0" w:line="117" w:lineRule="exact"/>
        <w:rPr>
          <w:rFonts w:ascii="Times New Roman" w:cs="Times New Roman" w:eastAsia="Times New Roman" w:hAnsi="Times New Roman"/>
          <w:sz w:val="18"/>
          <w:szCs w:val="18"/>
          <w:color w:val="auto"/>
        </w:rPr>
      </w:pPr>
    </w:p>
    <w:p>
      <w:pPr>
        <w:ind w:left="540" w:firstLine="408"/>
        <w:spacing w:after="0" w:line="256" w:lineRule="auto"/>
        <w:tabs>
          <w:tab w:leader="none" w:pos="12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the Class A Common Stock any rights, options or warrants (other than in connection with a stockholder rights plan prior to the separation of such rights from the Class A Common Stock) entitling them, for a period of not more than 60 calendar days after the announcement date of such distribution, to subscribe for or purchase shares of the Class A Common Stock at a price per share that is less than the average of the Last Reported Sale Prices of the Class A Common Stock for the 10 consecutive Trading Day period ending on, and including, the Trading Day immediately preceding the date of announcement of such distribution; or</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540"/>
          </w:cols>
          <w:pgMar w:left="880" w:top="270" w:right="479" w:bottom="1440" w:gutter="0" w:footer="0" w:header="0"/>
        </w:sectPr>
      </w:pPr>
    </w:p>
    <w:bookmarkStart w:id="74" w:name="page75"/>
    <w:bookmarkEnd w:id="74"/>
    <w:p>
      <w:pPr>
        <w:ind w:left="540" w:right="100" w:firstLine="408"/>
        <w:spacing w:after="0" w:line="261" w:lineRule="auto"/>
        <w:tabs>
          <w:tab w:leader="none" w:pos="122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distribute to all or substantially all holders of the Class A Common Stock the Company’s assets, securities or rights to purchase securities of the Company (other than in connection with a stockholder rights plan prior to separation of such rights from the Class A Common Stock), which distribution has a per share value, as reasonably determined by the Company in good faith, exceeding 10% of the Last Reported Sale Price of the Class A Common Stock on the Trading Day preceding the date of announcement for such distribution,</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then, in either case, the Company shall notify all Holders of the Notes, the Trustee and the Conversion Agent (if other than the Trustee) in writing at least 26 Scheduled Trading Days prior to the Ex-Dividend Date for such distribution (or, if later in the case of any such separation of rights issued pursuant to a stockholder rights plan, as soon as reasonably practicable after the Company becomes aware that such separation or triggering event has occurred or will occur);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Company is then otherwise permitted to settle conversions of Notes by Physical Settlement (and, for the avoidance of doubt, has not irrevocably elected another Settlement Method for conversions of Notes), then the Company may instead elect to provide such notice at least five Scheduled Trading Days prior to such Ex-Dividend Date, in which case the Company shall be required to settle all conversions of Notes with a Conversion Date occurring during the period on or after the date the Company provides such notice and before such Ex-Dividend Date (or, if earlier, the date the Company announces that such issuance or distribution will not take place) by Physical Settlement, and the Company shall describe the same in such notice. Once the Company has given such notice, a Holder may surrender all or any portion of its Notes for conversion at any time until the earlier of (1) the close of business on the Business Day immediately preceding the Ex-Dividend Date for such distribution and (2) the Company’s announcement that such distribution will not take place, in each case, even if the Notes are not otherwise convertible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Holders may not convert their Notes pursuant to this subsection (b)(ii) if they participate, at the same time and upon the same terms as holders of the Class A Common Stock and solely as a result of holding the Notes, in any of the transactions described in clause (A) or (B) of this subsection (b)(ii) without having to convert their Notes as if they held a number of shares of Class A Common Stock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 Holder.</w:t>
      </w:r>
    </w:p>
    <w:p>
      <w:pPr>
        <w:spacing w:after="0" w:line="87" w:lineRule="exact"/>
        <w:rPr>
          <w:sz w:val="20"/>
          <w:szCs w:val="20"/>
          <w:color w:val="auto"/>
        </w:rPr>
      </w:pPr>
    </w:p>
    <w:p>
      <w:pPr>
        <w:jc w:val="both"/>
        <w:ind w:firstLine="419"/>
        <w:spacing w:after="0" w:line="261" w:lineRule="auto"/>
        <w:tabs>
          <w:tab w:leader="none" w:pos="73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a transaction or event that constitutes a Fundamental Change or a Make-Whole Fundamental Change occurs prior to the close of business on the Business Day immediately preceding February 15, 2032, regardless of whether a Holder has the right to require the Company to repurchase the Notes pursuant to Section 15.02, or (B) the Company is a party to a Share Exchange Event (other than a Share Exchange Event that is solely for the purpose of changing the Company’s jurisdiction of organization that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560"/>
          </w:cols>
          <w:pgMar w:left="880" w:top="270" w:right="459" w:bottom="1440" w:gutter="0" w:footer="0" w:header="0"/>
        </w:sectPr>
      </w:pPr>
    </w:p>
    <w:bookmarkStart w:id="75" w:name="page76"/>
    <w:bookmarkEnd w:id="75"/>
    <w:p>
      <w:pPr>
        <w:ind w:left="4" w:right="40" w:hanging="4"/>
        <w:spacing w:after="0" w:line="269" w:lineRule="auto"/>
        <w:tabs>
          <w:tab w:leader="none" w:pos="25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does not constitute a Fundamental Change or a Make-Whole Fundamental Change and (y) results in a reclassification, conversion or exchange of outstanding shares of Class A Common Stock solely into shares of common stock of the surviving entity and such common stock becomes Reference Property for the Notes) that occurs prior to the close of business on the Business Day immediately preceding February 15, 2032 (each such Fundamental Change, Make-Whole Fundamental Change or Share Exchange Event, a “</w:t>
      </w:r>
      <w:r>
        <w:rPr>
          <w:rFonts w:ascii="Times New Roman" w:cs="Times New Roman" w:eastAsia="Times New Roman" w:hAnsi="Times New Roman"/>
          <w:sz w:val="17"/>
          <w:szCs w:val="17"/>
          <w:b w:val="1"/>
          <w:bCs w:val="1"/>
          <w:color w:val="auto"/>
        </w:rPr>
        <w:t>Corporate Event</w:t>
      </w:r>
      <w:r>
        <w:rPr>
          <w:rFonts w:ascii="Times New Roman" w:cs="Times New Roman" w:eastAsia="Times New Roman" w:hAnsi="Times New Roman"/>
          <w:sz w:val="17"/>
          <w:szCs w:val="17"/>
          <w:color w:val="auto"/>
        </w:rPr>
        <w:t>”), all or any portion of a Holder’s Notes may be surrendered for conversion at any time from and after the effective date of such Corporate Event to, and including, the earlier of</w:t>
      </w:r>
    </w:p>
    <w:p>
      <w:pPr>
        <w:spacing w:after="0" w:line="2" w:lineRule="exact"/>
        <w:rPr>
          <w:rFonts w:ascii="Times New Roman" w:cs="Times New Roman" w:eastAsia="Times New Roman" w:hAnsi="Times New Roman"/>
          <w:sz w:val="17"/>
          <w:szCs w:val="17"/>
          <w:color w:val="auto"/>
        </w:rPr>
      </w:pPr>
    </w:p>
    <w:p>
      <w:pPr>
        <w:ind w:left="4" w:hanging="4"/>
        <w:spacing w:after="0" w:line="252" w:lineRule="auto"/>
        <w:tabs>
          <w:tab w:leader="none" w:pos="25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the 35th Trading Day after the effective date of the Corporate Event (or, if the Company gives notice after the effective date of such Corporate Event, the close of business on the 35th Trading Day after the date the Company gives notice of such Corporate Event) or, if such Corporate Event also constitutes a Fundamental Change (other than an Exempted Fundamental Change), until the close of business on the Business Day immediately preceding the related Fundamental Change Repurchase Date and (y) the close of business on the second Scheduled Trading Day immediately preceding the Maturity Date. The Company shall notify Holders, the Trustee and the Conversion Agent (if other than the Trustee) in writing as promptly as practicable following the effective date of such Corporate Event, but in no event later than one Business Day after the effective date of such Corporate Event.</w:t>
      </w:r>
    </w:p>
    <w:p>
      <w:pPr>
        <w:spacing w:after="0" w:line="80" w:lineRule="exact"/>
        <w:rPr>
          <w:rFonts w:ascii="Times New Roman" w:cs="Times New Roman" w:eastAsia="Times New Roman" w:hAnsi="Times New Roman"/>
          <w:sz w:val="18"/>
          <w:szCs w:val="18"/>
          <w:color w:val="auto"/>
        </w:rPr>
      </w:pPr>
    </w:p>
    <w:p>
      <w:pPr>
        <w:ind w:left="4" w:right="100" w:firstLine="419"/>
        <w:spacing w:after="0" w:line="258" w:lineRule="auto"/>
        <w:tabs>
          <w:tab w:leader="none" w:pos="73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close of business on the Business Day immediately preceding February 15, 2032, a Holder may surrender all or any portion of its Notes for conversion at any time during any calendar quarter commencing after the calendar quarter ending on September 30, 2026 (and only during such calendar quarter), if the Last Reported Sale Price of the Class A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w:t>
      </w:r>
    </w:p>
    <w:p>
      <w:pPr>
        <w:spacing w:after="0" w:line="75" w:lineRule="exact"/>
        <w:rPr>
          <w:rFonts w:ascii="Times New Roman" w:cs="Times New Roman" w:eastAsia="Times New Roman" w:hAnsi="Times New Roman"/>
          <w:sz w:val="18"/>
          <w:szCs w:val="18"/>
          <w:color w:val="auto"/>
        </w:rPr>
      </w:pPr>
    </w:p>
    <w:p>
      <w:pPr>
        <w:ind w:left="4" w:firstLine="419"/>
        <w:spacing w:after="0" w:line="253" w:lineRule="auto"/>
        <w:tabs>
          <w:tab w:leader="none" w:pos="68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Notes for Optional Redemption pursuant to Article 16, then a Holder may surrender all or any portion of its Called Notes for conversion at any time prior to the close of business on the second Scheduled Trading Day immediately preceding the Redemption Date, even if the Called Notes are not otherwise convertible at such time. After that time, the right to convert such Called Notes on account of the Company’s delivery of a Notice of Redemption shall expire, unless the Company defaults in the payment of the Redemption Price, in which case a Holder of Called Notes may convert all or a portion of its Called Notes until the close of business on the Scheduled Trading Day immediately preceding the date on which the Redemption Price has been paid or duly provided for. If the Company elects to redeem fewer than all of the outstanding Notes pursuant to Article 16, and the Holder of any Note (or any owner of a beneficial interest in any Global Note) is reasonably not able to determine, prior to the close of business on the 24th Scheduled Trading Day immediately preceding the relevant Redemption Date (or if, as permitted by Section 16.02(a), the Company delivers a Notice of Redemption not less than 15 calendar days nor more than</w:t>
      </w:r>
    </w:p>
    <w:p>
      <w:pPr>
        <w:spacing w:after="0" w:line="12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564"/>
          </w:cols>
          <w:pgMar w:left="876" w:top="270" w:right="459" w:bottom="1440" w:gutter="0" w:footer="0" w:header="0"/>
        </w:sectPr>
      </w:pPr>
    </w:p>
    <w:bookmarkStart w:id="76" w:name="page77"/>
    <w:bookmarkEnd w:id="76"/>
    <w:p>
      <w:pPr>
        <w:ind w:left="44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45 Scheduled Trading Days prior to the related Redemption Date, then prior to close of business on the 14th calendar day immediately before the relevant Redemption Date), whether such Note or beneficial interest, as applicable, is to be redeemed pursuant to such Optional Redemption (and, as a result thereof, convertible on account of the related Notice of Redemption in accordance with the provisions of this Indenture), then such Holder or owner, as applicable, will be entitled to convert such Note or beneficial interest, as applicable, at any time during the related Redemption Period, and each such conversion will be deemed to be of a Note called for Optional Redemption, and such Note or beneficial interest will be deemed called for Optional Redemption solely for the purposes of such conversion (“</w:t>
      </w:r>
      <w:r>
        <w:rPr>
          <w:rFonts w:ascii="Times New Roman" w:cs="Times New Roman" w:eastAsia="Times New Roman" w:hAnsi="Times New Roman"/>
          <w:sz w:val="18"/>
          <w:szCs w:val="18"/>
          <w:b w:val="1"/>
          <w:bCs w:val="1"/>
          <w:color w:val="auto"/>
        </w:rPr>
        <w:t>Deemed Redemption</w:t>
      </w:r>
      <w:r>
        <w:rPr>
          <w:rFonts w:ascii="Times New Roman" w:cs="Times New Roman" w:eastAsia="Times New Roman" w:hAnsi="Times New Roman"/>
          <w:sz w:val="18"/>
          <w:szCs w:val="18"/>
          <w:color w:val="auto"/>
        </w:rPr>
        <w:t>”). If a Holder elects to convert Called Notes during the related Redemption Period, such conversion will be deemed “in connection with” the relevant Notice of Redemption pursuant to Section 14.03(a), and the Company will, under certain circumstances, increase the Conversion Rate for such Called Notes pursuant to Section 14.03. Accordingly, if the Company elects to redeem fewer than all of the outstanding Notes pursuant to Article 16, Holders of the Notes that are not Called Notes shall not be entitled to convert such Notes pursuant to this Section 14.01(b)(v) and shall not be entitled to an increase in the Conversion Rate on account of the Notice of Redemption for conversions of such Notes during the related Redemption Period, even if such Notes are otherwise convertible pursuant to any other provision of this Section 14.01(b).</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14.02</w:t>
      </w:r>
      <w:r>
        <w:rPr>
          <w:rFonts w:ascii="Times New Roman" w:cs="Times New Roman" w:eastAsia="Times New Roman" w:hAnsi="Times New Roman"/>
          <w:sz w:val="18"/>
          <w:szCs w:val="18"/>
          <w:i w:val="1"/>
          <w:iCs w:val="1"/>
          <w:color w:val="auto"/>
        </w:rPr>
        <w:t>. Conversion Procedure; Settlement Upon Conversion.</w:t>
      </w:r>
    </w:p>
    <w:p>
      <w:pPr>
        <w:spacing w:after="0" w:line="227" w:lineRule="exact"/>
        <w:rPr>
          <w:sz w:val="20"/>
          <w:szCs w:val="20"/>
          <w:color w:val="auto"/>
        </w:rPr>
      </w:pPr>
    </w:p>
    <w:p>
      <w:pPr>
        <w:ind w:left="4" w:right="160" w:firstLine="436"/>
        <w:spacing w:after="0" w:line="269" w:lineRule="auto"/>
        <w:tabs>
          <w:tab w:leader="none" w:pos="689"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this Section 14.02, Section 14.03(b) and Section 14.07(a), upon conversion of any Note, the Company shall satisfy its Conversion Obligation by paying or delivering, as the case may be, to the converting Holder, in respect of each $1,000 principal amount of Notes being converted, cash (“</w:t>
      </w:r>
      <w:r>
        <w:rPr>
          <w:rFonts w:ascii="Times New Roman" w:cs="Times New Roman" w:eastAsia="Times New Roman" w:hAnsi="Times New Roman"/>
          <w:sz w:val="17"/>
          <w:szCs w:val="17"/>
          <w:b w:val="1"/>
          <w:bCs w:val="1"/>
          <w:color w:val="auto"/>
        </w:rPr>
        <w:t>Cash Settlement</w:t>
      </w:r>
      <w:r>
        <w:rPr>
          <w:rFonts w:ascii="Times New Roman" w:cs="Times New Roman" w:eastAsia="Times New Roman" w:hAnsi="Times New Roman"/>
          <w:sz w:val="17"/>
          <w:szCs w:val="17"/>
          <w:color w:val="auto"/>
        </w:rPr>
        <w:t>”), shares of Class A Common Stock, together with cash, if applicable, in lieu of delivering any fractional share of Class A Common Stock in accordance with subsection (j) of this Section 14.02 (“</w:t>
      </w:r>
      <w:r>
        <w:rPr>
          <w:rFonts w:ascii="Times New Roman" w:cs="Times New Roman" w:eastAsia="Times New Roman" w:hAnsi="Times New Roman"/>
          <w:sz w:val="17"/>
          <w:szCs w:val="17"/>
          <w:b w:val="1"/>
          <w:bCs w:val="1"/>
          <w:color w:val="auto"/>
        </w:rPr>
        <w:t>Physical Settlement</w:t>
      </w:r>
      <w:r>
        <w:rPr>
          <w:rFonts w:ascii="Times New Roman" w:cs="Times New Roman" w:eastAsia="Times New Roman" w:hAnsi="Times New Roman"/>
          <w:sz w:val="17"/>
          <w:szCs w:val="17"/>
          <w:color w:val="auto"/>
        </w:rPr>
        <w:t>”) or a combination of cash and shares of Class A Common Stock, together with cash, if applicable, in lieu of delivering any fractional share of Class A Common Stock in accordance with subsection</w:t>
      </w:r>
    </w:p>
    <w:p>
      <w:pPr>
        <w:spacing w:after="0" w:line="2"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14.02 (“</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at its election, as set forth in this Section 14.02.</w:t>
      </w:r>
    </w:p>
    <w:p>
      <w:pPr>
        <w:spacing w:after="0" w:line="206" w:lineRule="exact"/>
        <w:rPr>
          <w:rFonts w:ascii="Times New Roman" w:cs="Times New Roman" w:eastAsia="Times New Roman" w:hAnsi="Times New Roman"/>
          <w:sz w:val="18"/>
          <w:szCs w:val="18"/>
          <w:color w:val="auto"/>
        </w:rPr>
      </w:pPr>
    </w:p>
    <w:p>
      <w:pPr>
        <w:ind w:left="444" w:right="400" w:firstLine="419"/>
        <w:spacing w:after="0" w:line="312" w:lineRule="auto"/>
        <w:tabs>
          <w:tab w:leader="none" w:pos="1082" w:val="left"/>
        </w:tabs>
        <w:numPr>
          <w:ilvl w:val="2"/>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conversions of Called Notes for which the relevant Conversion Date occurs during the related Redemption Period, and all conversions for which the relevant Conversion Date occurs on or after February 15, 2032, shall be settled using the same Settlement Method.</w:t>
      </w:r>
    </w:p>
    <w:p>
      <w:pPr>
        <w:spacing w:after="0" w:line="31" w:lineRule="exact"/>
        <w:rPr>
          <w:rFonts w:ascii="Times New Roman" w:cs="Times New Roman" w:eastAsia="Times New Roman" w:hAnsi="Times New Roman"/>
          <w:sz w:val="17"/>
          <w:szCs w:val="17"/>
          <w:color w:val="auto"/>
        </w:rPr>
      </w:pPr>
    </w:p>
    <w:p>
      <w:pPr>
        <w:ind w:left="444" w:right="240" w:firstLine="419"/>
        <w:spacing w:after="0" w:line="256" w:lineRule="auto"/>
        <w:tabs>
          <w:tab w:leader="none" w:pos="1132"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conversions of Called Notes for which the relevant Conversion Date occurs during the related Redemption Period, and any conversions for which the relevant Conversion Date occurs on or after February 15, 2032, and except to the extent the Company has irrevocably elected Physical Settlement pursuant to Section 14.01(b)(ii) in a notice as described in such Section or has previously made an Irrevocable Election with respect to all subsequent conversions of the Notes pursuant to the second paragraph of Section 14.02(a)(iii), the Company shall use the same Settlement Method for all conversions with the same Conversion Date, but the Company shall not have any obligation to use the same Settlement Method with respect to conversions with different Conversion Dates.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70" w:right="459" w:bottom="1440" w:gutter="0" w:footer="0" w:header="0"/>
        </w:sectPr>
      </w:pPr>
    </w:p>
    <w:bookmarkStart w:id="77" w:name="page78"/>
    <w:bookmarkEnd w:id="77"/>
    <w:p>
      <w:pPr>
        <w:ind w:firstLine="419"/>
        <w:spacing w:after="0" w:line="252" w:lineRule="auto"/>
        <w:tabs>
          <w:tab w:leader="none" w:pos="73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in respect of any Conversion Date (or any conversions of Called Notes for which the relevant Conversion Date occurs during the related Redemption Period, or any conversions for which the relevant Conversion Date occurs on or after February 15, 2032 or for which the Company has irrevocably elected Physical Settlement pursuant to Section 14.01(b)(ii) in a notice as described in such Section), the Company elects to deliver a notice (the “</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of the relevant Settlement Method in respect of such Conversion Date (or such period, as the case may be), the Company shall deliver such Settlement Notice to converting Holders, the Trustee and the Conversion Agent (if other than the Trustee) no later than the close of business on the Trading Day immediately following the relevant Conversion Date (or, in the case of any conversions (A) of Called Notes for which the relevant Conversion Date occurs during the related Redemption Period, in the related Notice of Redemption, (B) of Notes for which the relevant Conversion Date occurs on or after February 15, 2032, no later than February 15, 2032 or (C) for which the Company has irrevocably elected Physical Settlement pursuant to Section 14.01(b)(ii), in a notice as described in such Section or for which the Company has previously made an Irrevocable Election with respect to all subsequent conversions of the Notes, as described in the next succeeding paragraph). If the Company does not elect a Settlement Method prior to the deadline set forth in the immediately preceding sentence, the Company shall no longer have the right to elect a Settlement Method with respect to any conversion on such Conversion Date or during such period, and the Company shall be deemed to have elected the Default Settlement Method with respect to such conversion. Such Settlement Notice shall specify the relevant Settlement Method and in the case of an election of Combination Settlement, the relevant Settlement Notice shall indicate the Specified Dollar Amount per $1,000 principal amount of Notes. If the Company delivers a Settlement Notice electing (or is deemed to have elected) Combination Settlement in respect of its Conversion Obligation but does not indicate a Specified Dollar Amount per $1,000 principal amount of Notes to be converted in such Settlement Notice, the Specified Dollar Amount per $1,000 principal amount of Notes shall be deemed to be $1,000. For the avoidance of doubt, the Company’s failure to timely elect a Settlement Method or specify as applicable a Specified Dollar Amount shall not constitute a Default under this Indenture.</w:t>
      </w:r>
    </w:p>
    <w:p>
      <w:pPr>
        <w:spacing w:after="0" w:line="83"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By notice to Holders, the Trustee and the Conversion Agent (if other than the Trustee), the Company may, from time to time, change the Default Settlement Method prior to February 15, 2032. By notice to all Holders, the Company may, prior to February 15, 2032, at its option, irrevocably elect to satisfy its Conversion Obligation with respect to the Notes through any Settlement Method that the Company is then permitted to elect, including Combination Settlement with a Specified Dollar Amount per $1,000 principal amount of Notes of $1,000 or with an ability to continue to set the Specified Dollar Amount per $1,000 principal amount of Notes at or above a specific</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560"/>
          </w:cols>
          <w:pgMar w:left="880" w:top="270" w:right="459" w:bottom="1440" w:gutter="0" w:footer="0" w:header="0"/>
        </w:sectPr>
      </w:pPr>
    </w:p>
    <w:bookmarkStart w:id="78" w:name="page79"/>
    <w:bookmarkEnd w:id="7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set forth in such election notice (any such election, an “</w:t>
      </w:r>
      <w:r>
        <w:rPr>
          <w:rFonts w:ascii="Times New Roman" w:cs="Times New Roman" w:eastAsia="Times New Roman" w:hAnsi="Times New Roman"/>
          <w:sz w:val="18"/>
          <w:szCs w:val="18"/>
          <w:b w:val="1"/>
          <w:bCs w:val="1"/>
          <w:color w:val="auto"/>
        </w:rPr>
        <w:t>Irrevocable Election</w:t>
      </w:r>
      <w:r>
        <w:rPr>
          <w:rFonts w:ascii="Times New Roman" w:cs="Times New Roman" w:eastAsia="Times New Roman" w:hAnsi="Times New Roman"/>
          <w:sz w:val="18"/>
          <w:szCs w:val="18"/>
          <w:color w:val="auto"/>
        </w:rPr>
        <w:t xml:space="preserve">”). If the Company changes the Default Settlement Method or the Company irrevocably elects to fix the Settlement Method, in either case, to Combination Settlement with an ability to continue to set the Specified Dollar Amount per $1,000 principal amount of Notes at or above a specific amount, the Company will, after the date of such change or election, as the case may be, inform Holders converting their Notes, the Trustee and the Conversion Agent (if other than the Trustee) of such Specified Dollar Amount no later than the relevant deadline for election of a specified Settlement Method as set forth in the immediately preceding paragraph, or, if the Company does not timely notify Holders, such Specified Dollar Amount will be the specific amount set forth in the election notice or, if no specific amount was set forth in the election notice, such Specified Dollar Amount will be $1,000 per $1,000 principal amount of Notes. A change in the Default Settlement Method or an Irrevocable Election shall apply for all conversions of Notes with Conversion Dates occurring subsequent to delivery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change or election will affect any Settlement Method theretofore elected (or deemed to be elected) with respect to any Note. For the avoidance of doubt, such an Irrevocable Election, if made by the Company, will be effective without the need to amend this Indenture or the Notes, including pursuant to Section 10.01(m). However, the Company may nonetheless choose to execute such an amendment at its option. If the Company changes the Default Settlement Method or if the Company irrevocably fixes the Settlement Method pursuant to this paragraph, then, concurrently with providing notice to Holders, the Trustee and the Conversion Agent (if other than the Trustee) of such change or election, the Company shall either post the Default Settlement Method or fixed Settlement Method, as the case may be, on its website or disclose the same in a current report on Form 8-K (or any successor form) that is filed with the Commission.</w:t>
      </w:r>
    </w:p>
    <w:p>
      <w:pPr>
        <w:spacing w:after="0" w:line="91" w:lineRule="exact"/>
        <w:rPr>
          <w:sz w:val="20"/>
          <w:szCs w:val="20"/>
          <w:color w:val="auto"/>
        </w:rPr>
      </w:pPr>
    </w:p>
    <w:p>
      <w:pPr>
        <w:ind w:right="160" w:firstLine="419"/>
        <w:spacing w:after="0" w:line="282" w:lineRule="auto"/>
        <w:tabs>
          <w:tab w:leader="none" w:pos="72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shares of Class A Common Stock or combination of cash and shares of Class A Common Stock in respect of any conversion of Notes (the “</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shall be computed as follows:</w:t>
      </w:r>
    </w:p>
    <w:p>
      <w:pPr>
        <w:spacing w:after="0" w:line="53" w:lineRule="exact"/>
        <w:rPr>
          <w:rFonts w:ascii="Times New Roman" w:cs="Times New Roman" w:eastAsia="Times New Roman" w:hAnsi="Times New Roman"/>
          <w:sz w:val="18"/>
          <w:szCs w:val="18"/>
          <w:color w:val="auto"/>
        </w:rPr>
      </w:pPr>
    </w:p>
    <w:p>
      <w:pPr>
        <w:jc w:val="both"/>
        <w:ind w:left="540" w:right="560" w:firstLine="408"/>
        <w:spacing w:after="0" w:line="266" w:lineRule="auto"/>
        <w:tabs>
          <w:tab w:leader="none" w:pos="123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Physical Settlement, the Company shall deliver to the converting Holder in respect of each $1,000 principal amount of Notes being converted a number of shares of Class A Common Stock equal to the Conversion Rate in effect on the Conversion Date;</w:t>
      </w:r>
    </w:p>
    <w:p>
      <w:pPr>
        <w:spacing w:after="0" w:line="67" w:lineRule="exact"/>
        <w:rPr>
          <w:rFonts w:ascii="Times New Roman" w:cs="Times New Roman" w:eastAsia="Times New Roman" w:hAnsi="Times New Roman"/>
          <w:sz w:val="18"/>
          <w:szCs w:val="18"/>
          <w:color w:val="auto"/>
        </w:rPr>
      </w:pPr>
    </w:p>
    <w:p>
      <w:pPr>
        <w:jc w:val="both"/>
        <w:ind w:left="540" w:right="160" w:firstLine="408"/>
        <w:spacing w:after="0" w:line="261" w:lineRule="auto"/>
        <w:tabs>
          <w:tab w:leader="none" w:pos="122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20 consecutive Trading Days during the related Observation Period; and</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560"/>
          </w:cols>
          <w:pgMar w:left="880" w:top="266" w:right="459" w:bottom="1440" w:gutter="0" w:footer="0" w:header="0"/>
        </w:sectPr>
      </w:pPr>
    </w:p>
    <w:bookmarkStart w:id="79" w:name="page80"/>
    <w:bookmarkEnd w:id="79"/>
    <w:p>
      <w:pPr>
        <w:ind w:left="980" w:right="300" w:firstLine="408"/>
        <w:spacing w:after="0" w:line="261" w:lineRule="auto"/>
        <w:tabs>
          <w:tab w:leader="none" w:pos="1666"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elects (or is deemed to have elected)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20 consecutive Trading Days during the related Observation Period.</w:t>
      </w:r>
    </w:p>
    <w:p>
      <w:pPr>
        <w:spacing w:after="0" w:line="71"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Settlement Amounts (if applicable) and the Daily Conversion Values (if applicable) shall be determined by the Company promptly following the last day of the Observation Period. Promptly after such determination of the Daily Settlement Amounts (if applicable), the Daily Conversion Values (if applicable) and the amount of cash payable in lieu of delivering any fractional share of Class A Common Stock, the Company shall notify the Trustee and the Conversion Agent (if other than the Trustee) of the Daily Settlement Amounts (if applicable), the Daily Conversion Values (if applicable) and the amount of cash payable in lieu of delivering any fractional shares of Class A Common Stock. The Trustee and the Conversion Agent (if other than the Trustee) shall have no responsibility for any such determination.</w:t>
      </w:r>
    </w:p>
    <w:p>
      <w:pPr>
        <w:spacing w:after="0" w:line="187" w:lineRule="exact"/>
        <w:rPr>
          <w:rFonts w:ascii="Times New Roman" w:cs="Times New Roman" w:eastAsia="Times New Roman" w:hAnsi="Times New Roman"/>
          <w:sz w:val="18"/>
          <w:szCs w:val="18"/>
          <w:color w:val="auto"/>
        </w:rPr>
      </w:pPr>
    </w:p>
    <w:p>
      <w:pPr>
        <w:ind w:right="20" w:firstLine="436"/>
        <w:spacing w:after="0" w:line="252"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14.02(e), before any Holder of a Note shall be entitled to convert a Note as set forth above, such Holder shall (i) in the case of a Global Note, comply with the applicable procedures of the Depositary in effect at that time and, if required, pay funds equal to any Special Interest payable on the next Special Interest Payment Date to which such Holder is not entitled as set forth in Section 14.02(h) and (ii) in the case of a Physical Note (1) complete, manually sign and deliver an irrevocable notice to the Conversion Agent as set forth in the Form of Notice of Conversion (or a facsimile, PDF or other electronic transmission thereof) (a notice pursuant to the applicable procedures of the Depositary or a notice as set forth in the Form of Notice of Conversion, a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at the office of the Conversion Agent and state in writing therein the principal amount of Notes to be converted and the name or names (with addresses) in which such Holder wishes the certificate or certificates for any shares of Class A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any Special Interest payable on the next Special Interest Payment Date to which such Holder is not entitled as set forth in Section 14.02(h).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Section 15.03.</w:t>
      </w:r>
    </w:p>
    <w:p>
      <w:pPr>
        <w:spacing w:after="0" w:line="19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60"/>
          </w:cols>
          <w:pgMar w:left="440" w:top="270" w:right="499" w:bottom="1440" w:gutter="0" w:footer="0" w:header="0"/>
        </w:sectPr>
      </w:pPr>
    </w:p>
    <w:bookmarkStart w:id="80" w:name="page81"/>
    <w:bookmarkEnd w:id="80"/>
    <w:p>
      <w:pPr>
        <w:ind w:firstLine="436"/>
        <w:spacing w:after="0" w:line="254"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Note shall be deemed to have been converted immediately prior to the close of business on the date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that the Holder has complied with the requirements set forth in subsection (b) above. Except as set forth in Section 14.03(b) and Section 14.07(a), the Company shall pay or deliver, as the case may be, the consideration due in respect of the Conversion Obligation on the second Business Day immediately following the relevant Conversion Date, if the Company elects Physical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Conversion Date following the Special Interest Record Date immediately preceding the Maturity Date where Physical Settlement applies to the related conversion, the Company shall settle any such conversion on the Maturity Date), or on the second Business Day immediately following the last Trading Day of the Observation Period, in the case of any other Settlement Method. If any shares of Class A Common Stock are due to a converting Holder, the Company shall issue or cause to be issued, and deliver (if applicable) to the Conversion Agent or to such Holder, or such Holder’s nominee or nominees, the full number of shares of Class A Common Stock to which such Holder shall be entitled, in book-entry format through the Depositary, in satisfaction of the Company’s Conversion Obligation.</w:t>
      </w:r>
    </w:p>
    <w:p>
      <w:pPr>
        <w:spacing w:after="0" w:line="189" w:lineRule="exact"/>
        <w:rPr>
          <w:rFonts w:ascii="Times New Roman" w:cs="Times New Roman" w:eastAsia="Times New Roman" w:hAnsi="Times New Roman"/>
          <w:sz w:val="18"/>
          <w:szCs w:val="18"/>
          <w:color w:val="auto"/>
        </w:rPr>
      </w:pPr>
    </w:p>
    <w:p>
      <w:pPr>
        <w:ind w:right="160" w:firstLine="436"/>
        <w:spacing w:after="0" w:line="256"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87" w:lineRule="exact"/>
        <w:rPr>
          <w:rFonts w:ascii="Times New Roman" w:cs="Times New Roman" w:eastAsia="Times New Roman" w:hAnsi="Times New Roman"/>
          <w:sz w:val="18"/>
          <w:szCs w:val="18"/>
          <w:color w:val="auto"/>
        </w:rPr>
      </w:pPr>
    </w:p>
    <w:p>
      <w:pPr>
        <w:ind w:right="180" w:firstLine="436"/>
        <w:spacing w:after="0" w:line="258"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submits a Note for conversion, the Company shall pay any documentary, stamp or similar issue or transfer tax due on the issue of any shares of Class A Common Stock upon conversion, unless the tax is due because the Holder requests such shares to be issued in a name other than the Holder’s name, in which case the Holder shall pay that tax. The Conversion Agent may refuse to deliver the certificates representing the shares of Class A Common Stock being issued in a name other than the Holder’s name until the Trustee receives a sum sufficient to pay any tax that is due by such Holder in accordance with the immediately preceding sentence.</w:t>
      </w:r>
    </w:p>
    <w:p>
      <w:pPr>
        <w:spacing w:after="0" w:line="183" w:lineRule="exact"/>
        <w:rPr>
          <w:rFonts w:ascii="Times New Roman" w:cs="Times New Roman" w:eastAsia="Times New Roman" w:hAnsi="Times New Roman"/>
          <w:sz w:val="18"/>
          <w:szCs w:val="18"/>
          <w:color w:val="auto"/>
        </w:rPr>
      </w:pPr>
    </w:p>
    <w:p>
      <w:pPr>
        <w:ind w:right="440" w:firstLine="436"/>
        <w:spacing w:after="0" w:line="282" w:lineRule="auto"/>
        <w:tabs>
          <w:tab w:leader="none" w:pos="66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14.04, no adjustment shall be made for dividends on any shares of Class A Common Stock issued upon the conversion of any Note as provided in this Article 14.</w:t>
      </w:r>
    </w:p>
    <w:p>
      <w:pPr>
        <w:spacing w:after="0" w:line="161"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66" w:right="459" w:bottom="1440" w:gutter="0" w:footer="0" w:header="0"/>
        </w:sectPr>
      </w:pPr>
    </w:p>
    <w:bookmarkStart w:id="81" w:name="page82"/>
    <w:bookmarkEnd w:id="81"/>
    <w:p>
      <w:pPr>
        <w:ind w:right="60" w:firstLine="436"/>
        <w:spacing w:after="0" w:line="252"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conversion, a Holder shall not receive any separate cash payment for accrued and unpaid interest, if any, except as set forth below. The Company’s settlement of the full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shares of Class A Common Stock, accrued and unpaid interest will be deemed to be paid first out of the cash paid upon such conversion. Notwithstanding the foregoing, if Notes are converted after the close of business on a Special Interest Record Date for the payment of Special Interest, and prior to the open of business on the corresponding Special Interest Payment Date, Holders of such Notes as of the close of business on such Special Interest Record Date will receive the full amount of any Special Interest payable on such Notes on the corresponding Special Interest Payment Date notwithstanding the conversion. Notes surrendered for conversion during the period from the close of business on any Special Interest Record Date to the open of business on the immediately following Special Interest Payment Date must be accompanied by funds equal to the amount of Special Interest payable on the Notes so converted;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 shall be required (1) for conversions following May 1, 2032, if Special Interest is payable on the Maturity Date; (2) for conversions of Called Notes during a Redemption Period; (3) if the Company has specified a Fundamental Change Repurchase Date that is after a Special Interest Record Date and on or prior to the Business Day immediately following the corresponding Special Interest Payment Date; or (4) to the extent of any overdue interest, if any overdue interest exists at the time of conversion with respect to such Note. Therefore, for the avoidance of doubt, all Holders of record on May 1, 2032 (if and to the extent Special Interest is payable on the Maturity Date) shall receive the full Special Interest payment due on the Maturity Date in cash regardless of whether their Notes have been converted following May 1, 2032.</w:t>
      </w:r>
    </w:p>
    <w:p>
      <w:pPr>
        <w:spacing w:after="0" w:line="193" w:lineRule="exact"/>
        <w:rPr>
          <w:rFonts w:ascii="Times New Roman" w:cs="Times New Roman" w:eastAsia="Times New Roman" w:hAnsi="Times New Roman"/>
          <w:sz w:val="18"/>
          <w:szCs w:val="18"/>
          <w:color w:val="auto"/>
        </w:rPr>
      </w:pPr>
    </w:p>
    <w:p>
      <w:pPr>
        <w:ind w:firstLine="436"/>
        <w:spacing w:after="0" w:line="261"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in whose name the shares of Class A Common Stock shall be issuable upon conversion shall be treated as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w:t>
      </w:r>
    </w:p>
    <w:p>
      <w:pPr>
        <w:spacing w:after="0" w:line="179" w:lineRule="exact"/>
        <w:rPr>
          <w:rFonts w:ascii="Times New Roman" w:cs="Times New Roman" w:eastAsia="Times New Roman" w:hAnsi="Times New Roman"/>
          <w:sz w:val="18"/>
          <w:szCs w:val="18"/>
          <w:color w:val="auto"/>
        </w:rPr>
      </w:pPr>
    </w:p>
    <w:p>
      <w:pPr>
        <w:ind w:firstLine="436"/>
        <w:spacing w:after="0" w:line="256"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any fractional share of Class A Common Stock upon conversion of the Notes and shall instead pay cash in lieu of delivering any fractional share of Class A Common Stock issuable upon conversion based on the Daily VWAP for the relevant Conversion Date (in the case of Physical Settlement) or based on the Daily VWAP for the last Trading Day of the relevant Observation Period (in the case of Combination Settlement). For each Note surrendered for conversion, if the Company has elected (or is deemed to have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82" w:name="page83"/>
    <w:bookmarkEnd w:id="82"/>
    <w:p>
      <w:pPr>
        <w:ind w:left="4" w:right="10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14.03</w:t>
      </w:r>
      <w:r>
        <w:rPr>
          <w:rFonts w:ascii="Times New Roman" w:cs="Times New Roman" w:eastAsia="Times New Roman" w:hAnsi="Times New Roman"/>
          <w:sz w:val="18"/>
          <w:szCs w:val="18"/>
          <w:i w:val="1"/>
          <w:iCs w:val="1"/>
          <w:color w:val="auto"/>
        </w:rPr>
        <w:t>. Increased Conversion Rate Applicable to Certain Notes Surrendered in Connection with Make-Whole Fundamental Changes 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 of Redemption.</w:t>
      </w:r>
    </w:p>
    <w:p>
      <w:pPr>
        <w:spacing w:after="0" w:line="160" w:lineRule="exact"/>
        <w:rPr>
          <w:sz w:val="20"/>
          <w:szCs w:val="20"/>
          <w:color w:val="auto"/>
        </w:rPr>
      </w:pPr>
    </w:p>
    <w:p>
      <w:pPr>
        <w:ind w:left="4" w:right="20" w:firstLine="436"/>
        <w:spacing w:after="0" w:line="268" w:lineRule="auto"/>
        <w:tabs>
          <w:tab w:leader="none" w:pos="689"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the Effective Date of a Make-Whole Fundamental Change occurs prior to the Maturity Date and a Holder elects to convert its Notes in connection with such Make-Whole Fundamental Change or (ii) the Company delivers a Notice of Redemption as provided under Section 16.02 and a Holder elects to convert its Called Notes in connection with such Notice of Redemption, as the case may be, the Company shall, under the circumstances described below, increase the Conversion Rate for the Notes so surrendered for conversion by a number of additional shares of Class A Common Stock (the “</w:t>
      </w:r>
      <w:r>
        <w:rPr>
          <w:rFonts w:ascii="Times New Roman" w:cs="Times New Roman" w:eastAsia="Times New Roman" w:hAnsi="Times New Roman"/>
          <w:sz w:val="17"/>
          <w:szCs w:val="17"/>
          <w:b w:val="1"/>
          <w:bCs w:val="1"/>
          <w:color w:val="auto"/>
        </w:rPr>
        <w:t>Additional Shares</w:t>
      </w:r>
      <w:r>
        <w:rPr>
          <w:rFonts w:ascii="Times New Roman" w:cs="Times New Roman" w:eastAsia="Times New Roman" w:hAnsi="Times New Roman"/>
          <w:sz w:val="17"/>
          <w:szCs w:val="17"/>
          <w:color w:val="auto"/>
        </w:rPr>
        <w:t xml:space="preserve">”), as described below. A conversion of Notes shall be deemed for these purposes to be “in connection with” a Make-Whole Fundamental Change if the relevant Conversion Date occurs during the period from, and including, the Effective Date of the Make-Whole Fundamental Change up to, and including, the Business Day immediately prior to the related Fundamental Change Repurchase Date (or, in the case of an Exempted Fundamental Change or a Make-Whole Fundamental Change that would have been a Fundamental Change but for the </w:t>
      </w:r>
      <w:r>
        <w:rPr>
          <w:rFonts w:ascii="Times New Roman" w:cs="Times New Roman" w:eastAsia="Times New Roman" w:hAnsi="Times New Roman"/>
          <w:sz w:val="17"/>
          <w:szCs w:val="17"/>
          <w:i w:val="1"/>
          <w:iCs w:val="1"/>
          <w:color w:val="auto"/>
        </w:rPr>
        <w:t>proviso</w:t>
      </w:r>
      <w:r>
        <w:rPr>
          <w:rFonts w:ascii="Times New Roman" w:cs="Times New Roman" w:eastAsia="Times New Roman" w:hAnsi="Times New Roman"/>
          <w:sz w:val="17"/>
          <w:szCs w:val="17"/>
          <w:color w:val="auto"/>
        </w:rPr>
        <w:t xml:space="preserve"> in clause</w:t>
      </w:r>
    </w:p>
    <w:p>
      <w:pPr>
        <w:ind w:left="4" w:hanging="4"/>
        <w:spacing w:after="0" w:line="252"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thereof, the 35th Trading Day immediately following the Effective Date of such Make-Whole Fundamental Change) (such period, the “</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A conversion of Notes shall be deemed for these purposes to be “in connection with” a Notice of Redemption if such Notes are Called Notes with respect to such Notice of Redemption and the relevant Conversion Date occurs during the related Redemption Period. For the avoidance of doubt, if the Company elects to redeem fewer than all of the outstanding Notes pursuant to Article 16, Holders of the Notes that are not Called Notes shall not be entitled to convert such Notes pursuant to Section 14.01(b)(v) and shall not be entitled to an increase in the Conversion Rate for conversions of such Notes (on account of the Notice of Redemption) during the applicable Redemption Period, even if such Notes are otherwise convertible pursuant to Section 14.01(b)(i)-(iv).</w:t>
      </w:r>
    </w:p>
    <w:p>
      <w:pPr>
        <w:spacing w:after="0" w:line="188"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9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of Notes for conversion in connection with a Make-Whole Fundamental Change or a Notice of Redemption, the Company shall, at its option, satisfy the related Conversion Obligation by Physical Settlement, Cash Settlement or Combination Settlement in accordance with Section 14.02;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increase to reflect the Additional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such Stock Price. In such event, the Conversion Obligation shall be determined and paid to Holders in cash on the fifth Business Day following the Conversion Date. The Company shall notify the Holders, the Trustee and the Conversion Agent (if other than the Trustee) in writing of the Effective Date of any Make-Whole Fundamental Change no later than five Business Days after such Effective Date.</w:t>
      </w:r>
    </w:p>
    <w:p>
      <w:pPr>
        <w:spacing w:after="0" w:line="1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64"/>
          </w:cols>
          <w:pgMar w:left="436" w:top="268" w:right="499" w:bottom="1440" w:gutter="0" w:footer="0" w:header="0"/>
        </w:sectPr>
      </w:pPr>
    </w:p>
    <w:bookmarkStart w:id="83" w:name="page84"/>
    <w:bookmarkEnd w:id="83"/>
    <w:p>
      <w:pPr>
        <w:ind w:right="20" w:firstLine="436"/>
        <w:spacing w:after="0" w:line="253" w:lineRule="auto"/>
        <w:tabs>
          <w:tab w:leader="none" w:pos="6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number of Additional Shares, if any, by which the Conversion Rate shall be increased for conversions in connection with a Make-Whole Fundamental Change or a Notice of Redemption shall be determined by reference to the table below, based on the date on which the Make-Whole Fundamental Change occurs or becomes effective or the date the Company delivers the Notice of Redemption, as the case may be (in each case,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the price (the “</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paid (or deemed to be paid) per share of the Class A Common Stock in the Make-Whole Fundamental Change or determined with respect to the Notice of Redemption, as the case may be. If the holders of the Class A Common Stock receive in exchange for their Class A Common Stock only cash in a Make-Whole Fundamental Change described in clause (b) of the definition of Fundamental Change, the Stock Price shall be the cash amount paid per share. Otherwise, the Stock Price shall be the average of the Last Reported Sale Prices of the Class A Common Stock over the five consecutive Trading Day period ending on, and including, the Trading Day immediately preceding the applicable Effective Date. If a conversion of Called Notes during a Redemption Period would also be deemed to be in connection with a Make-Whole Fundamental Change, a Holder of any such Notes to be converted shall be entitled to a single increase to the Conversion Rate with respect to the first to occur of the Effective Date of the Notice of Redemption or the Make-Whole Fundamental Change, as applicable, and the later event shall be deemed not to have occurred for purposes of such conversion for purposes of this Section 14.03.</w:t>
      </w:r>
    </w:p>
    <w:p>
      <w:pPr>
        <w:spacing w:after="0" w:line="189"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183"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number of Additional Shares by which the Conversion Rate shall be increased per $1,000 principal amount of Notes pursuant to this Section 14.03 for each Stock Price and Effective Date set forth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3080" w:type="dxa"/>
            <w:vAlign w:val="bottom"/>
            <w:vMerge w:val="restart"/>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5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$49.47</w:t>
            </w:r>
          </w:p>
        </w:tc>
        <w:tc>
          <w:tcPr>
            <w:tcW w:w="160" w:type="dxa"/>
            <w:vAlign w:val="bottom"/>
          </w:tcPr>
          <w:p>
            <w:pPr>
              <w:spacing w:after="0"/>
              <w:rPr>
                <w:sz w:val="12"/>
                <w:szCs w:val="12"/>
                <w:color w:val="auto"/>
              </w:rPr>
            </w:pPr>
          </w:p>
        </w:tc>
        <w:tc>
          <w:tcPr>
            <w:tcW w:w="5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$60.00</w:t>
            </w:r>
          </w:p>
        </w:tc>
        <w:tc>
          <w:tcPr>
            <w:tcW w:w="160" w:type="dxa"/>
            <w:vAlign w:val="bottom"/>
          </w:tcPr>
          <w:p>
            <w:pPr>
              <w:spacing w:after="0"/>
              <w:rPr>
                <w:sz w:val="12"/>
                <w:szCs w:val="12"/>
                <w:color w:val="auto"/>
              </w:rPr>
            </w:pPr>
          </w:p>
        </w:tc>
        <w:tc>
          <w:tcPr>
            <w:tcW w:w="54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$69.26</w:t>
            </w:r>
          </w:p>
        </w:tc>
        <w:tc>
          <w:tcPr>
            <w:tcW w:w="180" w:type="dxa"/>
            <w:vAlign w:val="bottom"/>
          </w:tcPr>
          <w:p>
            <w:pPr>
              <w:spacing w:after="0"/>
              <w:rPr>
                <w:sz w:val="12"/>
                <w:szCs w:val="12"/>
                <w:color w:val="auto"/>
              </w:rPr>
            </w:pPr>
          </w:p>
        </w:tc>
        <w:tc>
          <w:tcPr>
            <w:tcW w:w="54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$75.00</w:t>
            </w:r>
          </w:p>
        </w:tc>
        <w:tc>
          <w:tcPr>
            <w:tcW w:w="160" w:type="dxa"/>
            <w:vAlign w:val="bottom"/>
          </w:tcPr>
          <w:p>
            <w:pPr>
              <w:spacing w:after="0"/>
              <w:rPr>
                <w:sz w:val="12"/>
                <w:szCs w:val="12"/>
                <w:color w:val="auto"/>
              </w:rPr>
            </w:pPr>
          </w:p>
        </w:tc>
        <w:tc>
          <w:tcPr>
            <w:tcW w:w="5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$90.04</w:t>
            </w:r>
          </w:p>
        </w:tc>
        <w:tc>
          <w:tcPr>
            <w:tcW w:w="160" w:type="dxa"/>
            <w:vAlign w:val="bottom"/>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100.00</w:t>
            </w:r>
          </w:p>
        </w:tc>
        <w:tc>
          <w:tcPr>
            <w:tcW w:w="160" w:type="dxa"/>
            <w:vAlign w:val="bottom"/>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150.00</w:t>
            </w:r>
          </w:p>
        </w:tc>
        <w:tc>
          <w:tcPr>
            <w:tcW w:w="160" w:type="dxa"/>
            <w:vAlign w:val="bottom"/>
          </w:tcPr>
          <w:p>
            <w:pPr>
              <w:spacing w:after="0"/>
              <w:rPr>
                <w:sz w:val="12"/>
                <w:szCs w:val="12"/>
                <w:color w:val="auto"/>
              </w:rPr>
            </w:pPr>
          </w:p>
        </w:tc>
        <w:tc>
          <w:tcPr>
            <w:tcW w:w="54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200.00</w:t>
            </w:r>
          </w:p>
        </w:tc>
        <w:tc>
          <w:tcPr>
            <w:tcW w:w="160" w:type="dxa"/>
            <w:vAlign w:val="bottom"/>
          </w:tcPr>
          <w:p>
            <w:pPr>
              <w:spacing w:after="0"/>
              <w:rPr>
                <w:sz w:val="12"/>
                <w:szCs w:val="12"/>
                <w:color w:val="auto"/>
              </w:rPr>
            </w:pPr>
          </w:p>
        </w:tc>
        <w:tc>
          <w:tcPr>
            <w:tcW w:w="56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300.00</w:t>
            </w:r>
          </w:p>
        </w:tc>
        <w:tc>
          <w:tcPr>
            <w:tcW w:w="160" w:type="dxa"/>
            <w:vAlign w:val="bottom"/>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400.00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May 12, 2026</w:t>
            </w: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5.7754</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4.2662</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3.3605</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2.9276</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2.0972</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1.7107</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0.6943</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0.3073</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0.0519</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15, 2027</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5.7754</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4.2662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3.3605</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2.9276</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2.0972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1.7034</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0.6577</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0.2765</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0.0397</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2028</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5.7754</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4.2662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3.3605</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2.9276</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2.0535</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1.6318</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0.5837</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0.2255</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0.0231</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15, 2029</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5.7754</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4.2662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3.3605</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2.8608</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1.8950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1.4697</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0.4643</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0.1541</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0.0066</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2030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5.7754</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4.2662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3.1034</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2.5575</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1.5865</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1.1776</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0.2939</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0.0702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15, 2031</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5.7754</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3.7588</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2.4716</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1.9207</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1.0163</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0.6773</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0.0907</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0.0051</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2032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5.7754</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2.2279</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372"/>
        </w:trPr>
        <w:tc>
          <w:tcPr>
            <w:tcW w:w="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4" w:name="page85"/>
    <w:bookmarkEnd w:id="8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exact Stock Price and Effective Date may not be set forth in the table above, in which case:</w:t>
      </w:r>
    </w:p>
    <w:p>
      <w:pPr>
        <w:spacing w:after="0" w:line="117" w:lineRule="exact"/>
        <w:rPr>
          <w:sz w:val="20"/>
          <w:szCs w:val="20"/>
          <w:color w:val="auto"/>
        </w:rPr>
      </w:pPr>
    </w:p>
    <w:p>
      <w:pPr>
        <w:jc w:val="both"/>
        <w:ind w:left="440" w:right="300" w:firstLine="419"/>
        <w:spacing w:after="0" w:line="261" w:lineRule="auto"/>
        <w:tabs>
          <w:tab w:leader="none" w:pos="10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between two Stock Prices in the table above or the Effective Date is between two Effective Dates in the table, the number of Additional Shares by which the Conversion Rate shall be increased shall be determined by a straight-line interpolation between the number of Additional Shares set forth for the higher and lower Stock Prices and the earlier and later Effective Dates, as applicable, based on a 365-day year;</w:t>
      </w:r>
    </w:p>
    <w:p>
      <w:pPr>
        <w:spacing w:after="0" w:line="71"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2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greater than $400.00 per share (subject to adjustment in the same manner as the Stock Prices set forth in the column headings of the table above pursuant to subsection (d) above), no Additional Shares shall be added to the Conversion Rate; and</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less than $49.47 per share (subject to adjustment in the same manner as the Stock Prices set forth in the column headings of the table above pursuant to subsection (d) above), no Additional Shares shall be added to the Conversion Rate.</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the Conversion Rate per $1,000 principal amount of Notes exceed 20.2142 shares of Class A Common Stock, subject to adjustment in the same manner as the Conversion Rate pursuant to Section 14.04.</w:t>
      </w:r>
    </w:p>
    <w:p>
      <w:pPr>
        <w:spacing w:after="0" w:line="162" w:lineRule="exact"/>
        <w:rPr>
          <w:sz w:val="20"/>
          <w:szCs w:val="20"/>
          <w:color w:val="auto"/>
        </w:rPr>
      </w:pPr>
    </w:p>
    <w:p>
      <w:pPr>
        <w:ind w:firstLine="436"/>
        <w:spacing w:after="0" w:line="282" w:lineRule="auto"/>
        <w:tabs>
          <w:tab w:leader="none" w:pos="6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14.03 shall prevent an adjustment to the Conversion Rate that would otherwise be required pursuant to Section 14.04 in respect of a Make-Whole Fundamental Change.</w:t>
      </w:r>
    </w:p>
    <w:p>
      <w:pPr>
        <w:spacing w:after="0" w:line="16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Section 14.04</w:t>
      </w:r>
      <w:r>
        <w:rPr>
          <w:rFonts w:ascii="Times New Roman" w:cs="Times New Roman" w:eastAsia="Times New Roman" w:hAnsi="Times New Roman"/>
          <w:sz w:val="18"/>
          <w:szCs w:val="18"/>
          <w:i w:val="1"/>
          <w:iCs w:val="1"/>
          <w:color w:val="auto"/>
        </w:rPr>
        <w:t>. Adjustment of Conversion Rate.</w:t>
      </w:r>
      <w:r>
        <w:rPr>
          <w:rFonts w:ascii="Times New Roman" w:cs="Times New Roman" w:eastAsia="Times New Roman" w:hAnsi="Times New Roman"/>
          <w:sz w:val="18"/>
          <w:szCs w:val="18"/>
          <w:color w:val="auto"/>
        </w:rPr>
        <w:t xml:space="preserve">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Class A Common Stock and solely as a result of holding the Notes, in any of the transactions described in this Section 14.04, without having to convert their Notes, as if they held a number of shares of Class A Common Stock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 Holder.</w:t>
      </w:r>
    </w:p>
    <w:p>
      <w:pPr>
        <w:spacing w:after="0" w:line="184" w:lineRule="exact"/>
        <w:rPr>
          <w:sz w:val="20"/>
          <w:szCs w:val="20"/>
          <w:color w:val="auto"/>
        </w:rPr>
      </w:pPr>
    </w:p>
    <w:p>
      <w:pPr>
        <w:ind w:right="120" w:firstLine="436"/>
        <w:spacing w:after="0" w:line="282" w:lineRule="auto"/>
        <w:tabs>
          <w:tab w:leader="none" w:pos="6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exclusively issues shares of Class A Common Stock as a dividend or distribution on shares of the Class A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53975</wp:posOffset>
            </wp:positionV>
            <wp:extent cx="1011555" cy="394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115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45" w:lineRule="exact"/>
        <w:rPr>
          <w:sz w:val="20"/>
          <w:szCs w:val="20"/>
          <w:color w:val="auto"/>
        </w:rPr>
      </w:pPr>
    </w:p>
    <w:p>
      <w:pPr>
        <w:ind w:left="660" w:right="780" w:hanging="660"/>
        <w:spacing w:after="0" w:line="300"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440" w:top="270" w:right="479" w:bottom="1440" w:gutter="0" w:footer="0" w:header="0"/>
        </w:sectPr>
      </w:pPr>
    </w:p>
    <w:bookmarkStart w:id="85" w:name="page86"/>
    <w:bookmarkEnd w:id="85"/>
    <w:tbl>
      <w:tblPr>
        <w:tblLayout w:type="fixed"/>
        <w:tblInd w:w="4"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 or Effective Date;</w:t>
            </w:r>
          </w:p>
        </w:tc>
      </w:tr>
      <w:tr>
        <w:trPr>
          <w:trHeight w:val="44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3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number of shares of Class A Common Stock outstanding immediately prior to the open of business on such Ex-Dividend Date or Effective</w:t>
            </w:r>
          </w:p>
        </w:tc>
      </w:tr>
      <w:tr>
        <w:trPr>
          <w:trHeight w:val="234"/>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(before giving effect to any such dividend, distribution, split or combination); and</w:t>
            </w:r>
          </w:p>
        </w:tc>
      </w:tr>
      <w:tr>
        <w:trPr>
          <w:trHeight w:val="44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3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number of shares of Class A Common Stock outstanding immediately after giving effect to such dividend, distribution, share split or share</w:t>
            </w:r>
          </w:p>
        </w:tc>
      </w:tr>
      <w:tr>
        <w:trPr>
          <w:trHeight w:val="234"/>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combination.</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83" w:lineRule="exact"/>
        <w:rPr>
          <w:sz w:val="20"/>
          <w:szCs w:val="20"/>
          <w:color w:val="auto"/>
        </w:rPr>
      </w:pPr>
    </w:p>
    <w:p>
      <w:pPr>
        <w:ind w:left="4" w:right="40" w:firstLine="436"/>
        <w:spacing w:after="0" w:line="258" w:lineRule="auto"/>
        <w:tabs>
          <w:tab w:leader="none" w:pos="69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to all or substantially all holders of the Class A Common Stock any rights, options or warrants (other than pursuant to a stockholder rights plan) entitling them, for a period of not more than 60 calendar days after the announcement date of such distribution, to subscribe for or purchase shares of the Class A Common Stock at a price per share that is less than the average of the Last Reported Sale Prices of the Class A Common Stock for the 10 consecutive Trading Day period ending on, and including, the Trading Day immediately preceding the date of announcement of such distribution,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145415</wp:posOffset>
            </wp:positionV>
            <wp:extent cx="1474470" cy="4718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744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9460" w:type="dxa"/>
            <w:vAlign w:val="bottom"/>
          </w:tcPr>
          <w:p>
            <w:pPr>
              <w:spacing w:after="0"/>
              <w:rPr>
                <w:sz w:val="20"/>
                <w:szCs w:val="20"/>
                <w:color w:val="auto"/>
              </w:rPr>
            </w:pPr>
          </w:p>
        </w:tc>
      </w:tr>
      <w:tr>
        <w:trPr>
          <w:trHeight w:val="472"/>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distribution;</w:t>
            </w:r>
          </w:p>
        </w:tc>
      </w:tr>
      <w:tr>
        <w:trPr>
          <w:trHeight w:val="419"/>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445"/>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number of shares of Class A Common Stock outstanding immediately prior to the open of business on such Ex-Dividend Date;</w:t>
            </w:r>
          </w:p>
        </w:tc>
      </w:tr>
    </w:tbl>
    <w:p>
      <w:pPr>
        <w:spacing w:after="0" w:line="185" w:lineRule="exact"/>
        <w:rPr>
          <w:sz w:val="20"/>
          <w:szCs w:val="20"/>
          <w:color w:val="auto"/>
        </w:rPr>
      </w:pPr>
    </w:p>
    <w:p>
      <w:pPr>
        <w:ind w:left="444" w:hanging="444"/>
        <w:spacing w:after="0"/>
        <w:tabs>
          <w:tab w:leader="none" w:pos="4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shares of Class A Common Stock distributable pursuant to such rights, options or warrants; and</w:t>
      </w:r>
    </w:p>
    <w:p>
      <w:pPr>
        <w:spacing w:after="0" w:line="223" w:lineRule="exact"/>
        <w:rPr>
          <w:sz w:val="20"/>
          <w:szCs w:val="20"/>
          <w:color w:val="auto"/>
        </w:rPr>
      </w:pPr>
    </w:p>
    <w:p>
      <w:pPr>
        <w:ind w:left="664" w:hanging="664"/>
        <w:spacing w:after="0" w:line="267" w:lineRule="auto"/>
        <w:tabs>
          <w:tab w:leader="none" w:pos="44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number of shares of Class A Common Stock equal to the aggregate price payable to exercise such rights, options or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of the Last Reported Sale Prices of the Class A Common Stock over the 10 consecutive Trading Day period ending on, and including, the Trading Day immediately preceding the date of announcement of the distribution of such rights, options or warrants.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4"/>
          </w:cols>
          <w:pgMar w:left="436" w:top="270" w:right="459" w:bottom="1440" w:gutter="0" w:footer="0" w:header="0"/>
        </w:sectPr>
      </w:pPr>
    </w:p>
    <w:bookmarkStart w:id="86" w:name="page87"/>
    <w:bookmarkEnd w:id="86"/>
    <w:p>
      <w:pPr>
        <w:ind w:left="4"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increase made under this Section 14.04(b) shall be made successively whenever any such rights, options or warrants are distributed and shall become effective immediately after the open of business on the Ex-Dividend Date for such distribution. To the extent that shares of the Class A Common Stock are not delivered after the expiration of such rights, options or warrants, the Conversion Rate shall be decreased to the Conversion Rate that would then be in effect had the increase with respect to the distribution of such rights, options or warrants been made on the basis of delivery of only the number of shares of Class A Common Stock actually delivered. If such rights, options or warrants are not so distributed, the Conversion Rate shall be decreased to the Conversion Rate that would then be in effect if such Ex-Dividend Date for such distribution had not occurred.</w:t>
      </w:r>
    </w:p>
    <w:p>
      <w:pPr>
        <w:spacing w:after="0" w:line="18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14.04(b) and for the purpose of Section 14.01(b)(ii)(A), in determining whether any rights, options or warrants entitle the holders of Class A Common Stock to subscribe for or purchase shares of the Class A Common Stock at a price per share that is less than such average of the Last Reported Sale Prices of the Class A Common Stock for the 10 consecutive Trading Day period ending on, and including, the Trading Day immediately preceding the date of announcement of such distribution, and in determining the aggregate offering price of such shares of Class A Common Stock,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spacing w:after="0" w:line="187" w:lineRule="exact"/>
        <w:rPr>
          <w:sz w:val="20"/>
          <w:szCs w:val="20"/>
          <w:color w:val="auto"/>
        </w:rPr>
      </w:pPr>
    </w:p>
    <w:p>
      <w:pPr>
        <w:ind w:left="4" w:right="20" w:firstLine="436"/>
        <w:spacing w:after="0" w:line="253" w:lineRule="auto"/>
        <w:tabs>
          <w:tab w:leader="none" w:pos="68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shares of its Capital Stock, evidences of its indebtedness, other assets or property of the Company or rights, options or warrants to acquire its Capital Stock or other securities, to all or substantially all holders of the Class A Common Stock, excluding (i) dividends, distributions or issuances (including share splits) as to which an adjustment was effected (or would have been effected but for the 1% Exception) pursuant to Section 14.04(a) or Section 14.04(b), (ii) except as otherwise provided in Section 14.11, rights issued pursuant to any stockholder rights plan of the Company then in effect, (iii) distributions of Reference Property in exchange for, or upon conversion of, Class A Common Stock in a Share Exchange Event, (iv) dividends or distributions paid exclusively in cash as to which the provisions set forth in Section 14.04(d) shall apply, and</w:t>
      </w:r>
    </w:p>
    <w:p>
      <w:pPr>
        <w:spacing w:after="0" w:line="5" w:lineRule="exact"/>
        <w:rPr>
          <w:rFonts w:ascii="Times New Roman" w:cs="Times New Roman" w:eastAsia="Times New Roman" w:hAnsi="Times New Roman"/>
          <w:sz w:val="18"/>
          <w:szCs w:val="18"/>
          <w:color w:val="auto"/>
        </w:rPr>
      </w:pPr>
    </w:p>
    <w:p>
      <w:pPr>
        <w:ind w:left="4" w:right="200" w:hanging="4"/>
        <w:spacing w:after="0" w:line="255"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Spin-Offs as to which the provisions set forth below in this Section 14.04(c)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146685</wp:posOffset>
            </wp:positionV>
            <wp:extent cx="1628775" cy="514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287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4"/>
          </w:cols>
          <w:pgMar w:left="436" w:top="270"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w:t>
      </w:r>
    </w:p>
    <w:p>
      <w:pPr>
        <w:sectPr>
          <w:pgSz w:w="11900" w:h="16838" w:orient="portrait"/>
          <w:cols w:equalWidth="0" w:num="1">
            <w:col w:w="10980"/>
          </w:cols>
          <w:pgMar w:left="440" w:top="270" w:right="47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open of business on the Ex-Dividend Date for such distribution;</w:t>
      </w:r>
    </w:p>
    <w:p>
      <w:pPr>
        <w:spacing w:after="0" w:line="200" w:lineRule="exact"/>
        <w:rPr>
          <w:sz w:val="20"/>
          <w:szCs w:val="20"/>
          <w:color w:val="auto"/>
        </w:rPr>
      </w:pPr>
    </w:p>
    <w:p>
      <w:pPr>
        <w:sectPr>
          <w:pgSz w:w="11900" w:h="16838" w:orient="portrait"/>
          <w:cols w:equalWidth="0" w:num="2">
            <w:col w:w="300" w:space="260"/>
            <w:col w:w="10420"/>
          </w:cols>
          <w:pgMar w:left="440" w:top="270" w:right="4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Conversion Rate in effect immediately after the open of business on such Ex-Dividend Date;</w:t>
      </w:r>
    </w:p>
    <w:p>
      <w:pPr>
        <w:spacing w:after="0" w:line="200" w:lineRule="exact"/>
        <w:rPr>
          <w:sz w:val="20"/>
          <w:szCs w:val="20"/>
          <w:color w:val="auto"/>
        </w:rPr>
      </w:pPr>
    </w:p>
    <w:p>
      <w:pPr>
        <w:sectPr>
          <w:pgSz w:w="11900" w:h="16838" w:orient="portrait"/>
          <w:cols w:equalWidth="0" w:num="2">
            <w:col w:w="260" w:space="300"/>
            <w:col w:w="10420"/>
          </w:cols>
          <w:pgMar w:left="440" w:top="270" w:right="4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48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average of the Last Reported Sale Prices of the Class A Common Stock over the 10 consecutive Trading Day period ending on, and including, the Trading Day immediately preceding the Ex-Dividend Date for such distribution; and</w:t>
      </w:r>
    </w:p>
    <w:p>
      <w:pPr>
        <w:spacing w:after="0" w:line="162" w:lineRule="exact"/>
        <w:rPr>
          <w:sz w:val="20"/>
          <w:szCs w:val="20"/>
          <w:color w:val="auto"/>
        </w:rPr>
      </w:pPr>
    </w:p>
    <w:p>
      <w:pPr>
        <w:sectPr>
          <w:pgSz w:w="11900" w:h="16838" w:orient="portrait"/>
          <w:cols w:equalWidth="0" w:num="2">
            <w:col w:w="260" w:space="520"/>
            <w:col w:w="1020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FMV</w:t>
      </w:r>
    </w:p>
    <w:p>
      <w:pPr>
        <w:spacing w:after="0" w:line="20" w:lineRule="exact"/>
        <w:rPr>
          <w:sz w:val="20"/>
          <w:szCs w:val="20"/>
          <w:color w:val="auto"/>
        </w:rPr>
      </w:pPr>
      <w:r>
        <w:rPr>
          <w:sz w:val="20"/>
          <w:szCs w:val="20"/>
          <w:color w:val="auto"/>
        </w:rPr>
        <w:br w:type="column"/>
      </w:r>
    </w:p>
    <w:p>
      <w:pPr>
        <w:ind w:right="12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fair market value (as determined by the Company in good faith) of the Distributed Property with respect to each outstanding share of the Class A Common Stock on the Ex-Dividend Date for such distribution.</w:t>
      </w:r>
    </w:p>
    <w:p>
      <w:pPr>
        <w:spacing w:after="0" w:line="162" w:lineRule="exact"/>
        <w:rPr>
          <w:sz w:val="20"/>
          <w:szCs w:val="20"/>
          <w:color w:val="auto"/>
        </w:rPr>
      </w:pPr>
    </w:p>
    <w:p>
      <w:pPr>
        <w:sectPr>
          <w:pgSz w:w="11900" w:h="16838" w:orient="portrait"/>
          <w:cols w:equalWidth="0" w:num="2">
            <w:col w:w="380" w:space="400"/>
            <w:col w:w="10200"/>
          </w:cols>
          <w:pgMar w:left="440" w:top="270" w:right="479" w:bottom="1440" w:gutter="0" w:footer="0" w:header="0"/>
          <w:type w:val="continuous"/>
        </w:sectPr>
      </w:pPr>
    </w:p>
    <w:p>
      <w:pPr>
        <w:ind w:right="60"/>
        <w:spacing w:after="0" w:line="238" w:lineRule="auto"/>
        <w:rPr>
          <w:sz w:val="20"/>
          <w:szCs w:val="20"/>
          <w:color w:val="auto"/>
        </w:rPr>
      </w:pPr>
      <w:r>
        <w:rPr>
          <w:rFonts w:ascii="Times New Roman" w:cs="Times New Roman" w:eastAsia="Times New Roman" w:hAnsi="Times New Roman"/>
          <w:sz w:val="18"/>
          <w:szCs w:val="18"/>
          <w:color w:val="auto"/>
        </w:rPr>
        <w:t>Any increase made under the portion of this Section 14.04(c) above shall become effective immediately after the open of business on the Ex-Dividend Date for such distribution. If such distribution is not so paid or made, the Conversion Rate shall be decreased to be the Conversion Rate that would then be in effect if such distribution had not been declared. Notwithstanding the foregoing, if “FMV” (as defined above) is equal to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in respect of each $1,000 principal amount thereof, at the same time and upon the same terms as holders of the Class A Common Stock receive the Distributed Property, the amount and kind of Distributed Property such Holder would have received if such Holder owned a number of shares of Class A Common Stock equal to the Conversion Rate in effect on the Ex-Dividend Date for the distribution.</w:t>
      </w:r>
    </w:p>
    <w:p>
      <w:pPr>
        <w:spacing w:after="0" w:line="20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With respect to an adjustment pursuant to this Section 14.04(c) where there has been a payment of a dividend or other distribution on the Class A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142875</wp:posOffset>
            </wp:positionV>
            <wp:extent cx="1757045" cy="5060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5704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0980"/>
          </w:cols>
          <w:pgMar w:left="440" w:top="270" w:right="47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end of the Valuation Period;</w:t>
      </w:r>
    </w:p>
    <w:p>
      <w:pPr>
        <w:spacing w:after="0" w:line="200" w:lineRule="exact"/>
        <w:rPr>
          <w:sz w:val="20"/>
          <w:szCs w:val="20"/>
          <w:color w:val="auto"/>
        </w:rPr>
      </w:pPr>
    </w:p>
    <w:p>
      <w:pPr>
        <w:sectPr>
          <w:pgSz w:w="11900" w:h="16838" w:orient="portrait"/>
          <w:cols w:equalWidth="0" w:num="2">
            <w:col w:w="300" w:space="360"/>
            <w:col w:w="10320"/>
          </w:cols>
          <w:pgMar w:left="440" w:top="270" w:right="4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Conversion Rate in effect immediately after the end of the Valuation Period;</w:t>
      </w:r>
    </w:p>
    <w:p>
      <w:pPr>
        <w:spacing w:after="0" w:line="200" w:lineRule="exact"/>
        <w:rPr>
          <w:sz w:val="20"/>
          <w:szCs w:val="20"/>
          <w:color w:val="auto"/>
        </w:rPr>
      </w:pPr>
    </w:p>
    <w:p>
      <w:pPr>
        <w:sectPr>
          <w:pgSz w:w="11900" w:h="16838" w:orient="portrait"/>
          <w:cols w:equalWidth="0" w:num="2">
            <w:col w:w="260" w:space="400"/>
            <w:col w:w="10320"/>
          </w:cols>
          <w:pgMar w:left="440" w:top="270" w:right="4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hanging="219"/>
        <w:spacing w:after="0" w:line="261"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average of the Last Reported Sale Prices of the Capital Stock or similar equity interest distributed to holders of the Class A Common Stock applicable to one share of the Class A Common Stock (determined by reference to the definition of Last Reported Sale Price as set forth in Section 1.01 as if references therein toClass A Common Stock were to such Capital Stock or similar equity interest) over the first 10 consecutive Trading Day period after, and including, the Ex-Dividend Date of the Spin-Off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sectPr>
          <w:pgSz w:w="11900" w:h="16838" w:orient="portrait"/>
          <w:cols w:equalWidth="0" w:num="2">
            <w:col w:w="460" w:space="420"/>
            <w:col w:w="1010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MP</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the average of the Last Reported Sale Prices of the Class A Common Stock over the Valuation Period.</w:t>
      </w:r>
    </w:p>
    <w:p>
      <w:pPr>
        <w:spacing w:after="0" w:line="169" w:lineRule="exact"/>
        <w:rPr>
          <w:sz w:val="20"/>
          <w:szCs w:val="20"/>
          <w:color w:val="auto"/>
        </w:rPr>
      </w:pPr>
    </w:p>
    <w:p>
      <w:pPr>
        <w:sectPr>
          <w:pgSz w:w="11900" w:h="16838" w:orient="portrait"/>
          <w:cols w:equalWidth="0" w:num="2">
            <w:col w:w="320" w:space="340"/>
            <w:col w:w="10320"/>
          </w:cols>
          <w:pgMar w:left="440" w:top="270" w:right="4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80"/>
          </w:cols>
          <w:pgMar w:left="440" w:top="270" w:right="479" w:bottom="1440" w:gutter="0" w:footer="0" w:header="0"/>
          <w:type w:val="continuous"/>
        </w:sectPr>
      </w:pPr>
    </w:p>
    <w:bookmarkStart w:id="88" w:name="page89"/>
    <w:bookmarkEnd w:id="88"/>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 respect of any conversion of Notes for which Physical Settlement is applicable, if the relevant Conversion Date occurs during the Valuation Period, the reference to “10” in the preceding paragraph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the reference to “10” in the preceding paragraph shall be deemed to be replaced with such lesser number of Trading Days as have elapsed from, and including, the Ex-Dividend Date of such Spin-Off to, and including, such Trading Day in determining the Conversion Rate as of such Trading Day of such Observation Period.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For purposes of this Section 14.04(c) (and subject in all respect to Section 14.11), rights, options or warrants distributed by the Company to all holders of the Class A Common Stock entitling them to subscribe for or purchase shares of the Company’s Capital Stock, including Class A Common Stock (either initially or under certain circumstances), which rights, options or warrants, until the occurrence of a specified event or events (“</w:t>
      </w:r>
      <w:r>
        <w:rPr>
          <w:rFonts w:ascii="Times New Roman" w:cs="Times New Roman" w:eastAsia="Times New Roman" w:hAnsi="Times New Roman"/>
          <w:sz w:val="18"/>
          <w:szCs w:val="18"/>
          <w:b w:val="1"/>
          <w:bCs w:val="1"/>
          <w:color w:val="auto"/>
        </w:rPr>
        <w:t>Trigger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(i) are deemed to be transferred with such shares of the Class A Common Stock; (ii) are not exercisable; and (iii) are also issued in respect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issuances of the Class A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89" w:name="page90"/>
    <w:bookmarkEnd w:id="8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Class A Common Stock with respect to such rights, options or warrants (assuming such holder had retained such rights, options or warrants), made to all holders of Class A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88"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For purposes of Section 14.04(a), Section 14.04(b) and this Section 14.04(c), if any dividend or distribution to which this Section 14.04(c) is applicable also includes one or both of:</w:t>
      </w:r>
    </w:p>
    <w:p>
      <w:pPr>
        <w:spacing w:after="0" w:line="50" w:lineRule="exact"/>
        <w:rPr>
          <w:sz w:val="20"/>
          <w:szCs w:val="20"/>
          <w:color w:val="auto"/>
        </w:rPr>
      </w:pPr>
    </w:p>
    <w:p>
      <w:pPr>
        <w:ind w:left="740" w:hanging="304"/>
        <w:spacing w:after="0"/>
        <w:tabs>
          <w:tab w:leader="none" w:pos="7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shares of Class A Common Stock to which Section 14.04(a) is applicable (the “</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rights, options or warrants to which Section 14.04(b) is applicable (the “</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then, in either case, (1) such dividend or distribution, other than the Clause A Distribution and the Clause B Distribution, shall be deemed to be a dividend or distribution to which this Section 14.04(c) is applicable (the “</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Class A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90" w:name="page91"/>
    <w:bookmarkEnd w:id="90"/>
    <w:p>
      <w:pPr>
        <w:ind w:left="4" w:right="120" w:firstLine="436"/>
        <w:spacing w:after="0" w:line="282" w:lineRule="auto"/>
        <w:tabs>
          <w:tab w:leader="none" w:pos="69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makes any cash dividend or distribution to all or substantially all holders of the Class A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131445</wp:posOffset>
            </wp:positionV>
            <wp:extent cx="1834515" cy="394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3451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10400" w:type="dxa"/>
            <w:vAlign w:val="bottom"/>
          </w:tcPr>
          <w:p>
            <w:pPr>
              <w:spacing w:after="0"/>
              <w:rPr>
                <w:sz w:val="20"/>
                <w:szCs w:val="20"/>
                <w:color w:val="auto"/>
              </w:rPr>
            </w:pPr>
          </w:p>
        </w:tc>
      </w:tr>
      <w:tr>
        <w:trPr>
          <w:trHeight w:val="472"/>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dividend or distribution;</w:t>
            </w:r>
          </w:p>
        </w:tc>
      </w:tr>
      <w:tr>
        <w:trPr>
          <w:trHeight w:val="419"/>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the Ex-Dividend Date for such dividend or distribution;</w:t>
            </w:r>
          </w:p>
        </w:tc>
      </w:tr>
      <w:tr>
        <w:trPr>
          <w:trHeight w:val="41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Last Reported Sale Price of the Class A Common Stock on the Trading Day immediately preceding the Ex-Dividend Date for such dividend</w:t>
            </w:r>
          </w:p>
        </w:tc>
      </w:tr>
      <w:tr>
        <w:trPr>
          <w:trHeight w:val="234"/>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distribution; and</w:t>
            </w:r>
          </w:p>
        </w:tc>
      </w:tr>
    </w:tbl>
    <w:p>
      <w:pPr>
        <w:spacing w:after="0" w:line="198" w:lineRule="exact"/>
        <w:rPr>
          <w:sz w:val="20"/>
          <w:szCs w:val="20"/>
          <w:color w:val="auto"/>
        </w:rPr>
      </w:pPr>
    </w:p>
    <w:p>
      <w:pPr>
        <w:ind w:left="444" w:hanging="444"/>
        <w:spacing w:after="0"/>
        <w:tabs>
          <w:tab w:leader="none" w:pos="4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amount in cash per share the Company distributes to all or substantially all holders of the Class A Common Stock.</w:t>
      </w:r>
    </w:p>
    <w:p>
      <w:pPr>
        <w:spacing w:after="0" w:line="225" w:lineRule="exact"/>
        <w:rPr>
          <w:sz w:val="20"/>
          <w:szCs w:val="20"/>
          <w:color w:val="auto"/>
        </w:rPr>
      </w:pPr>
    </w:p>
    <w:p>
      <w:pPr>
        <w:ind w:left="4"/>
        <w:spacing w:after="0" w:line="238" w:lineRule="auto"/>
        <w:rPr>
          <w:sz w:val="20"/>
          <w:szCs w:val="20"/>
          <w:color w:val="auto"/>
        </w:rPr>
      </w:pPr>
      <w:r>
        <w:rPr>
          <w:rFonts w:ascii="Times New Roman" w:cs="Times New Roman" w:eastAsia="Times New Roman" w:hAnsi="Times New Roman"/>
          <w:sz w:val="18"/>
          <w:szCs w:val="18"/>
          <w:color w:val="auto"/>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for each $1,000 principal amount of Notes it holds, at the same time and upon the same terms as holders of shares of the Class A Common Stock, the amount of cash that such Holder would have received if such Holder owned a number of shares of Class A Common Stock equal to the Conversion Rate on the Ex-Dividend Date for such cash dividend or distribution.</w:t>
      </w:r>
    </w:p>
    <w:p>
      <w:pPr>
        <w:spacing w:after="0" w:line="200" w:lineRule="exact"/>
        <w:rPr>
          <w:sz w:val="20"/>
          <w:szCs w:val="20"/>
          <w:color w:val="auto"/>
        </w:rPr>
      </w:pPr>
    </w:p>
    <w:p>
      <w:pPr>
        <w:ind w:left="4" w:right="20" w:firstLine="436"/>
        <w:spacing w:after="0" w:line="258" w:lineRule="auto"/>
        <w:tabs>
          <w:tab w:leader="none" w:pos="68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Subsidiaries make a payment in respect of a tender or exchange offer for the Class A Common Stock that is subject to the then applicable tender offer rules under the Exchange Act (other than any odd-lot tender offer), to the extent that the cash and value of any other consideration included in the payment per share of the Class A Common Stock exceeds the average of the Last Reported Sale Prices of the Class A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145415</wp:posOffset>
            </wp:positionV>
            <wp:extent cx="1611630" cy="394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1163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004"/>
          </w:cols>
          <w:pgMar w:left="436" w:top="270" w:right="459" w:bottom="1440" w:gutter="0" w:footer="0" w:header="0"/>
        </w:sectPr>
      </w:pP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Conversion Rate in effect immediately prior to the close of business on the 10th Trading Day immediately following, and including, the Trading Day next succeeding the date such tender or exchange offer expires;</w:t>
      </w:r>
    </w:p>
    <w:p>
      <w:pPr>
        <w:spacing w:after="0" w:line="162" w:lineRule="exact"/>
        <w:rPr>
          <w:sz w:val="20"/>
          <w:szCs w:val="20"/>
          <w:color w:val="auto"/>
        </w:rPr>
      </w:pPr>
    </w:p>
    <w:p>
      <w:pPr>
        <w:sectPr>
          <w:pgSz w:w="11900" w:h="16838" w:orient="portrait"/>
          <w:cols w:equalWidth="0" w:num="3">
            <w:col w:w="304" w:space="120"/>
            <w:col w:w="100" w:space="140"/>
            <w:col w:w="1034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CR'</w:t>
      </w:r>
    </w:p>
    <w:p>
      <w:pPr>
        <w:spacing w:after="0" w:line="20" w:lineRule="exact"/>
        <w:rPr>
          <w:sz w:val="20"/>
          <w:szCs w:val="20"/>
          <w:color w:val="auto"/>
        </w:rPr>
      </w:pPr>
      <w:r>
        <w:rPr>
          <w:sz w:val="20"/>
          <w:szCs w:val="20"/>
          <w:color w:val="auto"/>
        </w:rPr>
        <w:br w:type="column"/>
      </w:r>
    </w:p>
    <w:p>
      <w:pPr>
        <w:ind w:right="500" w:hanging="23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Conversion Rate in effect immediately after the close of business on the 10th Trading Day immediately following, and including, the Trading Day next succeeding the date such tender or exchange offer expires;</w:t>
      </w:r>
    </w:p>
    <w:p>
      <w:pPr>
        <w:spacing w:after="0" w:line="94" w:lineRule="exact"/>
        <w:rPr>
          <w:sz w:val="20"/>
          <w:szCs w:val="20"/>
          <w:color w:val="auto"/>
        </w:rPr>
      </w:pPr>
    </w:p>
    <w:p>
      <w:pPr>
        <w:sectPr>
          <w:pgSz w:w="11900" w:h="16838" w:orient="portrait"/>
          <w:cols w:equalWidth="0" w:num="2">
            <w:col w:w="264" w:space="400"/>
            <w:col w:w="10340"/>
          </w:cols>
          <w:pgMar w:left="436" w:top="270" w:right="459" w:bottom="1440" w:gutter="0" w:footer="0" w:header="0"/>
          <w:type w:val="continuous"/>
        </w:sectPr>
      </w:pPr>
    </w:p>
    <w:p>
      <w:pPr>
        <w:jc w:val="center"/>
        <w:ind w:right="-2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4"/>
          </w:cols>
          <w:pgMar w:left="436" w:top="270" w:right="45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7"/>
          <w:szCs w:val="17"/>
          <w:color w:val="auto"/>
        </w:rPr>
        <w:t>AC</w:t>
      </w:r>
    </w:p>
    <w:p>
      <w:pPr>
        <w:spacing w:after="0" w:line="20" w:lineRule="exact"/>
        <w:rPr>
          <w:sz w:val="20"/>
          <w:szCs w:val="20"/>
          <w:color w:val="auto"/>
        </w:rPr>
      </w:pPr>
      <w:r>
        <w:rPr>
          <w:sz w:val="20"/>
          <w:szCs w:val="20"/>
          <w:color w:val="auto"/>
        </w:rPr>
        <w:br w:type="column"/>
      </w:r>
    </w:p>
    <w:p>
      <w:pPr>
        <w:ind w:right="60" w:hanging="23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aggregate value of all cash and any other consideration (as determined by the Company in good faith) paid or payable for shares of Class A Common Stock purchased in such tender or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-459740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240" w:space="420"/>
            <w:col w:w="10340"/>
          </w:cols>
          <w:pgMar w:left="440" w:top="378" w:right="4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jc w:val="both"/>
        <w:ind w:right="420" w:hanging="239"/>
        <w:spacing w:after="0" w:line="312" w:lineRule="auto"/>
        <w:rPr>
          <w:sz w:val="20"/>
          <w:szCs w:val="20"/>
          <w:color w:val="auto"/>
        </w:rPr>
      </w:pPr>
      <w:r>
        <w:rPr>
          <w:rFonts w:ascii="Times New Roman" w:cs="Times New Roman" w:eastAsia="Times New Roman" w:hAnsi="Times New Roman"/>
          <w:sz w:val="17"/>
          <w:szCs w:val="17"/>
          <w:color w:val="auto"/>
        </w:rPr>
        <w:t>=</w:t>
      </w:r>
      <w:r>
        <w:rPr>
          <w:sz w:val="20"/>
          <w:szCs w:val="20"/>
          <w:color w:val="auto"/>
        </w:rPr>
        <w:t xml:space="preserve"> </w:t>
      </w:r>
      <w:r>
        <w:rPr>
          <w:rFonts w:ascii="Times New Roman" w:cs="Times New Roman" w:eastAsia="Times New Roman" w:hAnsi="Times New Roman"/>
          <w:sz w:val="17"/>
          <w:szCs w:val="17"/>
          <w:color w:val="auto"/>
        </w:rPr>
        <w:t>the number of shares of Class A Common Stock outstanding immediately prior to the date such tender or exchange offer expires (prior to giving effect to the purchase of all shares of Class A Common Stock accepted for purchase or exchange in such tender or exchange offer);</w:t>
      </w:r>
    </w:p>
    <w:p>
      <w:pPr>
        <w:spacing w:after="0" w:line="32" w:lineRule="exact"/>
        <w:rPr>
          <w:sz w:val="20"/>
          <w:szCs w:val="20"/>
          <w:color w:val="auto"/>
        </w:rPr>
      </w:pPr>
    </w:p>
    <w:p>
      <w:pPr>
        <w:sectPr>
          <w:pgSz w:w="11900" w:h="16838" w:orient="portrait"/>
          <w:cols w:equalWidth="0" w:num="2">
            <w:col w:w="300" w:space="360"/>
            <w:col w:w="1034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OS'</w:t>
      </w:r>
    </w:p>
    <w:p>
      <w:pPr>
        <w:spacing w:after="0" w:line="20" w:lineRule="exact"/>
        <w:rPr>
          <w:sz w:val="20"/>
          <w:szCs w:val="20"/>
          <w:color w:val="auto"/>
        </w:rPr>
      </w:pPr>
      <w:r>
        <w:rPr>
          <w:sz w:val="20"/>
          <w:szCs w:val="20"/>
          <w:color w:val="auto"/>
        </w:rPr>
        <w:br w:type="column"/>
      </w:r>
    </w:p>
    <w:p>
      <w:pPr>
        <w:jc w:val="center"/>
        <w:ind w:right="380"/>
        <w:spacing w:after="0" w:line="312" w:lineRule="auto"/>
        <w:tabs>
          <w:tab w:leader="none" w:pos="120" w:val="left"/>
        </w:tabs>
        <w:rPr>
          <w:sz w:val="20"/>
          <w:szCs w:val="20"/>
          <w:color w:val="auto"/>
        </w:rPr>
      </w:pPr>
      <w:r>
        <w:rPr>
          <w:rFonts w:ascii="Times New Roman" w:cs="Times New Roman" w:eastAsia="Times New Roman" w:hAnsi="Times New Roman"/>
          <w:sz w:val="17"/>
          <w:szCs w:val="17"/>
          <w:color w:val="auto"/>
        </w:rPr>
        <w:t>=</w:t>
        <w:tab/>
        <w:t>the number of shares of Class A Common Stock outstanding immediately after the date such tender or exchange offer expires (after giving effect to the purchase of all shares of Class A Common Stock accepted for purchase or exchange in such tender or exchange offer); and</w:t>
      </w:r>
    </w:p>
    <w:p>
      <w:pPr>
        <w:spacing w:after="0" w:line="32" w:lineRule="exact"/>
        <w:rPr>
          <w:sz w:val="20"/>
          <w:szCs w:val="20"/>
          <w:color w:val="auto"/>
        </w:rPr>
      </w:pPr>
    </w:p>
    <w:p>
      <w:pPr>
        <w:sectPr>
          <w:pgSz w:w="11900" w:h="16838" w:orient="portrait"/>
          <w:cols w:equalWidth="0" w:num="2">
            <w:col w:w="260" w:space="400"/>
            <w:col w:w="1034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w:t>
      </w:r>
    </w:p>
    <w:p>
      <w:pPr>
        <w:spacing w:after="0" w:line="20" w:lineRule="exact"/>
        <w:rPr>
          <w:sz w:val="20"/>
          <w:szCs w:val="20"/>
          <w:color w:val="auto"/>
        </w:rPr>
      </w:pPr>
      <w:r>
        <w:rPr>
          <w:sz w:val="20"/>
          <w:szCs w:val="20"/>
          <w:color w:val="auto"/>
        </w:rPr>
        <w:br w:type="column"/>
      </w:r>
    </w:p>
    <w:p>
      <w:pPr>
        <w:ind w:right="180" w:hanging="23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average of the Last Reported Sale Prices of the Class A Common Stock over the 10 consecutive Trading Day period commencing on, and including, the Trading Day next succeeding the date such tender or exchange offer expires.</w:t>
      </w:r>
    </w:p>
    <w:p>
      <w:pPr>
        <w:spacing w:after="0" w:line="162" w:lineRule="exact"/>
        <w:rPr>
          <w:sz w:val="20"/>
          <w:szCs w:val="20"/>
          <w:color w:val="auto"/>
        </w:rPr>
      </w:pPr>
    </w:p>
    <w:p>
      <w:pPr>
        <w:sectPr>
          <w:pgSz w:w="11900" w:h="16838" w:orient="portrait"/>
          <w:cols w:equalWidth="0" w:num="2">
            <w:col w:w="220" w:space="440"/>
            <w:col w:w="10340"/>
          </w:cols>
          <w:pgMar w:left="440" w:top="378" w:right="459" w:bottom="1440" w:gutter="0" w:footer="0" w:header="0"/>
          <w:type w:val="continuous"/>
        </w:sect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expiration date of such tender or exchange offer to, and including, such Trading Day in determining the Conversion Rate as of such Trading Day of such Observation Period.</w:t>
      </w:r>
    </w:p>
    <w:p>
      <w:pPr>
        <w:spacing w:after="0" w:line="19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If the Company or one of its Subsidiaries is obligated to purchase shares of Class A Common Stock pursuant to any such tender or exchange offer described in this Section 14.04(e)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378" w:right="459" w:bottom="1440" w:gutter="0" w:footer="0" w:header="0"/>
          <w:type w:val="continuous"/>
        </w:sectPr>
      </w:pPr>
    </w:p>
    <w:bookmarkStart w:id="92" w:name="page93"/>
    <w:bookmarkEnd w:id="92"/>
    <w:p>
      <w:pPr>
        <w:ind w:firstLine="436"/>
        <w:spacing w:after="0" w:line="255" w:lineRule="auto"/>
        <w:tabs>
          <w:tab w:leader="none" w:pos="66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this Section 14.04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Class A Common Stock as of the related Conversion Date as described under Section 14.02(i) based on an adjusted Conversion Rate for such Ex-Dividend Date, then, notwithstanding the Conversion Rate adjustment provisions in this Section 14.04, the Conversion Rate adjustment relating to such Ex-Dividend Date shall not be made for such converting Holder. Instead, such Holder shall be treated as if such Holder were the record owner of the shares of Class A Common Stock on an unadjusted basis and participate in the related dividend, distribution or other event giving rise to such adjustment.</w:t>
      </w:r>
    </w:p>
    <w:p>
      <w:pPr>
        <w:spacing w:after="0" w:line="188" w:lineRule="exact"/>
        <w:rPr>
          <w:rFonts w:ascii="Times New Roman" w:cs="Times New Roman" w:eastAsia="Times New Roman" w:hAnsi="Times New Roman"/>
          <w:sz w:val="18"/>
          <w:szCs w:val="18"/>
          <w:color w:val="auto"/>
        </w:rPr>
      </w:pPr>
    </w:p>
    <w:p>
      <w:pPr>
        <w:jc w:val="both"/>
        <w:ind w:right="320" w:firstLine="436"/>
        <w:spacing w:after="0" w:line="266" w:lineRule="auto"/>
        <w:tabs>
          <w:tab w:leader="none" w:pos="6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herein, the Company shall not adjust the Conversion Rate for the issuance of shares of the Class A Common Stock or any securities convertible into or exchangeable for shares of the Class A Common Stock or the right to purchase shares of the Class A Common Stock or such convertible or exchangeable securities.</w:t>
      </w:r>
    </w:p>
    <w:p>
      <w:pPr>
        <w:spacing w:after="0" w:line="175"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those adjustments required by clauses (a), (b), (c), (d) and (e) of this Section 14.04, and subject to applicable exchange listing rules, the Company from time to time may increase the Conversion Rate by any amount for a period of at least 20 Business Days if the Company determines that such increase would be in the Company’s best interest. In addition, subject to applicable exchange listing rules, the Company may (but is not required to) increase the Conversion Rate to avoid or diminish any income tax to holders of Class A Common Stock or rights to purchase shares of Class A Common Stock in connection with a dividend or distribution of shares of Class A Common Stock (or rights to acquire shares of Class A Common Stock) or similar event.</w:t>
      </w:r>
    </w:p>
    <w:p>
      <w:pPr>
        <w:spacing w:after="0" w:line="18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14, the Conversion Rate shall not be adjusted:</w:t>
      </w:r>
    </w:p>
    <w:p>
      <w:pPr>
        <w:spacing w:after="0" w:line="117"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07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Class A Common Stock at a price below the Conversion Price or otherwise, other than any such issuance described in clause (a), (b) or (c) of this Section 14.04;</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2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Class A Common Stock pursuant to any present or future plan providing for the reinvestment of dividends or interest payable on the Company’s securities and the investment of additional optional amounts in shares of Class A Common Stock under any plan;</w:t>
      </w:r>
    </w:p>
    <w:p>
      <w:pPr>
        <w:spacing w:after="0" w:line="67"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7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Class A Common Stock or options or rights to purchase those shares pursuant to any present or future employee, director or consultant benefit or incentive plan or program (including pursuant to any evergreen plan) of or assumed by the Company or any of the Company’s Subsidiaries;</w:t>
      </w:r>
    </w:p>
    <w:p>
      <w:pPr>
        <w:spacing w:after="0" w:line="6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6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the Class A Common Stock pursuant to any option, warrant, right or exercisable, exchangeable or convertible security not described in clause (iii) of this subsection and outstanding as of the date the Notes were first issued;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3" w:name="page94"/>
    <w:bookmarkEnd w:id="93"/>
    <w:p>
      <w:pPr>
        <w:ind w:left="1120" w:hanging="261"/>
        <w:spacing w:after="0"/>
        <w:tabs>
          <w:tab w:leader="none" w:pos="11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 third-party tender offer by any party other than a tender offer by one or more of the Company’s Subsidiaries as described in clause</w:t>
      </w:r>
    </w:p>
    <w:p>
      <w:pPr>
        <w:spacing w:after="0" w:line="2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14.04;</w:t>
      </w:r>
    </w:p>
    <w:p>
      <w:pPr>
        <w:spacing w:after="0" w:line="99" w:lineRule="exact"/>
        <w:rPr>
          <w:sz w:val="20"/>
          <w:szCs w:val="20"/>
          <w:color w:val="auto"/>
        </w:rPr>
      </w:pPr>
    </w:p>
    <w:p>
      <w:pPr>
        <w:jc w:val="both"/>
        <w:ind w:left="440" w:right="340" w:firstLine="419"/>
        <w:spacing w:after="0" w:line="289" w:lineRule="auto"/>
        <w:tabs>
          <w:tab w:leader="none" w:pos="1168"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repurchase of any shares of Class A Common Stock pursuant to an open market share purchase program or other buy-back transaction, including structured or derivative transactions such as accelerated share repurchase transactions or similar forward derivatives, or other buy-back transaction, that is not a tender offer or exchange offer of the kind described under clause (e) of this Section 14.04;</w:t>
      </w:r>
    </w:p>
    <w:p>
      <w:pPr>
        <w:spacing w:after="0" w:line="49" w:lineRule="exact"/>
        <w:rPr>
          <w:rFonts w:ascii="Times New Roman" w:cs="Times New Roman" w:eastAsia="Times New Roman" w:hAnsi="Times New Roman"/>
          <w:sz w:val="17"/>
          <w:szCs w:val="17"/>
          <w:color w:val="auto"/>
        </w:rPr>
      </w:pPr>
    </w:p>
    <w:p>
      <w:pPr>
        <w:ind w:left="1220" w:hanging="361"/>
        <w:spacing w:after="0"/>
        <w:tabs>
          <w:tab w:leader="none" w:pos="12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a change in the par value (or lack of par value) of the Class A Common Stock; or</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accrued and unpaid interest, if any.</w:t>
      </w:r>
    </w:p>
    <w:p>
      <w:pPr>
        <w:spacing w:after="0" w:line="225" w:lineRule="exact"/>
        <w:rPr>
          <w:rFonts w:ascii="Times New Roman" w:cs="Times New Roman" w:eastAsia="Times New Roman" w:hAnsi="Times New Roman"/>
          <w:sz w:val="18"/>
          <w:szCs w:val="18"/>
          <w:color w:val="auto"/>
        </w:rPr>
      </w:pPr>
    </w:p>
    <w:p>
      <w:pPr>
        <w:ind w:right="660" w:firstLine="436"/>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and other determinations under this Article 14 shall be made by the Company and shall be made to the nearest one-ten thousandth (1/10,000th) of a share.</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adjustment to the Conversion Rate otherwise required by this Section 14.04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on the Conversion Date for any Notes (in the case of Physical Settlement), (iii) on each Trading Day of any Observation Period related to any conversion of Notes (in the case of Cash Settlement or Combination Settlement), (iv) February 15, 2032, (v) on any date on which the Company delivers a Notice of Redemption and (vi) on the effective date of any Fundamental Change and/or Make-Whole Fundamental Change, in each case, unless the adjustment has already been made. The provisions described in the preceding sentence are referred to herein as the “</w:t>
      </w:r>
      <w:r>
        <w:rPr>
          <w:rFonts w:ascii="Times New Roman" w:cs="Times New Roman" w:eastAsia="Times New Roman" w:hAnsi="Times New Roman"/>
          <w:sz w:val="18"/>
          <w:szCs w:val="18"/>
          <w:b w:val="1"/>
          <w:bCs w:val="1"/>
          <w:color w:val="auto"/>
        </w:rPr>
        <w:t>1% Exception</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60" w:firstLine="436"/>
        <w:spacing w:after="0" w:line="255"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188"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14.04, the number of shares of Class A Common Stock at any time outstanding shall not include shares of</w:t>
      </w:r>
    </w:p>
    <w:p>
      <w:pPr>
        <w:spacing w:after="0" w:line="27"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Class A Common Stock held in the treasury of the Company so long as the Company does not pay any dividend or make any distribution on shares of Class A Common Stock held in the treasury of the Company, but shall include shares of Class A Common Stock issuable in respect of scrip certificates issued in lieu of fractions of shares of Class A Common Stock.</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94" w:name="page95"/>
    <w:bookmarkEnd w:id="94"/>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14.05</w:t>
      </w:r>
      <w:r>
        <w:rPr>
          <w:rFonts w:ascii="Times New Roman" w:cs="Times New Roman" w:eastAsia="Times New Roman" w:hAnsi="Times New Roman"/>
          <w:sz w:val="18"/>
          <w:szCs w:val="18"/>
          <w:i w:val="1"/>
          <w:iCs w:val="1"/>
          <w:color w:val="auto"/>
        </w:rPr>
        <w:t>. Adjustments of Prices.</w:t>
      </w:r>
      <w:r>
        <w:rPr>
          <w:rFonts w:ascii="Times New Roman" w:cs="Times New Roman" w:eastAsia="Times New Roman" w:hAnsi="Times New Roman"/>
          <w:sz w:val="18"/>
          <w:szCs w:val="18"/>
          <w:color w:val="auto"/>
        </w:rPr>
        <w:t xml:space="preserve"> Whenever any provision of this Indenture requires the Company to calculate the Last Reported Sale Prices, the Daily VWAPs, the Daily Conversion Values or the Daily Settlement Amounts over a span of multiple days (including, without limitation, an Observation Period and the period, if any, for determining the Stock Price for purposes of a Make-Whole Fundamental Change or a Notice of Redemption), the Company shall, in good faith, make appropriate adjustments (without duplication in respect of any adjustment made pursuant to Section 14.04)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or the Daily Settlement Amounts are to be calculated.</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14.06. </w:t>
      </w:r>
      <w:r>
        <w:rPr>
          <w:rFonts w:ascii="Times New Roman" w:cs="Times New Roman" w:eastAsia="Times New Roman" w:hAnsi="Times New Roman"/>
          <w:sz w:val="18"/>
          <w:szCs w:val="18"/>
          <w:i w:val="1"/>
          <w:iCs w:val="1"/>
          <w:color w:val="auto"/>
        </w:rPr>
        <w:t>Shares to Be Fully Paid.</w:t>
      </w:r>
      <w:r>
        <w:rPr>
          <w:rFonts w:ascii="Times New Roman" w:cs="Times New Roman" w:eastAsia="Times New Roman" w:hAnsi="Times New Roman"/>
          <w:sz w:val="18"/>
          <w:szCs w:val="18"/>
          <w:color w:val="auto"/>
        </w:rPr>
        <w:t xml:space="preserve"> The Company shall at all times reserve, free from preemptive rights, out of its authorized but unissued shares or shares held in treasury, a number of shares of Class A Common Stock equal to the product of (a) the number of outstanding Notes and (b) the Conversion Rate (assuming the Conversion Rate has been increased by the maximum number of Additional Shares pursuant to Section 14.03), to provide for conversion of the Notes from time to time as such Notes are presented for conversion.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14.07. </w:t>
      </w:r>
      <w:r>
        <w:rPr>
          <w:rFonts w:ascii="Times New Roman" w:cs="Times New Roman" w:eastAsia="Times New Roman" w:hAnsi="Times New Roman"/>
          <w:sz w:val="18"/>
          <w:szCs w:val="18"/>
          <w:i w:val="1"/>
          <w:iCs w:val="1"/>
          <w:color w:val="auto"/>
        </w:rPr>
        <w:t>Effect of Recapitalizations, Reclassifications and Changes of the Class A Common Stock.</w:t>
      </w:r>
    </w:p>
    <w:p>
      <w:pPr>
        <w:spacing w:after="0" w:line="227" w:lineRule="exact"/>
        <w:rPr>
          <w:sz w:val="20"/>
          <w:szCs w:val="20"/>
          <w:color w:val="auto"/>
        </w:rPr>
      </w:pPr>
    </w:p>
    <w:p>
      <w:pPr>
        <w:ind w:left="680" w:hanging="244"/>
        <w:spacing w:after="0"/>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07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Class A Common Stock (other than a change to par value, or from par value to no par value, or changes resulting from a subdivision or combination),</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combination or similar transaction involving the Company,</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7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or other transfer to a third party of the consolidated assets of the Company and the Company’s Subsidiaries substantially as an entirety or</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share exchange,</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each case, as a result of which the Class A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then,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Class A Common Stock equal to the</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20"/>
          </w:cols>
          <w:pgMar w:left="440" w:top="268" w:right="539" w:bottom="1440" w:gutter="0" w:footer="0" w:header="0"/>
        </w:sectPr>
      </w:pPr>
    </w:p>
    <w:bookmarkStart w:id="95" w:name="page96"/>
    <w:bookmarkEnd w:id="95"/>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Rate immediately prior to such Share Exchange Event would have owned or been entitled to receive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xml:space="preserve">” meaning the kind and amount of Reference Property that a holder of one share of Class A Common Stock is entitled to receive) upon such Share Exchange Event and, prior to or at the effective time of such Share Exchange Event, the Company or the successor or acquiring Person, as the case may be, shall execute with the Trustee a supplemental indenture permitted under Section 10.01(g) providing for such change in the right to convert each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and after the effective time of the Share Exchange Event (A) the Company or the successor or acquiring Person, as the case may be, shall continue to have the right to determine the form of consideration to be paid or delivered, as the case may be, upon conversion of Notes in accordance with Section 14.02 and (B) (I) any amount payable in cash upon conversion of the Notes in accordance with Section 14.02 shall continue to be payable in cash, (II) any shares of Class A Common Stock that the Company would have been required to deliver upon conversion of the Notes in accordance with Section 14.02 shall instead be deliverable in the amount and type of Reference Property that a holder of that number of shares of Class A Common Stock would have received in such Share Exchange Event and (III) the Daily VWAP shall be calculated based on the value of a unit of Reference Property that a holder of one share of Class A Common Stock would have received in such Share Exchange Event.</w:t>
      </w:r>
    </w:p>
    <w:p>
      <w:pPr>
        <w:spacing w:after="0" w:line="194"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If the Share Exchange Event causes the Class A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Class A Common Stock, and (ii) the unit of Reference Property for purposes of the immediately preceding paragraph shall refer to the consideration referred to in clause</w:t>
      </w:r>
    </w:p>
    <w:p>
      <w:pPr>
        <w:spacing w:after="0" w:line="3" w:lineRule="exact"/>
        <w:rPr>
          <w:sz w:val="20"/>
          <w:szCs w:val="20"/>
          <w:color w:val="auto"/>
        </w:rPr>
      </w:pPr>
    </w:p>
    <w:p>
      <w:pPr>
        <w:ind w:left="4" w:right="20" w:hanging="4"/>
        <w:spacing w:after="0" w:line="252" w:lineRule="auto"/>
        <w:tabs>
          <w:tab w:leader="none" w:pos="21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attributable to one share of Class A Common Stock. If the holders of the Class A Common Stock receive only cash in such Share Exchange Event, then for all conversions for which the relevant Conversion Date occurs after the effective date of such Share Exchange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price paid per share of Class A Common Stock in such Share Exchange Event and (B) the Company shall satisfy the Conversion Obligation by paying cash to converting Holders on the fifth Business Day immediately following the relevant Conversion Date. The Company shall notify Holders, the Trustee and the Conversion Agent (if other than the Trustee) in writing of such weighted average as soon as practicable after such determination is made.</w:t>
      </w:r>
    </w:p>
    <w:p>
      <w:pPr>
        <w:spacing w:after="0" w:line="188" w:lineRule="exact"/>
        <w:rPr>
          <w:sz w:val="20"/>
          <w:szCs w:val="20"/>
          <w:color w:val="auto"/>
        </w:rPr>
      </w:pPr>
    </w:p>
    <w:p>
      <w:pPr>
        <w:ind w:left="4" w:right="260" w:firstLine="440"/>
        <w:spacing w:after="0" w:line="256" w:lineRule="auto"/>
        <w:rPr>
          <w:sz w:val="20"/>
          <w:szCs w:val="20"/>
          <w:color w:val="auto"/>
        </w:rPr>
      </w:pPr>
      <w:r>
        <w:rPr>
          <w:rFonts w:ascii="Times New Roman" w:cs="Times New Roman" w:eastAsia="Times New Roman" w:hAnsi="Times New Roman"/>
          <w:sz w:val="18"/>
          <w:szCs w:val="18"/>
          <w:color w:val="auto"/>
        </w:rPr>
        <w:t>If the Reference Property in respect of any such Share Exchange Event includes, in whole or in part, shares of Common Equity or American depositary receipts (or other interests) in respect thereof, such supplemental indenture described in the second immediately preceding paragraph shall provide for anti-dilution and other adjustments that shall be as nearly equivalent as is possible to the adjustments provided for in this Article 14 with respect to the portion of the Reference Property consisting of such Common Equity or American depositary receipts (or other interests) in respect thereof. If, in the case of any Share Exchange Event, the Reference Property includes shares of stock, securities or other property or assets (including any combination</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4"/>
          </w:cols>
          <w:pgMar w:left="436" w:top="266" w:right="459" w:bottom="1440" w:gutter="0" w:footer="0" w:header="0"/>
        </w:sectPr>
      </w:pPr>
    </w:p>
    <w:bookmarkStart w:id="96" w:name="page97"/>
    <w:bookmarkEnd w:id="96"/>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thereof), other than cash and/or cash equivalents, of a Person other than the Company or the successor or acquiring Person, as the case may be, in such Share Exchange Event, then such supplemental indenture shall also be executed by such other Person, if such Person is an Affiliate of the Company or the successor or acquiring Person, and shall contain such additional provisions to protect the interests of the Holders as the Company shall in good faith reasonably consider necessary by reason of the foregoing, including the provisions providing for the purchase rights set forth in Article 15.</w:t>
      </w:r>
    </w:p>
    <w:p>
      <w:pPr>
        <w:spacing w:after="0" w:line="180" w:lineRule="exact"/>
        <w:rPr>
          <w:sz w:val="20"/>
          <w:szCs w:val="20"/>
          <w:color w:val="auto"/>
        </w:rPr>
      </w:pPr>
    </w:p>
    <w:p>
      <w:pPr>
        <w:ind w:right="100" w:firstLine="436"/>
        <w:spacing w:after="0" w:line="256" w:lineRule="auto"/>
        <w:tabs>
          <w:tab w:leader="none" w:pos="6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spacing w:after="0" w:line="187" w:lineRule="exact"/>
        <w:rPr>
          <w:rFonts w:ascii="Times New Roman" w:cs="Times New Roman" w:eastAsia="Times New Roman" w:hAnsi="Times New Roman"/>
          <w:sz w:val="18"/>
          <w:szCs w:val="18"/>
          <w:color w:val="auto"/>
        </w:rPr>
      </w:pPr>
    </w:p>
    <w:p>
      <w:pPr>
        <w:ind w:right="20" w:firstLine="436"/>
        <w:spacing w:after="0" w:line="261" w:lineRule="auto"/>
        <w:tabs>
          <w:tab w:leader="none" w:pos="6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become a party to any Share Exchange Event unless its terms are consistent with this Section 14.07. None of the foregoing provisions shall affect the right of a Holder of Notes to convert its Notes into cash, shares of Class A Common Stock or a combination of cash and shares of Class A Common Stock, as applicable, as set forth in Section 14.01 and Section 14.02 prior to the effective date of such Share Exchange Event.</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 shall similarly apply to successive Share Exchange Events.</w:t>
      </w:r>
    </w:p>
    <w:p>
      <w:pPr>
        <w:spacing w:after="0" w:line="223"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Section 14.08</w:t>
      </w:r>
      <w:r>
        <w:rPr>
          <w:rFonts w:ascii="Times New Roman" w:cs="Times New Roman" w:eastAsia="Times New Roman" w:hAnsi="Times New Roman"/>
          <w:sz w:val="18"/>
          <w:szCs w:val="18"/>
          <w:i w:val="1"/>
          <w:iCs w:val="1"/>
          <w:color w:val="auto"/>
        </w:rPr>
        <w:t>. Certain Covenants.</w:t>
      </w:r>
      <w:r>
        <w:rPr>
          <w:rFonts w:ascii="Times New Roman" w:cs="Times New Roman" w:eastAsia="Times New Roman" w:hAnsi="Times New Roman"/>
          <w:sz w:val="18"/>
          <w:szCs w:val="18"/>
          <w:color w:val="auto"/>
        </w:rPr>
        <w:t xml:space="preserve"> (a) The Company covenants that all shares of Class A Common Stock issued upon conversion of Notes will be fully paid and non-assessable by the Company and free from all taxes, liens and charges with respect to the issue thereof.</w:t>
      </w:r>
    </w:p>
    <w:p>
      <w:pPr>
        <w:spacing w:after="0" w:line="160" w:lineRule="exact"/>
        <w:rPr>
          <w:sz w:val="20"/>
          <w:szCs w:val="20"/>
          <w:color w:val="auto"/>
        </w:rPr>
      </w:pPr>
    </w:p>
    <w:p>
      <w:pPr>
        <w:ind w:firstLine="436"/>
        <w:spacing w:after="0" w:line="261"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if any shares of Class A Common Stock to be provided for the purpose of conversion of Notes hereunder require registration with or approval of any governmental authority under any federal or state law before such shares of Class A Common Stock may be validly issued upon conversion, the Company will, to the extent then permitted by the rules and interpretations of the Commission, secure such registration or approval, as the case may be.</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that if at any time the Class A Common Stock shall be listed on any national securities exchange or automated quotation system the Company will list and keep listed, so long as the Class A Common Stock shall be so listed on such exchange or automated quotation system, any Class A Common Stock issuable upon conversion of the Notes.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80"/>
          </w:cols>
          <w:pgMar w:left="440" w:top="270" w:right="479" w:bottom="1440" w:gutter="0" w:footer="0" w:header="0"/>
        </w:sectPr>
      </w:pPr>
    </w:p>
    <w:bookmarkStart w:id="97" w:name="page98"/>
    <w:bookmarkEnd w:id="97"/>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14.09</w:t>
      </w:r>
      <w:r>
        <w:rPr>
          <w:rFonts w:ascii="Times New Roman" w:cs="Times New Roman" w:eastAsia="Times New Roman" w:hAnsi="Times New Roman"/>
          <w:sz w:val="18"/>
          <w:szCs w:val="18"/>
          <w:i w:val="1"/>
          <w:iCs w:val="1"/>
          <w:color w:val="auto"/>
        </w:rPr>
        <w:t>. Responsibility of Trustee.</w:t>
      </w:r>
      <w:r>
        <w:rPr>
          <w:rFonts w:ascii="Times New Roman" w:cs="Times New Roman" w:eastAsia="Times New Roman" w:hAnsi="Times New Roman"/>
          <w:sz w:val="18"/>
          <w:szCs w:val="18"/>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Class A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Class A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14.10. </w:t>
      </w:r>
      <w:r>
        <w:rPr>
          <w:rFonts w:ascii="Times New Roman" w:cs="Times New Roman" w:eastAsia="Times New Roman" w:hAnsi="Times New Roman"/>
          <w:sz w:val="18"/>
          <w:szCs w:val="18"/>
          <w:i w:val="1"/>
          <w:iCs w:val="1"/>
          <w:color w:val="auto"/>
        </w:rPr>
        <w:t>[Intentionally Omitted].</w:t>
      </w:r>
    </w:p>
    <w:p>
      <w:pPr>
        <w:spacing w:after="0" w:line="225"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14.11. </w:t>
      </w:r>
      <w:r>
        <w:rPr>
          <w:rFonts w:ascii="Times New Roman" w:cs="Times New Roman" w:eastAsia="Times New Roman" w:hAnsi="Times New Roman"/>
          <w:sz w:val="18"/>
          <w:szCs w:val="18"/>
          <w:i w:val="1"/>
          <w:iCs w:val="1"/>
          <w:color w:val="auto"/>
        </w:rPr>
        <w:t>Stockholder Rights Plans.</w:t>
      </w:r>
      <w:r>
        <w:rPr>
          <w:rFonts w:ascii="Times New Roman" w:cs="Times New Roman" w:eastAsia="Times New Roman" w:hAnsi="Times New Roman"/>
          <w:sz w:val="18"/>
          <w:szCs w:val="18"/>
          <w:color w:val="auto"/>
        </w:rPr>
        <w:t xml:space="preserve"> If the Company has a stockholder rights plan in effect upon conversion of the Notes, each share of Class A Common Stock, if any, issued upon such conversion shall be entitled to receive the appropriate number of rights, if any, and the certificates representing the Class A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Class A Common Stock in accordance with the provisions of the applicable stockholder rights plan, the Conversion Rate shall be adjusted at the time of separation as if the Company distributed to all or substantially all holders of the Class A Common Stock, Distributed Property as provided in Section 14.04(c), subject to readjustment in the event of the expiration, termination or redemption of such rights.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80"/>
          </w:cols>
          <w:pgMar w:left="440" w:top="268" w:right="479" w:bottom="1440" w:gutter="0" w:footer="0" w:header="0"/>
        </w:sectPr>
      </w:pPr>
    </w:p>
    <w:bookmarkStart w:id="98" w:name="page99"/>
    <w:bookmarkEnd w:id="98"/>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14.12. </w:t>
      </w:r>
      <w:r>
        <w:rPr>
          <w:rFonts w:ascii="Times New Roman" w:cs="Times New Roman" w:eastAsia="Times New Roman" w:hAnsi="Times New Roman"/>
          <w:sz w:val="18"/>
          <w:szCs w:val="18"/>
          <w:i w:val="1"/>
          <w:iCs w:val="1"/>
          <w:color w:val="auto"/>
        </w:rPr>
        <w:t>Exchange in Lieu of Conversion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20" w:firstLine="436"/>
        <w:spacing w:after="0" w:line="254" w:lineRule="auto"/>
        <w:tabs>
          <w:tab w:leader="none" w:pos="66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Holder surrenders its Notes for conversion, the Company may, at its election (an “</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direct the Conversion Agent to deliver, on or prior to the Trading Day immediately following the Conversion Date, such Notes to one or more financial institutions designated by the Company (each, a “</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for exchange in lieu of conversion. In order to accept any Notes surrendered for conversion, the Designated Financial Institution(s) must agree to timely pay and/or deliver, as the case may be, in exchange for such Notes, the cash, shares of Class A Common Stock or combination thereof that would otherwise be due upon conversion pursuant to Section 14.02 or such other amount agreed to by the Holder and the Designated Financial Institution(s) (the “</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If the Company makes an Exchange Election, the Company shall, by the close of business on the Trading Day following the relevant Conversion Date, notify in writing the Trustee, the Conversion Agent (if other than the Trustee) and the Holder surrendering Notes for conversion that the Company has made the Exchange Election, and the Company shall promptly notify the Designated Financial Institution(s) of the relevant deadline for delivery of the Conversion Consideration and the type of consideration constituting the Conversion Obligation under this Indenture to be paid and/or delivered, as the case may be.</w:t>
      </w:r>
    </w:p>
    <w:p>
      <w:pPr>
        <w:spacing w:after="0" w:line="189"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Notes delivered to the Designated Financial Institution(s) shall remain outstanding, subject to the applicable procedures of the Depositary. If the Designated Financial Institution(s) agree(s) to accept any Notes for exchange but does not timely pay and/or deliver, as the case may be, the related Conversion Consideration, or if such Designated Financial Institution does not accept the Notes for exchange, the Company shall pay and/or deliver, as the case may be, the relevant Conversion Consideration, as, and at the time, required pursuant to this Indenture as if the Company had not made the Exchange Election.</w:t>
      </w:r>
    </w:p>
    <w:p>
      <w:pPr>
        <w:spacing w:after="0" w:line="183" w:lineRule="exact"/>
        <w:rPr>
          <w:rFonts w:ascii="Times New Roman" w:cs="Times New Roman" w:eastAsia="Times New Roman" w:hAnsi="Times New Roman"/>
          <w:sz w:val="18"/>
          <w:szCs w:val="18"/>
          <w:color w:val="auto"/>
        </w:rPr>
      </w:pPr>
    </w:p>
    <w:p>
      <w:pPr>
        <w:ind w:left="-20" w:right="320" w:firstLine="436"/>
        <w:spacing w:after="0" w:line="282" w:lineRule="auto"/>
        <w:tabs>
          <w:tab w:leader="none" w:pos="66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designation of any Designated Financial Institution(s) to which the Notes may be submitted for exchange does not require such Designated Financial Institution(s) to accept any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EPURCHASE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 AT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Section 15.01</w:t>
      </w:r>
      <w:r>
        <w:rPr>
          <w:rFonts w:ascii="Times New Roman" w:cs="Times New Roman" w:eastAsia="Times New Roman" w:hAnsi="Times New Roman"/>
          <w:sz w:val="18"/>
          <w:szCs w:val="18"/>
          <w:i w:val="1"/>
          <w:iCs w:val="1"/>
          <w:color w:val="auto"/>
        </w:rPr>
        <w:t>. [Intentionally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Section 15.02</w:t>
      </w:r>
      <w:r>
        <w:rPr>
          <w:rFonts w:ascii="Times New Roman" w:cs="Times New Roman" w:eastAsia="Times New Roman" w:hAnsi="Times New Roman"/>
          <w:sz w:val="18"/>
          <w:szCs w:val="18"/>
          <w:i w:val="1"/>
          <w:iCs w:val="1"/>
          <w:color w:val="auto"/>
        </w:rPr>
        <w:t>. Repurchase at Option of Holders Upon a Fundamental Change.</w:t>
      </w:r>
    </w:p>
    <w:p>
      <w:pPr>
        <w:spacing w:after="0" w:line="227" w:lineRule="exact"/>
        <w:rPr>
          <w:sz w:val="20"/>
          <w:szCs w:val="20"/>
          <w:color w:val="auto"/>
        </w:rPr>
      </w:pPr>
    </w:p>
    <w:p>
      <w:pPr>
        <w:ind w:left="-20" w:right="120" w:firstLine="436"/>
        <w:spacing w:after="0" w:line="258" w:lineRule="auto"/>
        <w:tabs>
          <w:tab w:leader="none" w:pos="66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15.02(f), if a Fundamental Change occurs at any time, each Holder shall have the right, at such Holder’s option, to require the Company to repurchase for cash all of such Holder’s Notes, or any portion of the principal amount thereof properly surrendered and not validly withdrawn pursuant to Section 15.03 that is equal to $1,000 or an integral multiple of $1,000, on the date (the “</w:t>
      </w:r>
      <w:r>
        <w:rPr>
          <w:rFonts w:ascii="Times New Roman" w:cs="Times New Roman" w:eastAsia="Times New Roman" w:hAnsi="Times New Roman"/>
          <w:sz w:val="18"/>
          <w:szCs w:val="18"/>
          <w:b w:val="1"/>
          <w:bCs w:val="1"/>
          <w:color w:val="auto"/>
        </w:rPr>
        <w:t>Fundamental Change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specified by the Company that is not less than 20 Business Days or more than 35 Business Days following the date of the Fundamental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Notice at a repurchase price equal 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60"/>
          </w:cols>
          <w:pgMar w:left="460" w:top="268" w:right="479" w:bottom="1440" w:gutter="0" w:footer="0" w:header="0"/>
        </w:sectPr>
      </w:pPr>
    </w:p>
    <w:bookmarkStart w:id="99" w:name="page100"/>
    <w:bookmarkEnd w:id="99"/>
    <w:p>
      <w:pPr>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100%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thereon to, but excluding, the Fundamental Change Repurchase Date (the “</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(unless the Fundamental Change Repurchase Date falls after a Special Interest Record Date but on or prior to the Special Interest Payment Date to which such Special Interest Record Date relates, in which case the Company shall instead pay the full amount of accrued and unpaid interest to Holders of record as of the close of business on such Special Interest Record Date on, or at the Company’s election, before such Special Interest Payment Date, and the Fundamental Change Repurchase Price shall be equal to 100% of the principal amount of Notes to be repurchased pursuant to this Article 15).</w:t>
      </w:r>
    </w:p>
    <w:p>
      <w:pPr>
        <w:spacing w:after="0" w:line="184" w:lineRule="exact"/>
        <w:rPr>
          <w:sz w:val="20"/>
          <w:szCs w:val="20"/>
          <w:color w:val="auto"/>
        </w:rPr>
      </w:pPr>
    </w:p>
    <w:p>
      <w:pPr>
        <w:ind w:left="700" w:hanging="264"/>
        <w:spacing w:after="0"/>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Notes under this Section 15.02 shall be made, at the option of the Holder thereof, upon:</w:t>
      </w:r>
    </w:p>
    <w:p>
      <w:pPr>
        <w:spacing w:after="0" w:line="113" w:lineRule="exact"/>
        <w:rPr>
          <w:rFonts w:ascii="Times New Roman" w:cs="Times New Roman" w:eastAsia="Times New Roman" w:hAnsi="Times New Roman"/>
          <w:sz w:val="18"/>
          <w:szCs w:val="18"/>
          <w:color w:val="auto"/>
        </w:rPr>
      </w:pPr>
    </w:p>
    <w:p>
      <w:pPr>
        <w:ind w:left="440" w:right="80" w:firstLine="419"/>
        <w:spacing w:after="0" w:line="262" w:lineRule="auto"/>
        <w:tabs>
          <w:tab w:leader="none" w:pos="107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Paying Agent by a Holder of a duly completed notice (the “</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in the form set forth in Attachment 2 to the Form of Note attached hereto as Exhibit A, if the Notes are Physical Notes, or in compliance with the Depositary’s applicable procedures for surrendering interests in Global Notes, if the Notes are Global Notes, in each case, on or before the close of business on the Business Day immediately preceding the Fundamental Change Repurchase Date; and</w:t>
      </w:r>
    </w:p>
    <w:p>
      <w:pPr>
        <w:spacing w:after="0" w:line="72"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2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applicable procedures of the Depositary, in each case, such delivery or transfer being a condition to receipt by the Holder of the Fundamental Change Repurchase Price therefor.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Fundamental Change Repurchase Notice in respect of any Physical Notes to be repurchased shall state:</w:t>
      </w:r>
    </w:p>
    <w:p>
      <w:pPr>
        <w:spacing w:after="0" w:line="117" w:lineRule="exact"/>
        <w:rPr>
          <w:sz w:val="20"/>
          <w:szCs w:val="20"/>
          <w:color w:val="auto"/>
        </w:rPr>
      </w:pPr>
    </w:p>
    <w:p>
      <w:pPr>
        <w:ind w:left="1080" w:hanging="221"/>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numbers of the Notes to be delivered for repurchase;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to be repurchased, which must be $1,000 or an integral multiple thereof; and</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are to be repurchased by the Company pursuant to the applicable provisions of the Notes and this Indenture.</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the Notes are Global Notes, to exercise the Fundamental Change repurchase right, Holders must surrender their Notes in accordance with applicable Depositary procedures.</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68" w:right="459" w:bottom="1440" w:gutter="0" w:footer="0" w:header="0"/>
        </w:sectPr>
      </w:pPr>
    </w:p>
    <w:bookmarkStart w:id="100" w:name="page101"/>
    <w:bookmarkEnd w:id="100"/>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Paying Agent shall promptly notify the Company of the receipt by it of any Fundamental Change Repurchase Notice or written notice of withdrawal thereof.</w:t>
      </w:r>
    </w:p>
    <w:p>
      <w:pPr>
        <w:spacing w:after="0" w:line="162" w:lineRule="exact"/>
        <w:rPr>
          <w:sz w:val="20"/>
          <w:szCs w:val="20"/>
          <w:color w:val="auto"/>
        </w:rPr>
      </w:pPr>
    </w:p>
    <w:p>
      <w:pPr>
        <w:ind w:right="40" w:firstLine="436"/>
        <w:spacing w:after="0" w:line="255" w:lineRule="auto"/>
        <w:tabs>
          <w:tab w:leader="none" w:pos="68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20th Business Day after the occurrence of the effective date of a Fundamental Change, the Company shall provide to all Holders and the Trustee, the Conversion Agent (if other than the Trustee) and the Paying Agent (if other than the Trustee) a notice (the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 Company Notice</w:t>
      </w:r>
      <w:r>
        <w:rPr>
          <w:rFonts w:ascii="Times New Roman" w:cs="Times New Roman" w:eastAsia="Times New Roman" w:hAnsi="Times New Roman"/>
          <w:sz w:val="18"/>
          <w:szCs w:val="18"/>
          <w:color w:val="auto"/>
        </w:rPr>
        <w:t>”) of the occurrence of the effective date of the Fundamental Change and of the resulting repurchase right at the option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arising as a result thereof. In the case of Physical Notes, such notice shall be delivered by first class mail or, in the case of Global Notes, such notice shall be delivered in accordance with the applicable procedures of the Depositary. Simultaneously with providing such notice, the Company shall publish such information on the Company’s website or through such other public medium as the Company may use at that time. Each Fundamental Change Company Notice shall specify:</w:t>
      </w:r>
    </w:p>
    <w:p>
      <w:pPr>
        <w:spacing w:after="0" w:line="80"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causing the Fundamental Change;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Fundamental Change;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on which a Holder may exercise the repurchase right pursuant to this Article 15;</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Price;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 if applicable;</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21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Conversion Rate and any adjustments to the Conversion Rate as a result of the Fundamental Change (or related Make-Whole Fundamental Change);</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26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with respect to which a Fundamental Change Repurchase Notice has been delivered by a Holder may be converted only if the Holder validly withdraws the Fundamental Change Repurchase Notice in accordance with the terms of this Indenture;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that Holders must follow to require the Company to repurchase their Notes.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440" w:top="270" w:right="479" w:bottom="1440" w:gutter="0" w:footer="0" w:header="0"/>
        </w:sectPr>
      </w:pPr>
    </w:p>
    <w:bookmarkStart w:id="101" w:name="page102"/>
    <w:bookmarkEnd w:id="10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failure of the Company to give the foregoing notices and no defect therein shall limit the Holders’ repurchase rights or affect the validity of the proceedings for the repurchase of the Notes pursuant to this Section 15.02.</w:t>
      </w:r>
    </w:p>
    <w:p>
      <w:pPr>
        <w:spacing w:after="0" w:line="162"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At the Company’s written request given at least two (2) Business Days before such notice is to be sent (or such shorter period as shall be acceptable to the Trustee), the Trustee shall give such notice in the Company’s name and at the Company’s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all cases, the text of such Fundamental Change Company Notice shall be prepared by the Company.</w:t>
      </w:r>
    </w:p>
    <w:p>
      <w:pPr>
        <w:spacing w:after="0" w:line="176" w:lineRule="exact"/>
        <w:rPr>
          <w:sz w:val="20"/>
          <w:szCs w:val="20"/>
          <w:color w:val="auto"/>
        </w:rPr>
      </w:pPr>
    </w:p>
    <w:p>
      <w:pPr>
        <w:ind w:right="260" w:firstLine="436"/>
        <w:spacing w:after="0" w:line="258" w:lineRule="auto"/>
        <w:tabs>
          <w:tab w:leader="none" w:pos="69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surrendered and not validly withdrawn under its offer in the same manner, at the same time and otherwise in compliance with the requirements for an offer made by the Company as set forth above.</w:t>
      </w:r>
    </w:p>
    <w:p>
      <w:pPr>
        <w:spacing w:after="0" w:line="183" w:lineRule="exact"/>
        <w:rPr>
          <w:rFonts w:ascii="Times New Roman" w:cs="Times New Roman" w:eastAsia="Times New Roman" w:hAnsi="Times New Roman"/>
          <w:sz w:val="18"/>
          <w:szCs w:val="18"/>
          <w:color w:val="auto"/>
        </w:rPr>
      </w:pPr>
    </w:p>
    <w:p>
      <w:pPr>
        <w:ind w:right="180" w:firstLine="436"/>
        <w:spacing w:after="0" w:line="254" w:lineRule="auto"/>
        <w:tabs>
          <w:tab w:leader="none" w:pos="6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w:t>
      </w:r>
    </w:p>
    <w:p>
      <w:pPr>
        <w:spacing w:after="0" w:line="191" w:lineRule="exact"/>
        <w:rPr>
          <w:rFonts w:ascii="Times New Roman" w:cs="Times New Roman" w:eastAsia="Times New Roman" w:hAnsi="Times New Roman"/>
          <w:sz w:val="18"/>
          <w:szCs w:val="18"/>
          <w:color w:val="auto"/>
        </w:rPr>
      </w:pPr>
    </w:p>
    <w:p>
      <w:pPr>
        <w:ind w:right="220" w:firstLine="436"/>
        <w:spacing w:after="0" w:line="254" w:lineRule="auto"/>
        <w:tabs>
          <w:tab w:leader="none" w:pos="66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15.02, the Company shall not be required to send a Fundamental Change Company Notice, or offer to repurchase or repurchase any Notes, as set forth in this Article 15, in connection with a Fundamental Change occurring pursuant to clause (b)(A) or (B) of the definition thereof, if: (i) such Fundamental Change constitutes a Share Exchange Event whose Reference Property consists entirely of cash in U.S. dollars; (ii) immediately after such Fundamental Change, the Notes become convertible (pursuant to Section 14.07 and, if applicable, Section 14.03) into consideration that consists solely of U.S. dollars in an amount per $1,000 principal amount of Notes that equals or exceeds the Fundamental Change Repurchase Price per $1,000 principal amount of Notes (calculated assuming that the same includes the maximum amount of accrued but unpaid interest payable as part of the Fundamental Change Repurchase Price for such Fundamental Change); and (iii) the Company timely sends the notice relating to such Fundamental Change required pursuant to Section 14.01(b)(iii). Any Fundamental Change with respect to which, in accordance with the provisions described in this Section 15.02(f), the Company does not offer to repurchase any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102" w:name="page103"/>
    <w:bookmarkEnd w:id="102"/>
    <w:p>
      <w:pPr>
        <w:ind w:right="1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is referred to as herein as an “</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 For the avoidance of doubt, the maximum amount of accrued interest referred to in clause (ii) above will be determined (A) by assuming that the Fundamental Change Repurchase Date occurs on the latest possible date permitted for the applicable Fundamental Change pursuant to the provisions of this Section 15.02; and (ii) without regard to the parenthetical in Section 15.02(a) relating to a Fundamental Change Repurchase Date that falls after a Special Interest Record Date and prior to the corresponding Special Interest Payment Date.</w:t>
      </w:r>
    </w:p>
    <w:p>
      <w:pPr>
        <w:spacing w:after="0" w:line="18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Section 15.03</w:t>
      </w:r>
      <w:r>
        <w:rPr>
          <w:rFonts w:ascii="Times New Roman" w:cs="Times New Roman" w:eastAsia="Times New Roman" w:hAnsi="Times New Roman"/>
          <w:sz w:val="18"/>
          <w:szCs w:val="18"/>
          <w:i w:val="1"/>
          <w:iCs w:val="1"/>
          <w:color w:val="auto"/>
        </w:rPr>
        <w:t>. Withdrawal of Fundamental Change Repurchase Notice.</w:t>
      </w:r>
      <w:r>
        <w:rPr>
          <w:rFonts w:ascii="Times New Roman" w:cs="Times New Roman" w:eastAsia="Times New Roman" w:hAnsi="Times New Roman"/>
          <w:sz w:val="18"/>
          <w:szCs w:val="18"/>
          <w:color w:val="auto"/>
        </w:rPr>
        <w:t xml:space="preserve"> (a) A Fundamental Change Repurchase Notice may be withdrawn (in whole or in part) in respect of Physical Notes by means of a written notice of withdrawal delivered to the Corporate Trust Office of the Paying Agent in accordance with this Section 15.03 at any time prior to the close of business on the Business Day immediately preceding the Fundamental Change Repurchase Date, specifying:</w:t>
      </w:r>
    </w:p>
    <w:p>
      <w:pPr>
        <w:spacing w:after="0" w:line="74" w:lineRule="exact"/>
        <w:rPr>
          <w:sz w:val="20"/>
          <w:szCs w:val="20"/>
          <w:color w:val="auto"/>
        </w:rPr>
      </w:pPr>
    </w:p>
    <w:p>
      <w:pPr>
        <w:ind w:left="440" w:right="540" w:firstLine="419"/>
        <w:spacing w:after="0" w:line="282" w:lineRule="auto"/>
        <w:tabs>
          <w:tab w:leader="none" w:pos="107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Notes with respect to which such notice of withdrawal is being submitted, which must be $1,000 or an integral multiple thereof,</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 of the Note in respect of which such notice of withdrawal is being submitted, and</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7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if any, of such Note that remains subject to the original Fundamental Change Repurchase Notice, which portion must be in principal amounts of $1,000 or an integral multiple of $1,000;</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the Notes are Global Notes, Holders must withdraw their Notes subject to repurchase at any time prior to the close of business on the Business Day immediately preceding the Fundamental Change Repurchase Date in accordance with applicable procedures of the Depositary.</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i w:val="1"/>
          <w:iCs w:val="1"/>
          <w:color w:val="auto"/>
        </w:rPr>
        <w:t>Deposit of Fundamental Change Repurchase Price.</w:t>
      </w:r>
      <w:r>
        <w:rPr>
          <w:rFonts w:ascii="Times New Roman" w:cs="Times New Roman" w:eastAsia="Times New Roman" w:hAnsi="Times New Roman"/>
          <w:sz w:val="18"/>
          <w:szCs w:val="18"/>
          <w:color w:val="auto"/>
        </w:rPr>
        <w:t xml:space="preserve"> (a) The Company will deposit with the Trustee (or other Paying Agent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appointed by the Company, or if the Company is acting as its own Paying Agent, set aside, segregate and hold in trust as provided in Section 4.04) 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11:00 a.m., New York City time, on the Fundamental Change Repurchase Date an amount of money sufficient to repurchase all of the Notes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repurchased at the appropriate Fundamental Change Repurchase Price. Subject to receipt of funds and/or Notes by the Trustee (or other Paying Agent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appointed by the Company), payment for Notes surrendered for repurchase (and not validly withdrawn prior to the close of business on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immediately preceding the Fundamental Change Repurchase Date) will be made on the later of (i) the Fundamental Change Repurchase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Holder has satisfied the conditions in Section 15.02) and (ii) the time of book-entry transfer or the delivery of such Note to the Trustee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Paying Agent appointed by the Company) by the Holder thereof in the manner required by Section 15.02 by mailing checks for the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payable to the Holders of such Notes entitled thereto as they shall appear in the Note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payments to the Depositary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made by wire transfer of immediately available funds to the account of the Depositary or its nominee. The Trustee shall, promptly after such payment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upon written demand by the Company, return to the Company any funds in excess of the Fundamental Change Repurchase Price.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80"/>
          </w:cols>
          <w:pgMar w:left="440" w:top="266" w:right="479" w:bottom="1440" w:gutter="0" w:footer="0" w:header="0"/>
        </w:sectPr>
      </w:pPr>
    </w:p>
    <w:bookmarkStart w:id="103" w:name="page104"/>
    <w:bookmarkEnd w:id="103"/>
    <w:p>
      <w:pPr>
        <w:ind w:right="20" w:firstLine="436"/>
        <w:spacing w:after="0" w:line="254" w:lineRule="auto"/>
        <w:tabs>
          <w:tab w:leader="none" w:pos="6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by 11:00 a.m. New York City time, on the Fundamental Change Repurchase Date, the Trustee (or other Paying Agent appointed by the Company) holds money sufficient to pay the Fundamental Change Repurchase Price (and, to the extent not included in the Fundamental Change Repurchase Price, accrued and unpaid interest, if applicable) of the Notes to be repurchased on such Fundamental Change Repurchase Date, then, with respect to the Notes that have been properly surrendered for repurchase and have not been validly withdrawn, (i) such Notes will cease to be outstanding, (ii) interest, if any, will cease to accrue on such Notes (whether or not book-entry transfer of the Notes has been made or whether or not the Notes have been delivered to the Trustee or Paying Agent) and (iii) all other rights of the Holders of such Notes will terminate (other than the right to receive the Fundamental Change Repurchase Price and, to the extent not included in the Fundamental Change Repurchase Price, accrued and unpaid Special Interest, if applicable).</w:t>
      </w:r>
    </w:p>
    <w:p>
      <w:pPr>
        <w:spacing w:after="0" w:line="191" w:lineRule="exact"/>
        <w:rPr>
          <w:rFonts w:ascii="Times New Roman" w:cs="Times New Roman" w:eastAsia="Times New Roman" w:hAnsi="Times New Roman"/>
          <w:sz w:val="18"/>
          <w:szCs w:val="18"/>
          <w:color w:val="auto"/>
        </w:rPr>
      </w:pPr>
    </w:p>
    <w:p>
      <w:pPr>
        <w:ind w:right="300" w:firstLine="436"/>
        <w:spacing w:after="0" w:line="266" w:lineRule="auto"/>
        <w:tabs>
          <w:tab w:leader="none" w:pos="68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i w:val="1"/>
          <w:iCs w:val="1"/>
          <w:color w:val="auto"/>
        </w:rPr>
        <w:t>Covenant to Comply with Applicable Laws Upon Repurchase of Notes</w:t>
      </w:r>
      <w:r>
        <w:rPr>
          <w:rFonts w:ascii="Times New Roman" w:cs="Times New Roman" w:eastAsia="Times New Roman" w:hAnsi="Times New Roman"/>
          <w:sz w:val="18"/>
          <w:szCs w:val="18"/>
          <w:color w:val="auto"/>
        </w:rPr>
        <w:t>. In connection with any repurchase offer upon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Fundamental Change pursuant to this Article 15, the Company will, if required:</w:t>
      </w:r>
    </w:p>
    <w:p>
      <w:pPr>
        <w:spacing w:after="0" w:line="99" w:lineRule="exact"/>
        <w:rPr>
          <w:sz w:val="20"/>
          <w:szCs w:val="20"/>
          <w:color w:val="auto"/>
        </w:rPr>
      </w:pPr>
    </w:p>
    <w:p>
      <w:pPr>
        <w:ind w:left="680" w:hanging="244"/>
        <w:spacing w:after="0"/>
        <w:tabs>
          <w:tab w:leader="none" w:pos="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tender offer rules under the Exchange Act that may then be applicable;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Schedule TO or any other required schedule under the Exchange Act; and</w:t>
      </w:r>
    </w:p>
    <w:p>
      <w:pPr>
        <w:spacing w:after="0" w:line="225" w:lineRule="exact"/>
        <w:rPr>
          <w:rFonts w:ascii="Times New Roman" w:cs="Times New Roman" w:eastAsia="Times New Roman" w:hAnsi="Times New Roman"/>
          <w:sz w:val="18"/>
          <w:szCs w:val="18"/>
          <w:color w:val="auto"/>
        </w:rPr>
      </w:pPr>
    </w:p>
    <w:p>
      <w:pPr>
        <w:ind w:right="80" w:firstLine="436"/>
        <w:spacing w:after="0" w:line="282" w:lineRule="auto"/>
        <w:tabs>
          <w:tab w:leader="none" w:pos="68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in all material respects with all federal and state securities laws in connection with any offer by the Company to repurchase the Notes;</w:t>
      </w:r>
    </w:p>
    <w:p>
      <w:pPr>
        <w:spacing w:after="0" w:line="16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in each case, so as to permit the rights and obligations under this Article 15 to be exercised in the time and in the manner specified in this Article 15.</w:t>
      </w:r>
    </w:p>
    <w:p>
      <w:pPr>
        <w:spacing w:after="0" w:line="23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the provisions of any securities laws or regulations enacted or adopted after the date of this Indenture conflict with the provisions of this Indenture relating to the Company’s obligations to repurchase the Notes upon a Fundamental Change, the Company shall comply with such securities laws and regulations and shall not be deemed to have breached its obligations under such provisions of this Indenture by virtue of such conflict.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60"/>
          </w:cols>
          <w:pgMar w:left="440" w:top="270" w:right="49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EDEMPTION</w:t>
      </w:r>
    </w:p>
    <w:p>
      <w:pPr>
        <w:spacing w:after="0" w:line="205" w:lineRule="exact"/>
        <w:rPr>
          <w:sz w:val="20"/>
          <w:szCs w:val="20"/>
          <w:color w:val="auto"/>
        </w:rPr>
      </w:pPr>
    </w:p>
    <w:p>
      <w:pPr>
        <w:ind w:right="1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 No sinking fund is provided for the Notes. The Notes shall not be redeemable by the Company prior to May 21, 2029. The Company may, at its option, redeem (an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for cash all or any portion of the Notes (subject to the Partial Redemption Limitation), on a Redemption Date on or after May 21, 2029, at the Redemption Price, if the Last Reported Sale Price of the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the Notice of Redemption in accordance with Section 16.02.</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i w:val="1"/>
          <w:iCs w:val="1"/>
          <w:color w:val="auto"/>
        </w:rPr>
        <w:t>Notice of Optional Redemption; Selection of 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In case the Company exercises its Optional Redemption right to redeem all or, as the case may be, any part of the Notes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16.01, it shall fix a date for redemption (each, a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and it or, at its written request received by the Trustee not less than five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Days prior to the date such Notice of Redemption is to be sent (or such shorter period of time as may be acceptable to the Trustee), the Trustee,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name of and at the expense of the Company, shall deliver or cause to be delivered a written notice of such Optional Redemption (a “</w:t>
      </w:r>
      <w:r>
        <w:rPr>
          <w:rFonts w:ascii="Times New Roman" w:cs="Times New Roman" w:eastAsia="Times New Roman" w:hAnsi="Times New Roman"/>
          <w:sz w:val="18"/>
          <w:szCs w:val="18"/>
          <w:b w:val="1"/>
          <w:bCs w:val="1"/>
          <w:color w:val="auto"/>
        </w:rPr>
        <w:t>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not less than 25 nor more than 45 Scheduled Trading Days prior to the Redemption Date to each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give such notice, it shall also give written notice of the Redemption Date to the Trustee, the Paying Agent (if other than the Trustee)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Conversion Agent (if other than the Trustee);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in accordance with the provisions of Section 14.02(a)(iii), the Company elects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delivery of a Settlement Notice to settle all conversions of Called Notes with a Conversion Date that occurs during the related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by Physical Settlement, then the Company may instead elect to choose a Redemption Date that is a Business Day not less than 15 calendar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 more than 45 Scheduled Trading Days after the date the Company sends such Notice of Redemption. The Redemption Date set forth in the relevant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Redemption must be a Business Day that is scheduled to be a Business Day as of the date of such Notice of Redemption, and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not specify a Redemption Date that falls on or after the 21st Scheduled Trading Day immediately preceding the Maturity Date.</w:t>
      </w:r>
    </w:p>
    <w:p>
      <w:pPr>
        <w:spacing w:after="0" w:line="207" w:lineRule="exact"/>
        <w:rPr>
          <w:sz w:val="20"/>
          <w:szCs w:val="20"/>
          <w:color w:val="auto"/>
        </w:rPr>
      </w:pPr>
    </w:p>
    <w:p>
      <w:pPr>
        <w:ind w:firstLine="436"/>
        <w:spacing w:after="0" w:line="266"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Redemption, if delivered in the manner herein provided, shall be conclusively presumed to have been duly given, whether or not the Holder receives such notice. In any case, failure to give such Notice of Redemption or any defect in the Notice of Redemption to the Holder of any Note designated for redemption as a whole or in part shall not affect the validity of the proceedings for the redemption of any other Note.</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Redemption shall specify:</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80"/>
          </w:cols>
          <w:pgMar w:left="440" w:top="270" w:right="479" w:bottom="1440" w:gutter="0" w:footer="0" w:header="0"/>
        </w:sectPr>
      </w:pPr>
    </w:p>
    <w:bookmarkStart w:id="105" w:name="page106"/>
    <w:bookmarkEnd w:id="105"/>
    <w:p>
      <w:pPr>
        <w:ind w:left="440" w:right="400" w:firstLine="419"/>
        <w:spacing w:after="0" w:line="282" w:lineRule="auto"/>
        <w:tabs>
          <w:tab w:leader="none" w:pos="117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on the Redemption Date, the Redemption Price will become due and payable upon each Note to be redeemed, and that interest thereon, if any, shall cease to accrue on and after payment of the Redemption Price in full on the Redemption Date;</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of Called Notes may surrender such Notes for conversion at any time during the related Redemption Period;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6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 converting Holder must follow to convert its Called Notes and the Settlement Method and Specified Dollar Amount, if applicable;</w:t>
      </w:r>
    </w:p>
    <w:p>
      <w:pPr>
        <w:spacing w:after="0" w:line="53"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and, if applicable, the number of Additional Shares added to the Conversion Rate in accordance with</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14.03;</w:t>
      </w:r>
    </w:p>
    <w:p>
      <w:pPr>
        <w:spacing w:after="0" w:line="99" w:lineRule="exact"/>
        <w:rPr>
          <w:sz w:val="20"/>
          <w:szCs w:val="20"/>
          <w:color w:val="auto"/>
        </w:rPr>
      </w:pPr>
    </w:p>
    <w:p>
      <w:pPr>
        <w:ind w:left="1260" w:hanging="401"/>
        <w:spacing w:after="0"/>
        <w:tabs>
          <w:tab w:leader="none" w:pos="1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or other similar numbers, if any, assigned to such Notes; and</w:t>
      </w:r>
    </w:p>
    <w:p>
      <w:pPr>
        <w:spacing w:after="0" w:line="117" w:lineRule="exact"/>
        <w:rPr>
          <w:rFonts w:ascii="Times New Roman" w:cs="Times New Roman" w:eastAsia="Times New Roman" w:hAnsi="Times New Roman"/>
          <w:sz w:val="18"/>
          <w:szCs w:val="18"/>
          <w:color w:val="auto"/>
        </w:rPr>
      </w:pPr>
    </w:p>
    <w:p>
      <w:pPr>
        <w:jc w:val="both"/>
        <w:ind w:left="440" w:right="700" w:firstLine="419"/>
        <w:spacing w:after="0" w:line="312" w:lineRule="auto"/>
        <w:tabs>
          <w:tab w:leader="none" w:pos="1168"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Notice of Redemption shall be irrevocable.</w:t>
      </w:r>
    </w:p>
    <w:p>
      <w:pPr>
        <w:spacing w:after="0" w:line="225" w:lineRule="exact"/>
        <w:rPr>
          <w:sz w:val="20"/>
          <w:szCs w:val="20"/>
          <w:color w:val="auto"/>
        </w:rPr>
      </w:pPr>
    </w:p>
    <w:p>
      <w:pPr>
        <w:ind w:firstLine="436"/>
        <w:spacing w:after="0" w:line="254"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redeem fewer than all of the outstanding Notes, at least $75,000,000 aggregate principal amount of Notes must be outstanding and not subject to Optional Redemption as of, and after giving effect to the delivery of, the relevant Notice of Redemption (such requirement, the “</w:t>
      </w:r>
      <w:r>
        <w:rPr>
          <w:rFonts w:ascii="Times New Roman" w:cs="Times New Roman" w:eastAsia="Times New Roman" w:hAnsi="Times New Roman"/>
          <w:sz w:val="18"/>
          <w:szCs w:val="18"/>
          <w:b w:val="1"/>
          <w:bCs w:val="1"/>
          <w:color w:val="auto"/>
        </w:rPr>
        <w:t>Partial Redemption Limitation</w:t>
      </w:r>
      <w:r>
        <w:rPr>
          <w:rFonts w:ascii="Times New Roman" w:cs="Times New Roman" w:eastAsia="Times New Roman" w:hAnsi="Times New Roman"/>
          <w:sz w:val="18"/>
          <w:szCs w:val="18"/>
          <w:color w:val="auto"/>
        </w:rPr>
        <w:t xml:space="preserve">”). If fewer than all of the outstanding Notes are to be redeemed and the Notes to be redeemed are Global Notes, the Notes to be redeemed shall be selected by the Depositary in accordance with the applicable procedures of the Depositary. If fewer than all of the outstanding Notes are to be redeemed and the Notes to be redeemed are not Global Notes, the Trustee shall select the Notes or portions thereof to be redeemed (in principal amounts of $1,000 or multiples thereof) by lot,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by another method the Trustee considers to be fair and appropriate. If any Note selected for partial redemption is submitted for conversion in part after such selection, the portion of the Note submitted for conversion shall be deemed (so far as may be possible) to be the portion selected for redemption, subject, in the case of Notes represented by a Global Note, to the Depositary’s applicable procedures.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106" w:name="page107"/>
    <w:bookmarkEnd w:id="10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16.03. </w:t>
      </w:r>
      <w:r>
        <w:rPr>
          <w:rFonts w:ascii="Times New Roman" w:cs="Times New Roman" w:eastAsia="Times New Roman" w:hAnsi="Times New Roman"/>
          <w:sz w:val="18"/>
          <w:szCs w:val="18"/>
          <w:i w:val="1"/>
          <w:iCs w:val="1"/>
          <w:color w:val="auto"/>
        </w:rPr>
        <w:t>Payment of Notes Called for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6" w:lineRule="auto"/>
        <w:tabs>
          <w:tab w:leader="none" w:pos="6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Notice of Redemption has been given in respect of all or any part of the Notes in accordance with Section 16.02, the Notes so subject to redemption shall become due and payable on the Redemption Date at the place or places stated in the Notice of Redemption and at the applicable Redemption Price. On presentation and surrender of the Notes to be redeemed at the place or places stated in the Notice of Redemption, such Notes shall be paid and redeemed by the Company at the applicable Redemption Price. Upon surrender of a Note that is to be redeemed in part pursuant to Section 16.01, the Company shall execute and the Trustee shall authenticate and deliver to the Holder a new Note in an authorized denomination equal in principal amount to the unredeemed portion of the Note surrendered.</w:t>
      </w:r>
    </w:p>
    <w:p>
      <w:pPr>
        <w:spacing w:after="0" w:line="187"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11:00 a.m. New York City time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85"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i w:val="1"/>
          <w:iCs w:val="1"/>
          <w:color w:val="auto"/>
        </w:rPr>
        <w:t>Restrictions on Redemption</w:t>
      </w:r>
      <w:r>
        <w:rPr>
          <w:rFonts w:ascii="Times New Roman" w:cs="Times New Roman" w:eastAsia="Times New Roman" w:hAnsi="Times New Roman"/>
          <w:sz w:val="18"/>
          <w:szCs w:val="18"/>
          <w:color w:val="auto"/>
        </w:rPr>
        <w:t>.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w:t>
      </w:r>
    </w:p>
    <w:p>
      <w:pPr>
        <w:spacing w:after="0" w:line="20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Section 17.01</w:t>
      </w:r>
      <w:r>
        <w:rPr>
          <w:rFonts w:ascii="Times New Roman" w:cs="Times New Roman" w:eastAsia="Times New Roman" w:hAnsi="Times New Roman"/>
          <w:sz w:val="18"/>
          <w:szCs w:val="18"/>
          <w:i w:val="1"/>
          <w:iCs w:val="1"/>
          <w:color w:val="auto"/>
        </w:rPr>
        <w:t>. Provisions Binding on Company’s Successors.</w:t>
      </w:r>
      <w:r>
        <w:rPr>
          <w:rFonts w:ascii="Times New Roman" w:cs="Times New Roman" w:eastAsia="Times New Roman" w:hAnsi="Times New Roman"/>
          <w:sz w:val="18"/>
          <w:szCs w:val="18"/>
          <w:color w:val="auto"/>
        </w:rPr>
        <w:t xml:space="preserve"> All the covenants, stipulations, promises and agreements of the Company contained in this Indenture shall bind its successors and assigns whether so expressed or not.</w:t>
      </w:r>
    </w:p>
    <w:p>
      <w:pPr>
        <w:spacing w:after="0" w:line="158" w:lineRule="exact"/>
        <w:rPr>
          <w:sz w:val="20"/>
          <w:szCs w:val="20"/>
          <w:color w:val="auto"/>
        </w:rPr>
      </w:pPr>
    </w:p>
    <w:p>
      <w:pPr>
        <w:ind w:right="3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17.02. </w:t>
      </w:r>
      <w:r>
        <w:rPr>
          <w:rFonts w:ascii="Times New Roman" w:cs="Times New Roman" w:eastAsia="Times New Roman" w:hAnsi="Times New Roman"/>
          <w:sz w:val="18"/>
          <w:szCs w:val="18"/>
          <w:i w:val="1"/>
          <w:iCs w:val="1"/>
          <w:color w:val="auto"/>
        </w:rPr>
        <w:t>Official Acts by Successor Entity.</w:t>
      </w:r>
      <w:r>
        <w:rPr>
          <w:rFonts w:ascii="Times New Roman" w:cs="Times New Roman" w:eastAsia="Times New Roman" w:hAnsi="Times New Roman"/>
          <w:sz w:val="18"/>
          <w:szCs w:val="18"/>
          <w:color w:val="auto"/>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7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Section 17.03</w:t>
      </w:r>
      <w:r>
        <w:rPr>
          <w:rFonts w:ascii="Times New Roman" w:cs="Times New Roman" w:eastAsia="Times New Roman" w:hAnsi="Times New Roman"/>
          <w:sz w:val="18"/>
          <w:szCs w:val="18"/>
          <w:i w:val="1"/>
          <w:iCs w:val="1"/>
          <w:color w:val="auto"/>
        </w:rPr>
        <w:t>. Addresses for Notices, Etc..</w:t>
      </w:r>
      <w:r>
        <w:rPr>
          <w:rFonts w:ascii="Times New Roman" w:cs="Times New Roman" w:eastAsia="Times New Roman" w:hAnsi="Times New Roman"/>
          <w:sz w:val="18"/>
          <w:szCs w:val="18"/>
          <w:color w:val="auto"/>
        </w:rPr>
        <w:t xml:space="preserve"> Any notice or demand that by any provision of this Indenture is required or permitted to be given or served by the Trustee or by the Holders on the Company shall be deemed to have been sufficiently given or made, for all purposes if given or served by overnight courier or by being deposited postage prepaid by registered or certified mail in a post office letter box addressed (until another address is filed by the Company with the Trustee) to Tempus AI, Inc., 600 West Chicago Avenue, Suite 510, Chicago, Illinois 60654, Attention: Legal Department.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to an email address specified by the Trustee.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68" w:right="459" w:bottom="1440" w:gutter="0" w:footer="0" w:header="0"/>
        </w:sectPr>
      </w:pPr>
    </w:p>
    <w:bookmarkStart w:id="107" w:name="page108"/>
    <w:bookmarkEnd w:id="10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by notice to the Company, may designate additional or different addresses for subsequent notices or communications.</w:t>
      </w:r>
    </w:p>
    <w:p>
      <w:pPr>
        <w:spacing w:after="0" w:line="225"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Notice of Redemption or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spacing w:after="0" w:line="17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76"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38" w:lineRule="exact"/>
        <w:rPr>
          <w:sz w:val="20"/>
          <w:szCs w:val="20"/>
          <w:color w:val="auto"/>
        </w:rPr>
      </w:pPr>
    </w:p>
    <w:p>
      <w:pPr>
        <w:ind w:right="300" w:firstLine="440"/>
        <w:spacing w:after="0" w:line="267" w:lineRule="auto"/>
        <w:rPr>
          <w:sz w:val="20"/>
          <w:szCs w:val="20"/>
          <w:color w:val="auto"/>
        </w:rPr>
      </w:pPr>
      <w:r>
        <w:rPr>
          <w:rFonts w:ascii="Times New Roman" w:cs="Times New Roman" w:eastAsia="Times New Roman" w:hAnsi="Times New Roman"/>
          <w:sz w:val="18"/>
          <w:szCs w:val="18"/>
          <w:color w:val="auto"/>
        </w:rPr>
        <w:t>Section 17.04</w:t>
      </w:r>
      <w:r>
        <w:rPr>
          <w:rFonts w:ascii="Times New Roman" w:cs="Times New Roman" w:eastAsia="Times New Roman" w:hAnsi="Times New Roman"/>
          <w:sz w:val="18"/>
          <w:szCs w:val="18"/>
          <w:i w:val="1"/>
          <w:iCs w:val="1"/>
          <w:color w:val="auto"/>
        </w:rPr>
        <w:t>. Governing Law; Jurisdiction.</w:t>
      </w:r>
      <w:r>
        <w:rPr>
          <w:rFonts w:ascii="Times New Roman" w:cs="Times New Roman" w:eastAsia="Times New Roman" w:hAnsi="Times New Roman"/>
          <w:sz w:val="18"/>
          <w:szCs w:val="18"/>
          <w:color w:val="auto"/>
        </w:rPr>
        <w:t xml:space="preserve"> THIS INDENTURE AND EACH NOTE, AND ANY CLAIM, CONTROVERSY OR DISPUTE ARISING UNDER OR RELATED TO THIS INDENTURE AND EACH NOTE, SHALL BE GOVERNED BY, AND CONSTRUED IN ACCORDANCE WITH, THE LAWS OF THE STATE OF NEW YORK.</w:t>
      </w:r>
    </w:p>
    <w:p>
      <w:pPr>
        <w:spacing w:after="0" w:line="17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generally and unconditionally with respect to any action, suit or proceeding for itself in respect of its properties, assets and revenues.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70" w:right="459" w:bottom="1440" w:gutter="0" w:footer="0" w:header="0"/>
        </w:sectPr>
      </w:pPr>
    </w:p>
    <w:bookmarkStart w:id="108" w:name="page109"/>
    <w:bookmarkEnd w:id="108"/>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81"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Section 17.05</w:t>
      </w:r>
      <w:r>
        <w:rPr>
          <w:rFonts w:ascii="Times New Roman" w:cs="Times New Roman" w:eastAsia="Times New Roman" w:hAnsi="Times New Roman"/>
          <w:sz w:val="18"/>
          <w:szCs w:val="18"/>
          <w:i w:val="1"/>
          <w:iCs w:val="1"/>
          <w:color w:val="auto"/>
        </w:rPr>
        <w:t>. Evidence of Compliance with Conditions Precedent; Certificates and Opinions of Counsel to Trustee.</w:t>
      </w:r>
      <w:r>
        <w:rPr>
          <w:rFonts w:ascii="Times New Roman" w:cs="Times New Roman" w:eastAsia="Times New Roman" w:hAnsi="Times New Roman"/>
          <w:sz w:val="18"/>
          <w:szCs w:val="18"/>
          <w:color w:val="auto"/>
        </w:rPr>
        <w:t xml:space="preserve"> Upon any application or demand by the Company to the Trustee to take any action under any of the provisions of this Indenture, the Company shall, if requested by the Trustee, furnish to the Trustee an Officer’s Certificate stating that such action is permitted by the terms of this Indenture.</w:t>
      </w:r>
    </w:p>
    <w:p>
      <w:pPr>
        <w:spacing w:after="0" w:line="17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Each Officer’s Certificate and Opinion of Counsel provided for, by or on behalf of the Company in this Indenture and delivered to the Trustee with respect to compliance with this Indenture (other than the Officer’s Certificates provided for in Section 4.08, Section 7.02(h) and Section 8.04)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Opinion of Counsel shall be required to be delivered in connection with (1) the original issuance of Notes on the date hereof under this Indenture, (2) the mandatory exchange of the restricted CUSIP of the Restricted Securities to an unrestricted CUSIP pursuant to the applicable procedures of the Depositary upon the Notes becoming freely tradable by non-Affiliates of the Company under Rule 144, or (3)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w:t>
      </w:r>
    </w:p>
    <w:p>
      <w:pPr>
        <w:spacing w:after="0" w:line="19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74"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Section 17.06</w:t>
      </w:r>
      <w:r>
        <w:rPr>
          <w:rFonts w:ascii="Times New Roman" w:cs="Times New Roman" w:eastAsia="Times New Roman" w:hAnsi="Times New Roman"/>
          <w:sz w:val="18"/>
          <w:szCs w:val="18"/>
          <w:i w:val="1"/>
          <w:iCs w:val="1"/>
          <w:color w:val="auto"/>
        </w:rPr>
        <w:t>. Legal Holidays.</w:t>
      </w:r>
      <w:r>
        <w:rPr>
          <w:rFonts w:ascii="Times New Roman" w:cs="Times New Roman" w:eastAsia="Times New Roman" w:hAnsi="Times New Roman"/>
          <w:sz w:val="18"/>
          <w:szCs w:val="18"/>
          <w:color w:val="auto"/>
        </w:rPr>
        <w:t xml:space="preserve"> In any case where any Special Interest Payment Date, any Fundamental Change Repurchase Date, any Redemption Date or the Maturity Date is not a Business Day or is a day on which financial institutions located in the state in which the Corporate Trust Office is located are authorized or required by law or executive order to close or be closed, then any action to be taken on such date need not be taken on such date, but may be taken on the next succeeding Business Day that is not a day on which financial institutions located in the state in which the Corporate Trust Office is located are authorized or required by law or executive order to close or be closed with the same force and effect as if taken on such date, and no interest shall accrue in respect of the delay.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09" w:name="page110"/>
    <w:bookmarkEnd w:id="109"/>
    <w:p>
      <w:pPr>
        <w:ind w:right="38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17.07</w:t>
      </w:r>
      <w:r>
        <w:rPr>
          <w:rFonts w:ascii="Times New Roman" w:cs="Times New Roman" w:eastAsia="Times New Roman" w:hAnsi="Times New Roman"/>
          <w:sz w:val="18"/>
          <w:szCs w:val="18"/>
          <w:i w:val="1"/>
          <w:iCs w:val="1"/>
          <w:color w:val="auto"/>
        </w:rPr>
        <w:t>. No Security Interest Created.</w:t>
      </w:r>
      <w:r>
        <w:rPr>
          <w:rFonts w:ascii="Times New Roman" w:cs="Times New Roman" w:eastAsia="Times New Roman" w:hAnsi="Times New Roman"/>
          <w:sz w:val="18"/>
          <w:szCs w:val="18"/>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158"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Section 17.08</w:t>
      </w:r>
      <w:r>
        <w:rPr>
          <w:rFonts w:ascii="Times New Roman" w:cs="Times New Roman" w:eastAsia="Times New Roman" w:hAnsi="Times New Roman"/>
          <w:sz w:val="18"/>
          <w:szCs w:val="18"/>
          <w:i w:val="1"/>
          <w:iCs w:val="1"/>
          <w:color w:val="auto"/>
        </w:rPr>
        <w:t>. Benefits of Indenture.</w:t>
      </w:r>
      <w:r>
        <w:rPr>
          <w:rFonts w:ascii="Times New Roman" w:cs="Times New Roman" w:eastAsia="Times New Roman" w:hAnsi="Times New Roman"/>
          <w:sz w:val="18"/>
          <w:szCs w:val="18"/>
          <w:color w:val="auto"/>
        </w:rPr>
        <w:t xml:space="preserv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spacing w:after="0" w:line="173" w:lineRule="exact"/>
        <w:rPr>
          <w:sz w:val="20"/>
          <w:szCs w:val="20"/>
          <w:color w:val="auto"/>
        </w:rPr>
      </w:pPr>
    </w:p>
    <w:p>
      <w:pPr>
        <w:jc w:val="both"/>
        <w:ind w:right="240" w:firstLine="440"/>
        <w:spacing w:after="0" w:line="267" w:lineRule="auto"/>
        <w:rPr>
          <w:sz w:val="20"/>
          <w:szCs w:val="20"/>
          <w:color w:val="auto"/>
        </w:rPr>
      </w:pPr>
      <w:r>
        <w:rPr>
          <w:rFonts w:ascii="Times New Roman" w:cs="Times New Roman" w:eastAsia="Times New Roman" w:hAnsi="Times New Roman"/>
          <w:sz w:val="18"/>
          <w:szCs w:val="18"/>
          <w:color w:val="auto"/>
        </w:rPr>
        <w:t>Section 17.09</w:t>
      </w:r>
      <w:r>
        <w:rPr>
          <w:rFonts w:ascii="Times New Roman" w:cs="Times New Roman" w:eastAsia="Times New Roman" w:hAnsi="Times New Roman"/>
          <w:sz w:val="18"/>
          <w:szCs w:val="18"/>
          <w:i w:val="1"/>
          <w:iCs w:val="1"/>
          <w:color w:val="auto"/>
        </w:rPr>
        <w:t>. Table of Contents, Headings, Etc..</w:t>
      </w:r>
      <w:r>
        <w:rPr>
          <w:rFonts w:ascii="Times New Roman" w:cs="Times New Roman" w:eastAsia="Times New Roman" w:hAnsi="Times New Roman"/>
          <w:sz w:val="18"/>
          <w:szCs w:val="18"/>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7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17.10</w:t>
      </w:r>
      <w:r>
        <w:rPr>
          <w:rFonts w:ascii="Times New Roman" w:cs="Times New Roman" w:eastAsia="Times New Roman" w:hAnsi="Times New Roman"/>
          <w:sz w:val="18"/>
          <w:szCs w:val="18"/>
          <w:i w:val="1"/>
          <w:iCs w:val="1"/>
          <w:color w:val="auto"/>
        </w:rPr>
        <w:t>. Authenticating Agent.</w:t>
      </w:r>
      <w:r>
        <w:rPr>
          <w:rFonts w:ascii="Times New Roman" w:cs="Times New Roman" w:eastAsia="Times New Roman" w:hAnsi="Times New Roman"/>
          <w:sz w:val="18"/>
          <w:szCs w:val="18"/>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of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83"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68" w:right="459" w:bottom="1440" w:gutter="0" w:footer="0" w:header="0"/>
        </w:sectPr>
      </w:pPr>
    </w:p>
    <w:bookmarkStart w:id="110" w:name="page111"/>
    <w:bookmarkEnd w:id="110"/>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agrees to pay to the authenticating agent from time to time reasonable compensation for its services although the Company may terminate the authenticating agent, if it determines such agent’s fees to be unreasonable.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provisions of Section 7.02, Section 7.03, Section 7.04, Section 8.03 and this Section 17.10 shall be applicable to any authenticating agent.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an authenticating agent is appointed pursuant to this Section 17.10, the Notes may have endorsed thereon, in addition to the Trustee’s certificate of authentication, an alternative certificate of authentication in the following form: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Authenticating Agent, certifies that this is one of the Notes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17.11. </w:t>
      </w:r>
      <w:r>
        <w:rPr>
          <w:rFonts w:ascii="Times New Roman" w:cs="Times New Roman" w:eastAsia="Times New Roman" w:hAnsi="Times New Roman"/>
          <w:sz w:val="18"/>
          <w:szCs w:val="18"/>
          <w:i w:val="1"/>
          <w:iCs w:val="1"/>
          <w:color w:val="auto"/>
        </w:rPr>
        <w:t>Execution in Counterparts.</w:t>
      </w:r>
      <w:r>
        <w:rPr>
          <w:rFonts w:ascii="Times New Roman" w:cs="Times New Roman" w:eastAsia="Times New Roman" w:hAnsi="Times New Roman"/>
          <w:sz w:val="18"/>
          <w:szCs w:val="18"/>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shall be deemed to be their original signatures for all purposes.</w:t>
      </w:r>
    </w:p>
    <w:p>
      <w:pPr>
        <w:spacing w:after="0" w:line="182" w:lineRule="exact"/>
        <w:rPr>
          <w:sz w:val="20"/>
          <w:szCs w:val="20"/>
          <w:color w:val="auto"/>
        </w:rPr>
      </w:pPr>
    </w:p>
    <w:p>
      <w:pPr>
        <w:ind w:right="400" w:firstLine="440"/>
        <w:spacing w:after="0" w:line="284" w:lineRule="auto"/>
        <w:rPr>
          <w:sz w:val="20"/>
          <w:szCs w:val="20"/>
          <w:color w:val="auto"/>
        </w:rPr>
      </w:pPr>
      <w:r>
        <w:rPr>
          <w:rFonts w:ascii="Times New Roman" w:cs="Times New Roman" w:eastAsia="Times New Roman" w:hAnsi="Times New Roman"/>
          <w:sz w:val="18"/>
          <w:szCs w:val="18"/>
          <w:color w:val="auto"/>
        </w:rPr>
        <w:t>Section 17.12</w:t>
      </w:r>
      <w:r>
        <w:rPr>
          <w:rFonts w:ascii="Times New Roman" w:cs="Times New Roman" w:eastAsia="Times New Roman" w:hAnsi="Times New Roman"/>
          <w:sz w:val="18"/>
          <w:szCs w:val="18"/>
          <w:i w:val="1"/>
          <w:iCs w:val="1"/>
          <w:color w:val="auto"/>
        </w:rPr>
        <w:t>. Severability.</w:t>
      </w:r>
      <w:r>
        <w:rPr>
          <w:rFonts w:ascii="Times New Roman" w:cs="Times New Roman" w:eastAsia="Times New Roman" w:hAnsi="Times New Roman"/>
          <w:sz w:val="18"/>
          <w:szCs w:val="18"/>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58"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Section 17.13</w:t>
      </w:r>
      <w:r>
        <w:rPr>
          <w:rFonts w:ascii="Times New Roman" w:cs="Times New Roman" w:eastAsia="Times New Roman" w:hAnsi="Times New Roman"/>
          <w:sz w:val="18"/>
          <w:szCs w:val="18"/>
          <w:i w:val="1"/>
          <w:iCs w:val="1"/>
          <w:color w:val="auto"/>
        </w:rPr>
        <w:t>. Waiver of Jury Trial.</w:t>
      </w:r>
      <w:r>
        <w:rPr>
          <w:rFonts w:ascii="Times New Roman" w:cs="Times New Roman" w:eastAsia="Times New Roman" w:hAnsi="Times New Roman"/>
          <w:sz w:val="18"/>
          <w:szCs w:val="18"/>
          <w:color w:val="auto"/>
        </w:rPr>
        <w:t xml:space="preserve"> EACH OF THE COMPANY, THE HOLDERS OF THE NOTES, BY THEIR ACCEPTANCE THEREOF, AND THE TRUSTEE IRREVOCABLY WAIVES, TO THE FULLEST EXTENT PERMITTED BY APPLICABLE LAW, ANY AND ALL RIGHT TO TRIAL BY JURY IN ANY LEGAL PROCEEDING ARISING OUT OF OR RELATING TO THIS INDENTURE, THE NOTES OR THE TRANSACTIONS CONTEMPLATED HEREBY.</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40"/>
          </w:cols>
          <w:pgMar w:left="440" w:top="270" w:right="519" w:bottom="1440" w:gutter="0" w:footer="0" w:header="0"/>
        </w:sectPr>
      </w:pPr>
    </w:p>
    <w:bookmarkStart w:id="111" w:name="page112"/>
    <w:bookmarkEnd w:id="111"/>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17.14.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quarantine restrictions, recognized public emergencies,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8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Section 17.15</w:t>
      </w:r>
      <w:r>
        <w:rPr>
          <w:rFonts w:ascii="Times New Roman" w:cs="Times New Roman" w:eastAsia="Times New Roman" w:hAnsi="Times New Roman"/>
          <w:sz w:val="18"/>
          <w:szCs w:val="18"/>
          <w:i w:val="1"/>
          <w:iCs w:val="1"/>
          <w:color w:val="auto"/>
        </w:rPr>
        <w:t>. Calculations</w:t>
      </w:r>
      <w:r>
        <w:rPr>
          <w:rFonts w:ascii="Times New Roman" w:cs="Times New Roman" w:eastAsia="Times New Roman" w:hAnsi="Times New Roman"/>
          <w:sz w:val="18"/>
          <w:szCs w:val="18"/>
          <w:color w:val="auto"/>
        </w:rPr>
        <w:t>. Except as otherwise provided herein, the Company shall be responsible for making all calculations called for under this Indenture and the Notes. These calculations include, but are not limited to, determinations of the Last Reported Sale Prices of the Class A Common Stock, the trading price of the Notes (for purposes of determining whether the Notes are convertible as described herein), the Daily VWAPs, the Daily Conversion Values, the Daily Settlement Amounts, accrued interest, if any, payable on the Notes, the Redemption Price and the Conversion Rate of the Notes. The Company shall make all these calculations in good faith and, absent manifest error, the Company’s calculations shall be final and binding on Holders of Notes. The Company shall provide a schedule of its calculations to each of the Trustee, the Paying Agent (if other than the Trustee) and the Conversion Agent (if other than the Trustee), and each of the Trustee, the Paying Agent and the Conversion Agent is entitled to rely conclusively upon the accuracy of the Company’s calculations without independent verification. The Trustee will forward the Company’s calculations to any Holder of Notes upon the request of that Holder at the sole cost and expense of the Company. The Trustee, Paying Agent and Conversion Agent have no responsibility for the calculations under this Indenture or the Notes or to verify the Company’s calculations.</w:t>
      </w:r>
    </w:p>
    <w:p>
      <w:pPr>
        <w:spacing w:after="0" w:line="18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3" w:lineRule="exact"/>
        <w:rPr>
          <w:sz w:val="20"/>
          <w:szCs w:val="20"/>
          <w:color w:val="auto"/>
        </w:rPr>
      </w:pPr>
    </w:p>
    <w:p>
      <w:pPr>
        <w:ind w:right="18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17.17. </w:t>
      </w:r>
      <w:r>
        <w:rPr>
          <w:rFonts w:ascii="Times New Roman" w:cs="Times New Roman" w:eastAsia="Times New Roman" w:hAnsi="Times New Roman"/>
          <w:sz w:val="17"/>
          <w:szCs w:val="17"/>
          <w:i w:val="1"/>
          <w:iCs w:val="1"/>
          <w:color w:val="auto"/>
        </w:rPr>
        <w:t>Electronic Signatures</w:t>
      </w:r>
      <w:r>
        <w:rPr>
          <w:rFonts w:ascii="Times New Roman" w:cs="Times New Roman" w:eastAsia="Times New Roman" w:hAnsi="Times New Roman"/>
          <w:sz w:val="17"/>
          <w:szCs w:val="17"/>
          <w:color w:val="auto"/>
        </w:rPr>
        <w:t>. All notices, approvals, consents, requests and any communications hereunder must be in writing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communication sent to the Trustee hereunder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68"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TEMPUS AI,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Bradley E. Scarbrough</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70" w:right="1440"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NOTE]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GLOBAL NOTE]</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[INCLUDE FOLLOWING LEGEND IF A RESTRICTED SECURITY]</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[THIS SECURITY AND THE CLASS A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2" w:lineRule="exact"/>
        <w:rPr>
          <w:sz w:val="20"/>
          <w:szCs w:val="20"/>
          <w:color w:val="auto"/>
        </w:rPr>
      </w:pPr>
    </w:p>
    <w:p>
      <w:pPr>
        <w:ind w:left="440" w:right="480" w:firstLine="419"/>
        <w:spacing w:after="0" w:line="266" w:lineRule="auto"/>
        <w:tabs>
          <w:tab w:leader="none" w:pos="111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67" w:lineRule="exact"/>
        <w:rPr>
          <w:rFonts w:ascii="Times New Roman" w:cs="Times New Roman" w:eastAsia="Times New Roman" w:hAnsi="Times New Roman"/>
          <w:sz w:val="18"/>
          <w:szCs w:val="18"/>
          <w:color w:val="auto"/>
        </w:rPr>
      </w:pPr>
    </w:p>
    <w:p>
      <w:pPr>
        <w:ind w:left="440" w:right="60" w:firstLine="419"/>
        <w:spacing w:after="0" w:line="276" w:lineRule="auto"/>
        <w:tabs>
          <w:tab w:leader="none" w:pos="1118"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FOR THE BENEFIT OF TEMPUS AI, INC. (THE “COMPANY”) THAT IT WILL NOT OFFER, SELL, PLEDGE OR OTHERWISE TRANSFER THIS SECURITY OR ANY BENEFICIAL INTEREST HEREIN PRIOR TO THE DATE THAT IS THE LATER OF</w:t>
      </w:r>
    </w:p>
    <w:p>
      <w:pPr>
        <w:ind w:left="440" w:right="260" w:hanging="4"/>
        <w:spacing w:after="0" w:line="255" w:lineRule="auto"/>
        <w:tabs>
          <w:tab w:leader="none" w:pos="73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LAST ORIGINAL ISSUE DATE HEREOF OR SUCH SHORTER PERIOD OF TIME AS PERMITTED BY RULE 144 UNDER THE SECURITIES ACT OR ANY SUCCESSOR PROVISION THERETO AND (Y) SUCH LATER DATE, IF ANY, AS MAY BE REQUIRED BY APPLICABLE LAW, EXCEPT:</w:t>
      </w:r>
    </w:p>
    <w:p>
      <w:pPr>
        <w:spacing w:after="0" w:line="7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114" w:name="page115"/>
    <w:bookmarkEnd w:id="114"/>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PURSUANT TO A REGISTRATION STATEMENT THAT HAS BECOME EFFECTIVE UNDER THE SECURITIES ACT,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w:t>
      </w:r>
    </w:p>
    <w:p>
      <w:pPr>
        <w:spacing w:after="0" w:line="99" w:lineRule="exact"/>
        <w:rPr>
          <w:sz w:val="20"/>
          <w:szCs w:val="20"/>
          <w:color w:val="auto"/>
        </w:rPr>
      </w:pPr>
    </w:p>
    <w:p>
      <w:pPr>
        <w:ind w:left="980" w:firstLine="408"/>
        <w:spacing w:after="0" w:line="282" w:lineRule="auto"/>
        <w:tabs>
          <w:tab w:leader="none" w:pos="166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IT REASONABLY BELIEVES TO BE A QUALIFIED INSTITUTIONAL BUYER IN COMPLIANCE WITH RULE 144A UNDER THE SECURITIES ACT, OR</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7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(IF AVAILABLE) OR ANY OTHER AVAILABLE EXEMPTION FROM THE REGISTRATION REQUIREMENTS OF THE SECURITIES ACT.</w:t>
      </w:r>
    </w:p>
    <w:p>
      <w:pPr>
        <w:spacing w:after="0" w:line="176" w:lineRule="exact"/>
        <w:rPr>
          <w:sz w:val="20"/>
          <w:szCs w:val="20"/>
          <w:color w:val="auto"/>
        </w:rPr>
      </w:pPr>
    </w:p>
    <w:p>
      <w:pPr>
        <w:jc w:val="both"/>
        <w:ind w:right="140" w:firstLine="440"/>
        <w:spacing w:after="0" w:line="277" w:lineRule="auto"/>
        <w:rPr>
          <w:sz w:val="20"/>
          <w:szCs w:val="20"/>
          <w:color w:val="auto"/>
        </w:rPr>
      </w:pPr>
      <w:r>
        <w:rPr>
          <w:rFonts w:ascii="Times New Roman" w:cs="Times New Roman" w:eastAsia="Times New Roman" w:hAnsi="Times New Roman"/>
          <w:sz w:val="17"/>
          <w:szCs w:val="17"/>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40"/>
          </w:cols>
          <w:pgMar w:left="440" w:top="270" w:right="519" w:bottom="1440" w:gutter="0" w:footer="0" w:header="0"/>
        </w:sectPr>
      </w:pPr>
    </w:p>
    <w:bookmarkStart w:id="115" w:name="page116"/>
    <w:bookmarkEnd w:id="115"/>
    <w:p>
      <w:pPr>
        <w:jc w:val="center"/>
        <w:ind w:right="-8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Tempus AI, Inc.</w:t>
      </w:r>
    </w:p>
    <w:p>
      <w:pPr>
        <w:spacing w:after="0" w:line="11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7"/>
          <w:szCs w:val="17"/>
          <w:color w:val="auto"/>
        </w:rPr>
        <w:t>0.00% Convertible Senior Note due 2032</w:t>
      </w:r>
    </w:p>
    <w:p>
      <w:pPr>
        <w:sectPr>
          <w:pgSz w:w="11900" w:h="16838" w:orient="portrait"/>
          <w:cols w:equalWidth="0" w:num="1">
            <w:col w:w="10944"/>
          </w:cols>
          <w:pgMar w:left="436" w:top="270" w:right="519" w:bottom="1440" w:gutter="0" w:footer="0" w:header="0"/>
        </w:sectPr>
      </w:pP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[Initially]</w:t>
      </w:r>
      <w:r>
        <w:rPr>
          <w:rFonts w:ascii="Times New Roman" w:cs="Times New Roman" w:eastAsia="Times New Roman" w:hAnsi="Times New Roman"/>
          <w:sz w:val="12"/>
          <w:szCs w:val="12"/>
          <w:color w:val="auto"/>
        </w:rPr>
        <w:t>1</w:t>
      </w:r>
      <w:r>
        <w:rPr>
          <w:rFonts w:ascii="Times New Roman" w:cs="Times New Roman" w:eastAsia="Times New Roman" w:hAnsi="Times New Roman"/>
          <w:sz w:val="17"/>
          <w:szCs w:val="17"/>
          <w:color w:val="auto"/>
        </w:rPr>
        <w:t xml:space="preserve"> $[_____________]</w:t>
      </w:r>
    </w:p>
    <w:p>
      <w:pPr>
        <w:spacing w:after="0" w:line="200" w:lineRule="exact"/>
        <w:rPr>
          <w:sz w:val="20"/>
          <w:szCs w:val="20"/>
          <w:color w:val="auto"/>
        </w:rPr>
      </w:pPr>
    </w:p>
    <w:p>
      <w:pPr>
        <w:sectPr>
          <w:pgSz w:w="11900" w:h="16838" w:orient="portrait"/>
          <w:cols w:equalWidth="0" w:num="2">
            <w:col w:w="5024" w:space="720"/>
            <w:col w:w="5200"/>
          </w:cols>
          <w:pgMar w:left="436" w:top="270" w:right="51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CUSIP No. [_____]</w:t>
      </w:r>
      <w:r>
        <w:rPr>
          <w:rFonts w:ascii="Times New Roman" w:cs="Times New Roman" w:eastAsia="Times New Roman" w:hAnsi="Times New Roman"/>
          <w:sz w:val="12"/>
          <w:szCs w:val="12"/>
          <w:color w:val="auto"/>
        </w:rPr>
        <w:t>2</w:t>
      </w:r>
    </w:p>
    <w:p>
      <w:pPr>
        <w:sectPr>
          <w:pgSz w:w="11900" w:h="16838" w:orient="portrait"/>
          <w:cols w:equalWidth="0" w:num="1">
            <w:col w:w="10944"/>
          </w:cols>
          <w:pgMar w:left="436" w:top="270" w:right="519" w:bottom="1440" w:gutter="0" w:footer="0" w:header="0"/>
          <w:type w:val="continuous"/>
        </w:sectPr>
      </w:pPr>
    </w:p>
    <w:p>
      <w:pPr>
        <w:spacing w:after="0" w:line="233" w:lineRule="exact"/>
        <w:rPr>
          <w:sz w:val="20"/>
          <w:szCs w:val="20"/>
          <w:color w:val="auto"/>
        </w:rPr>
      </w:pPr>
    </w:p>
    <w:p>
      <w:pPr>
        <w:jc w:val="both"/>
        <w:ind w:left="4" w:right="80" w:firstLine="440"/>
        <w:spacing w:after="0" w:line="220" w:lineRule="auto"/>
        <w:rPr>
          <w:sz w:val="20"/>
          <w:szCs w:val="20"/>
          <w:color w:val="auto"/>
        </w:rPr>
      </w:pPr>
      <w:r>
        <w:rPr>
          <w:rFonts w:ascii="Times New Roman" w:cs="Times New Roman" w:eastAsia="Times New Roman" w:hAnsi="Times New Roman"/>
          <w:sz w:val="17"/>
          <w:szCs w:val="17"/>
          <w:color w:val="auto"/>
        </w:rPr>
        <w:t>Tempus AI, Inc., a corporation duly organized and validly existing under the laws of the State of Nevada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which term includes any successor corporation or other entity under the Indenture referred to on the reverse hereof), for value received hereby promises to pay to [CEDE &amp; CO.]</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 xml:space="preserve"> [_______]</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7"/>
          <w:szCs w:val="17"/>
          <w:color w:val="auto"/>
        </w:rPr>
        <w:t>, or registered assigns, the principal sum [as set forth in the “Schedule of Exchanges of Notes” attached hereto]</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7"/>
          <w:szCs w:val="17"/>
          <w:color w:val="auto"/>
        </w:rPr>
        <w:t xml:space="preserve"> [of $[_______]]</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7"/>
          <w:szCs w:val="17"/>
          <w:color w:val="auto"/>
        </w:rPr>
        <w:t>, which amount, taken together with the principal amounts of all other outstanding Notes, shall not, unless permitted by the Indenture, exceed</w:t>
      </w:r>
    </w:p>
    <w:p>
      <w:pPr>
        <w:spacing w:after="0" w:line="1" w:lineRule="exact"/>
        <w:rPr>
          <w:sz w:val="20"/>
          <w:szCs w:val="20"/>
          <w:color w:val="auto"/>
        </w:rPr>
      </w:pPr>
    </w:p>
    <w:p>
      <w:pPr>
        <w:ind w:left="4" w:right="320"/>
        <w:spacing w:after="0" w:line="260" w:lineRule="auto"/>
        <w:rPr>
          <w:sz w:val="20"/>
          <w:szCs w:val="20"/>
          <w:color w:val="auto"/>
        </w:rPr>
      </w:pPr>
      <w:r>
        <w:rPr>
          <w:rFonts w:ascii="Times New Roman" w:cs="Times New Roman" w:eastAsia="Times New Roman" w:hAnsi="Times New Roman"/>
          <w:sz w:val="18"/>
          <w:szCs w:val="18"/>
          <w:color w:val="auto"/>
        </w:rPr>
        <w:t>$460,000,000 in aggregate at any time, in accordance with the rules and applicable procedures of the Depositary, on May 15, 2032, and any interest thereon as set forth below.</w:t>
      </w:r>
    </w:p>
    <w:p>
      <w:pPr>
        <w:spacing w:after="0" w:line="181"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This Note shall not bear regular interest, and the principal amount shall not accrete. Any Special Interest is payable semi-annually in arrears on each May 15 and November 15, commencing on November 15, 2026 (if any Special Interest is then payable), to Holders of record at the close of business on the preceding May 1 and November 1 (whether or not such day is a Business Day), respectively. Any Special Interest will be payable as set forth in Section 4.06(d), Section 4.06(e) and Section 6.03 of the within-mentioned Indenture, and any reference to interest on, or in respect of, any Note therein shall be deemed to refer solely to Special Interest (if, in such context, Special Interest is, was or would be payable pursuant to any of such Section 4.06(d), Section 4.06(e) or Section 6.03) and/or to any interest on any Defaulted Amounts payable as set forth in Section 2.03(c) in the within-mentioned Indenture.</w:t>
      </w:r>
    </w:p>
    <w:p>
      <w:pPr>
        <w:spacing w:after="0" w:line="189"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Any Defaulted Amounts shall not accrue interest unless Special Interest was payable on the required payment date, in which case such Defaulted Amounts shall accrue interest per annum at the then-applicable Special Interest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6" w:lineRule="exact"/>
        <w:rPr>
          <w:sz w:val="20"/>
          <w:szCs w:val="20"/>
          <w:color w:val="auto"/>
        </w:rPr>
      </w:pPr>
    </w:p>
    <w:p>
      <w:pPr>
        <w:ind w:left="424" w:hanging="424"/>
        <w:spacing w:after="0"/>
        <w:tabs>
          <w:tab w:leader="none" w:pos="424" w:val="left"/>
        </w:tabs>
        <w:numPr>
          <w:ilvl w:val="0"/>
          <w:numId w:val="10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if a global note.</w:t>
      </w:r>
    </w:p>
    <w:p>
      <w:pPr>
        <w:ind w:left="424" w:hanging="424"/>
        <w:spacing w:after="0" w:line="180" w:lineRule="auto"/>
        <w:tabs>
          <w:tab w:leader="none" w:pos="424" w:val="left"/>
        </w:tabs>
        <w:numPr>
          <w:ilvl w:val="0"/>
          <w:numId w:val="10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This Note will be deemed to be identified by CUSIP No. [_____] from and after such time when (i) the Company delivers, pursuant to</w:t>
      </w:r>
    </w:p>
    <w:p>
      <w:pPr>
        <w:spacing w:after="0" w:line="2" w:lineRule="exact"/>
        <w:rPr>
          <w:rFonts w:ascii="Times New Roman" w:cs="Times New Roman" w:eastAsia="Times New Roman" w:hAnsi="Times New Roman"/>
          <w:sz w:val="25"/>
          <w:szCs w:val="25"/>
          <w:color w:val="auto"/>
          <w:vertAlign w:val="superscript"/>
        </w:rPr>
      </w:pPr>
    </w:p>
    <w:p>
      <w:pPr>
        <w:ind w:left="424"/>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Section 2.05(c) of the within-mentioned Indenture, written notice to the Trustee of the occurrence of the Resale Restriction Termination Date and</w:t>
      </w:r>
    </w:p>
    <w:p>
      <w:pPr>
        <w:spacing w:after="0" w:line="7" w:lineRule="exact"/>
        <w:rPr>
          <w:sz w:val="20"/>
          <w:szCs w:val="20"/>
          <w:color w:val="auto"/>
        </w:rPr>
      </w:pPr>
    </w:p>
    <w:p>
      <w:pPr>
        <w:ind w:left="424" w:right="100"/>
        <w:spacing w:after="0" w:line="250" w:lineRule="auto"/>
        <w:rPr>
          <w:sz w:val="20"/>
          <w:szCs w:val="20"/>
          <w:color w:val="auto"/>
        </w:rPr>
      </w:pPr>
      <w:r>
        <w:rPr>
          <w:rFonts w:ascii="Times New Roman" w:cs="Times New Roman" w:eastAsia="Times New Roman" w:hAnsi="Times New Roman"/>
          <w:sz w:val="18"/>
          <w:szCs w:val="18"/>
          <w:color w:val="auto"/>
        </w:rPr>
        <w:t>the removal of the restrictive legend affixed to this Note and (ii) this Note is identified by such CUSIP number in accordance with the applicable procedures of the Depositary.</w:t>
      </w:r>
    </w:p>
    <w:p>
      <w:pPr>
        <w:ind w:left="424" w:hanging="424"/>
        <w:spacing w:after="0" w:line="180" w:lineRule="auto"/>
        <w:tabs>
          <w:tab w:leader="none" w:pos="424" w:val="left"/>
        </w:tabs>
        <w:numPr>
          <w:ilvl w:val="0"/>
          <w:numId w:val="10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global note.</w:t>
      </w:r>
    </w:p>
    <w:p>
      <w:pPr>
        <w:ind w:left="424" w:hanging="424"/>
        <w:spacing w:after="0" w:line="181" w:lineRule="auto"/>
        <w:tabs>
          <w:tab w:leader="none" w:pos="424" w:val="left"/>
        </w:tabs>
        <w:numPr>
          <w:ilvl w:val="0"/>
          <w:numId w:val="1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physical note.</w:t>
      </w:r>
    </w:p>
    <w:p>
      <w:pPr>
        <w:ind w:left="424" w:hanging="424"/>
        <w:spacing w:after="0" w:line="180" w:lineRule="auto"/>
        <w:tabs>
          <w:tab w:leader="none" w:pos="424" w:val="left"/>
        </w:tabs>
        <w:numPr>
          <w:ilvl w:val="0"/>
          <w:numId w:val="1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global note.</w:t>
      </w:r>
    </w:p>
    <w:p>
      <w:pPr>
        <w:ind w:left="424" w:hanging="424"/>
        <w:spacing w:after="0" w:line="180" w:lineRule="auto"/>
        <w:tabs>
          <w:tab w:leader="none" w:pos="424" w:val="left"/>
        </w:tabs>
        <w:numPr>
          <w:ilvl w:val="0"/>
          <w:numId w:val="1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physical note.</w:t>
      </w:r>
    </w:p>
    <w:p>
      <w:pPr>
        <w:spacing w:after="0" w:line="1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44"/>
          </w:cols>
          <w:pgMar w:left="436" w:top="270" w:right="519" w:bottom="1440" w:gutter="0" w:footer="0" w:header="0"/>
          <w:type w:val="continuous"/>
        </w:sectPr>
      </w:pPr>
    </w:p>
    <w:bookmarkStart w:id="116" w:name="page117"/>
    <w:bookmarkEnd w:id="116"/>
    <w:p>
      <w:pPr>
        <w:ind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pay the principal of and interest, if any,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as a place in the continental United States of America where Notes may be presented for payment or for registration of transfer and exchange.</w:t>
      </w:r>
    </w:p>
    <w:p>
      <w:pPr>
        <w:spacing w:after="0" w:line="16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including, without limitation, provisions giving the Holder of this Note the right to convert this Note into cash, shares of Class A Common Stock or a combination of cash and shares of Class A Common Stock, as applicable, on the terms and subject to the limitations set forth in the Indenture. Such further provisions shall for all purposes have the same effect as though fully set forth at this place.</w:t>
      </w:r>
    </w:p>
    <w:p>
      <w:pPr>
        <w:spacing w:after="0" w:line="176"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70" w:right="459" w:bottom="1440" w:gutter="0" w:footer="0" w:header="0"/>
        </w:sectPr>
      </w:pPr>
    </w:p>
    <w:bookmarkStart w:id="117" w:name="page118"/>
    <w:bookmarkEnd w:id="1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Note to be duly executed.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TEMPUS AI,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as Trustee, certifies that this is one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described in the within-named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019"/>
          </w:cols>
          <w:pgMar w:left="440" w:top="270" w:right="1440" w:bottom="1440" w:gutter="0" w:footer="0" w:header="0"/>
        </w:sectPr>
      </w:pPr>
    </w:p>
    <w:bookmarkStart w:id="118" w:name="page119"/>
    <w:bookmarkEnd w:id="118"/>
    <w:p>
      <w:pPr>
        <w:ind w:left="42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NOTE]</w:t>
      </w:r>
    </w:p>
    <w:p>
      <w:pPr>
        <w:spacing w:after="0" w:line="1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0.00% Convertible Senior Note due 2032</w:t>
      </w:r>
    </w:p>
    <w:p>
      <w:pPr>
        <w:spacing w:after="0" w:line="20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0.00% Convertible Senior Notes due 2032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limited to the aggregate principal amount of $460,000,000, all issued or to be issued under and pursuant to an Indenture dated as of May 12, 2026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87"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In case certain Events of Default shall have occurred and be continuing, the principal of, and Special Interest, if any,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80"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8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Each Holder shall have the right to receive payment or delivery, as the case may be, of (x) the principal (including the Redemption Price and the Fundamental Change Repurchase Price, if applicable) of, (y) accrued and unpaid Special Interest and interest payable pursuant to Section 2.03(c) of the Indenture, if any, on, and (z) the consideration due upon conversion of, this Note at the place, at the respective times, at the rate and in the lawful money or shares of Class A Common Stock, as the case may be, herein prescribed.</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960"/>
          </w:cols>
          <w:pgMar w:left="440" w:top="270" w:right="499" w:bottom="1440" w:gutter="0" w:footer="0" w:header="0"/>
        </w:sectPr>
      </w:pPr>
    </w:p>
    <w:bookmarkStart w:id="119" w:name="page120"/>
    <w:bookmarkEnd w:id="119"/>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Notes shall be redeemable at the Company’s option on a redemption date on or after May 21, 2029 in accordance with the terms and subject to the conditions specified in the Indenture. No sinking fund is provided for the Notes.</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Upon the occurrence of a Fundamental Change (other than an Exempted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76" w:lineRule="exact"/>
        <w:rPr>
          <w:sz w:val="20"/>
          <w:szCs w:val="20"/>
          <w:color w:val="auto"/>
        </w:rPr>
      </w:pPr>
    </w:p>
    <w:p>
      <w:pPr>
        <w:jc w:val="both"/>
        <w:ind w:right="6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shares of Class A Common Stock or a combination of cash and shares of Class A Common Stock, as applicable, at the Conversion Rate specified in the Indenture, as adjusted from time to time as provided in the Indenture.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960"/>
          </w:cols>
          <w:pgMar w:left="440" w:top="270" w:right="499" w:bottom="1440" w:gutter="0" w:footer="0" w:header="0"/>
        </w:sectPr>
      </w:pPr>
    </w:p>
    <w:bookmarkStart w:id="120" w:name="page121"/>
    <w:bookmarkEnd w:id="120"/>
    <w:p>
      <w:pPr>
        <w:jc w:val="center"/>
        <w:ind w:right="-5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ABBREVIATIONS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 TEN = joint tenants with right of survivorship and not as tenants in common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480"/>
          </w:cols>
          <w:pgMar w:left="440" w:top="270" w:right="97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r>
        <w:rPr>
          <w:rFonts w:ascii="Times New Roman" w:cs="Times New Roman" w:eastAsia="Times New Roman" w:hAnsi="Times New Roman"/>
          <w:sz w:val="26"/>
          <w:szCs w:val="26"/>
          <w:b w:val="1"/>
          <w:bCs w:val="1"/>
          <w:color w:val="auto"/>
          <w:vertAlign w:val="superscript"/>
        </w:rPr>
        <w:t>7</w:t>
      </w:r>
    </w:p>
    <w:p>
      <w:pPr>
        <w:spacing w:after="0" w:line="137" w:lineRule="exact"/>
        <w:rPr>
          <w:sz w:val="20"/>
          <w:szCs w:val="20"/>
          <w:color w:val="auto"/>
        </w:rPr>
      </w:pPr>
    </w:p>
    <w:p>
      <w:pPr>
        <w:ind w:left="3884"/>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11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0.00% Convertible Senior Notes due 2032</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initial principal amount of this Global Note is _______ DOLLARS ($[_________]). The following increases or decreases in this Global Note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have been made:</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00" w:type="dxa"/>
            <w:vAlign w:val="bottom"/>
          </w:tcPr>
          <w:p>
            <w:pPr>
              <w:spacing w:after="0"/>
              <w:rPr>
                <w:sz w:val="13"/>
                <w:szCs w:val="13"/>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2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amount</w:t>
            </w:r>
          </w:p>
        </w:tc>
        <w:tc>
          <w:tcPr>
            <w:tcW w:w="10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this Global Note</w:t>
            </w: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decrease in</w:t>
            </w:r>
          </w:p>
        </w:tc>
        <w:tc>
          <w:tcPr>
            <w:tcW w:w="10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increase in</w:t>
            </w:r>
          </w:p>
        </w:tc>
        <w:tc>
          <w:tcPr>
            <w:tcW w:w="1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signatory of</w:t>
            </w:r>
          </w:p>
        </w:tc>
        <w:tc>
          <w:tcPr>
            <w:tcW w:w="0" w:type="dxa"/>
            <w:vAlign w:val="bottom"/>
          </w:tcPr>
          <w:p>
            <w:pPr>
              <w:spacing w:after="0"/>
              <w:rPr>
                <w:sz w:val="1"/>
                <w:szCs w:val="1"/>
                <w:color w:val="auto"/>
              </w:rPr>
            </w:pPr>
          </w:p>
        </w:tc>
      </w:tr>
      <w:tr>
        <w:trPr>
          <w:trHeight w:val="148"/>
        </w:trPr>
        <w:tc>
          <w:tcPr>
            <w:tcW w:w="19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Date of exchange</w:t>
            </w:r>
          </w:p>
        </w:tc>
        <w:tc>
          <w:tcPr>
            <w:tcW w:w="1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10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1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decrease or</w:t>
            </w: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Trustee or</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increase</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20" w:type="dxa"/>
            <w:vAlign w:val="bottom"/>
            <w:tcBorders>
              <w:bottom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424" w:hanging="424"/>
        <w:spacing w:after="0" w:line="187" w:lineRule="auto"/>
        <w:tabs>
          <w:tab w:leader="none" w:pos="424" w:val="left"/>
        </w:tabs>
        <w:numPr>
          <w:ilvl w:val="0"/>
          <w:numId w:val="1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if a global note.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24"/>
          </w:cols>
          <w:pgMar w:left="436" w:top="266" w:right="4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U.S. Bank Trust Company, National Association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633 West 5th Street, 24th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B. Scarbrough (Tempus AI, Inc. Administrator)</w:t>
      </w:r>
    </w:p>
    <w:p>
      <w:pPr>
        <w:spacing w:after="0" w:line="20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principal amount or an integral multiple thereof) below designated, into cash, shares of Class A Common Stock or a combination of cash and shares of Class A Common Stock, as applicable, in accordance with the terms of the Indenture referred to in this Note, and directs that any cash payable and any shares of Class A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Class A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any Special Interest accompanies this Note. Capitalized terms used herein but not defined shall have the meanings ascribed to such terms in the Indenture.</w:t>
      </w:r>
    </w:p>
    <w:p>
      <w:pPr>
        <w:spacing w:after="0" w:line="24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Dated:</w:t>
        <w:tab/>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0</wp:posOffset>
            </wp:positionV>
            <wp:extent cx="30772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291465</wp:posOffset>
            </wp:positionV>
            <wp:extent cx="307721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-7620</wp:posOffset>
            </wp:positionV>
            <wp:extent cx="15995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Signature(s)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(banks, stock brokers, savings and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associations and credit unions) with membership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signature guarantee medallion program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Rule 17Ad-15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A Common Stock are to be issued, or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to be delivered, other than to and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Fill in for registration of shares if to be issued, and Notes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delivered, other than to and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amount to be converted (if less than all):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$______,000</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The above signature(s) of the Holder(s) hereof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must correspond with the name as written upon the face of</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enlargement or any change whatever.</w:t>
      </w:r>
    </w:p>
    <w:p>
      <w:pPr>
        <w:spacing w:after="0" w:line="200" w:lineRule="exact"/>
        <w:rPr>
          <w:sz w:val="20"/>
          <w:szCs w:val="20"/>
          <w:color w:val="auto"/>
        </w:rPr>
      </w:pPr>
    </w:p>
    <w:p>
      <w:pPr>
        <w:spacing w:after="0" w:line="30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Social Security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440" w:top="486" w:right="6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2</w:t>
      </w:r>
    </w:p>
    <w:p>
      <w:pPr>
        <w:spacing w:after="0" w:line="2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[FORM OF FUNDAMENTAL CHANGE REPURCHASE NOTICE]</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U.S. Bank Trust Company, National Association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633 West 5th Street, 24th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B. Scarbrough (Tempus AI, Inc. Administrator)</w:t>
      </w:r>
    </w:p>
    <w:p>
      <w:pPr>
        <w:spacing w:after="0" w:line="20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Tempus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Special Interest Record Date and on or prior to the corresponding Special Interest Payment Date, accrued and unpaid interest, if any, thereon to, but excluding, such Fundamental Change Repurchase Date. Capitalized terms used herein but not defined shall have the meanings ascribed to such terms in the Indenture.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w:t>
      </w:r>
    </w:p>
    <w:p>
      <w:pPr>
        <w:spacing w:after="0" w:line="200" w:lineRule="exact"/>
        <w:rPr>
          <w:sz w:val="20"/>
          <w:szCs w:val="20"/>
          <w:color w:val="auto"/>
        </w:rPr>
      </w:pPr>
    </w:p>
    <w:p>
      <w:pPr>
        <w:spacing w:after="0" w:line="2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amount to be repaid (if less than all):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$______,000</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The above signature(s) of the Holder(s) hereof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must correspond with the name as written upon the face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enlargement or any change whatever.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3</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value received ____________________________ hereby sell(s), assign(s) and transfer(s) unto _________________ (Please insert social security 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Taxpayer Identification Number of assignee) the within Note, and hereby irrevocably constitutes and appoints _____________________ attorney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transfer the said Note on the books of the Company, with full power of substitution in the premises.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In connection with any transfer of the within Note occurring prior to the Resale Restriction Termination Date, as defined in the Indenture governing such</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 the undersigned confirms that such Note is being transferred:</w:t>
      </w:r>
    </w:p>
    <w:p>
      <w:pPr>
        <w:spacing w:after="0" w:line="99" w:lineRule="exact"/>
        <w:rPr>
          <w:sz w:val="20"/>
          <w:szCs w:val="20"/>
          <w:color w:val="auto"/>
        </w:rPr>
      </w:pPr>
    </w:p>
    <w:p>
      <w:pPr>
        <w:ind w:left="204" w:hanging="204"/>
        <w:spacing w:after="0"/>
        <w:tabs>
          <w:tab w:leader="none" w:pos="204" w:val="left"/>
        </w:tabs>
        <w:numPr>
          <w:ilvl w:val="0"/>
          <w:numId w:val="1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Tempus AI, Inc. or a subsidiary thereof; or</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 of 1933, as amended; or</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a person reasonably believed to be a qualified institutional buyer in compliance with Rule 144A under the Securities Act of 1933, as amended; or</w:t>
      </w:r>
    </w:p>
    <w:p>
      <w:pPr>
        <w:spacing w:after="0" w:line="225" w:lineRule="exact"/>
        <w:rPr>
          <w:rFonts w:ascii="MS PGothic" w:cs="MS PGothic" w:eastAsia="MS PGothic" w:hAnsi="MS PGothic"/>
          <w:sz w:val="18"/>
          <w:szCs w:val="18"/>
          <w:color w:val="auto"/>
        </w:rPr>
      </w:pPr>
    </w:p>
    <w:p>
      <w:pPr>
        <w:ind w:left="4" w:right="180" w:hanging="4"/>
        <w:spacing w:after="0" w:line="282" w:lineRule="auto"/>
        <w:tabs>
          <w:tab w:leader="none" w:pos="211" w:val="left"/>
        </w:tabs>
        <w:numPr>
          <w:ilvl w:val="0"/>
          <w:numId w:val="1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and in compliance with Rule 144 under the Securities Act of 1933, as amended (if available), or any other available exemption from the registration requirements of the Securities Act of 1933, as amended.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6"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 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(banks, stock brokers, savings and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associations and credit unions) with membership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signature guarantee medallion program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Rule 17Ad-15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to be delivered, other than to and in the name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holder.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whatever.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40" w:top="270" w:right="579" w:bottom="1440" w:gutter="0" w:footer="0" w:header="0"/>
        </w:sectPr>
      </w:pPr>
    </w:p>
    <w:bookmarkStart w:id="127" w:name="page128"/>
    <w:bookmarkEnd w:id="127"/>
    <w:p>
      <w:pPr>
        <w:ind w:left="1018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THIS SECURITY AND THE CLASS A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2" w:lineRule="exact"/>
        <w:rPr>
          <w:sz w:val="20"/>
          <w:szCs w:val="20"/>
          <w:color w:val="auto"/>
        </w:rPr>
      </w:pPr>
    </w:p>
    <w:p>
      <w:pPr>
        <w:ind w:left="440" w:right="500" w:firstLine="419"/>
        <w:spacing w:after="0" w:line="266" w:lineRule="auto"/>
        <w:tabs>
          <w:tab w:leader="none" w:pos="111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67" w:lineRule="exact"/>
        <w:rPr>
          <w:rFonts w:ascii="Times New Roman" w:cs="Times New Roman" w:eastAsia="Times New Roman" w:hAnsi="Times New Roman"/>
          <w:sz w:val="18"/>
          <w:szCs w:val="18"/>
          <w:color w:val="auto"/>
        </w:rPr>
      </w:pPr>
    </w:p>
    <w:p>
      <w:pPr>
        <w:ind w:left="440" w:right="60" w:firstLine="419"/>
        <w:spacing w:after="0" w:line="276" w:lineRule="auto"/>
        <w:tabs>
          <w:tab w:leader="none" w:pos="1118"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FOR THE BENEFIT OF TEMPUS AI, INC. (THE “COMPANY”) THAT IT WILL NOT OFFER, SELL, PLEDGE OR OTHERWISE TRANSFER THIS SECURITY OR ANY BENEFICIAL INTEREST HEREIN PRIOR TO THE DATE THAT IS THE LATER OF</w:t>
      </w:r>
    </w:p>
    <w:p>
      <w:pPr>
        <w:ind w:left="440" w:right="260" w:hanging="4"/>
        <w:spacing w:after="0" w:line="255" w:lineRule="auto"/>
        <w:tabs>
          <w:tab w:leader="none" w:pos="73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LAST ORIGINAL ISSUE DATE HEREOF OR SUCH SHORTER PERIOD OF TIME AS PERMITTED BY RULE 144 UNDER THE SECURITIES ACT OR ANY SUCCESSOR PROVISION THERETO AND (Y) SUCH LATER DATE, IF ANY, AS MAY BE REQUIRED BY APPLICABLE LAW, EXCEPT:</w:t>
      </w:r>
    </w:p>
    <w:p>
      <w:pPr>
        <w:spacing w:after="0" w:line="7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66"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IT REASONABLY BELIEVES TO BE A QUALIFIED INSTITUTIONAL BUYER IN COMPLIANCE WITH RULE 144A UNDER THE SECURITIES ACT, OR</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66" w:lineRule="auto"/>
        <w:tabs>
          <w:tab w:leader="none" w:pos="1676"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(IF AVAILABLE) OR ANY OTHER AVAILABLE EXEMPTION FROM THE REGISTRATION REQUIREMENTS OF THE SECURITIES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117" w:right="439" w:bottom="1440" w:gutter="0" w:footer="0" w:header="0"/>
        </w:sectPr>
      </w:pPr>
    </w:p>
    <w:bookmarkStart w:id="128" w:name="page129"/>
    <w:bookmarkEnd w:id="128"/>
    <w:p>
      <w:pPr>
        <w:jc w:val="both"/>
        <w:ind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0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800"/>
          </w:cols>
          <w:pgMar w:left="440" w:top="270" w:right="65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Tempus AI,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0.00% Convertible Senior Note due 2032</w:t>
      </w:r>
    </w:p>
    <w:p>
      <w:pPr>
        <w:spacing w:after="0" w:line="252"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No. RA-1</w:t>
      </w:r>
      <w:r>
        <w:rPr>
          <w:sz w:val="20"/>
          <w:szCs w:val="20"/>
          <w:color w:val="auto"/>
        </w:rPr>
        <w:tab/>
      </w:r>
      <w:r>
        <w:rPr>
          <w:rFonts w:ascii="Times New Roman" w:cs="Times New Roman" w:eastAsia="Times New Roman" w:hAnsi="Times New Roman"/>
          <w:sz w:val="17"/>
          <w:szCs w:val="17"/>
          <w:color w:val="auto"/>
        </w:rPr>
        <w:t>Initially $460,000,000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[               ]</w:t>
      </w:r>
      <w:r>
        <w:rPr>
          <w:rFonts w:ascii="Times New Roman" w:cs="Times New Roman" w:eastAsia="Times New Roman" w:hAnsi="Times New Roman"/>
          <w:sz w:val="26"/>
          <w:szCs w:val="26"/>
          <w:color w:val="auto"/>
          <w:vertAlign w:val="superscript"/>
        </w:rPr>
        <w:t>1</w:t>
      </w:r>
    </w:p>
    <w:p>
      <w:pPr>
        <w:spacing w:after="0" w:line="129"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color w:val="auto"/>
        </w:rPr>
        <w:t>Tempus AI, Inc., a corporation duly organized and validly existing under the laws of the State of Nevada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term includes any successor corporation or other entity under the Indenture referred to on the reverse hereof), for value received hereby promises to pay to CEDE &amp; CO., or registered assigns, the principal sum as set forth in the “Schedule of Exchanges of Notes” attached hereto, which amount, taken together with the principal amounts of all other outstanding Notes, shall not, unless permitted by the Indenture, exceed $460,000,000 in aggregate at any time, in accordance with the rules and applicable procedures of the Depositary, on May 15, 2032, and any interest thereon as set forth below.</w:t>
      </w:r>
    </w:p>
    <w:p>
      <w:pPr>
        <w:spacing w:after="0" w:line="183"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This Note shall not bear regular interest, and the principal amount shall not accrete. Any Special Interest is payable semi-annually in arrears on each May 15 and November 15, commencing on November 15, 2026 (if any Special Interest is then payable), to Holders of record at the close of business on the preceding May 1 and November 1 (whether or not such day is a Business Day), respectively. Any Special Interest will be payable as set forth in Section 4.06(d), Section 4.06(e) and Section 6.03 of the within-mentioned Indenture, and any reference to interest on, or in respect of, any Note therein shall be deemed to refer solely to Special Interest (if, in such context, Special Interest is, was or would be payable pursuant to any of such Section 4.06(d), Section 4.06(e) or Section 6.03) and/or to any interest on any Defaulted Amounts payable as set forth in Section 2.03(c) in the within-mentioned Indenture.</w:t>
      </w:r>
    </w:p>
    <w:p>
      <w:pPr>
        <w:spacing w:after="0" w:line="18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Any Defaulted Amounts shall not accrue interest unless Special Interest was payable on the required payment date, in which case such Defaulted Amounts shall accrue interest per annum at the then-applicable Special Interest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spacing w:after="0" w:line="180"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The Company shall pay the principal of and interest, if any,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as a place in the continental United States of America where Notes may be presented for payment or for registration of transfer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715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1</w:t>
            </w:r>
          </w:p>
        </w:tc>
        <w:tc>
          <w:tcPr>
            <w:tcW w:w="10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This Note will be deemed to be identified by CUSIP No. [               ] from and after such time when (i) the Company delivers, pursuant to</w:t>
            </w:r>
          </w:p>
        </w:tc>
      </w:tr>
      <w:tr>
        <w:trPr>
          <w:trHeight w:val="216"/>
        </w:trPr>
        <w:tc>
          <w:tcPr>
            <w:tcW w:w="240" w:type="dxa"/>
            <w:vAlign w:val="bottom"/>
          </w:tcPr>
          <w:p>
            <w:pPr>
              <w:spacing w:after="0"/>
              <w:rPr>
                <w:sz w:val="18"/>
                <w:szCs w:val="18"/>
                <w:color w:val="auto"/>
              </w:rPr>
            </w:pPr>
          </w:p>
        </w:tc>
        <w:tc>
          <w:tcPr>
            <w:tcW w:w="106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Section 2.05(c) of the within-mentioned Indenture, written notice to the Trustee of the occurrence of the Resale Restriction Termination Date and</w:t>
            </w:r>
          </w:p>
        </w:tc>
      </w:tr>
      <w:tr>
        <w:trPr>
          <w:trHeight w:val="216"/>
        </w:trPr>
        <w:tc>
          <w:tcPr>
            <w:tcW w:w="240" w:type="dxa"/>
            <w:vAlign w:val="bottom"/>
          </w:tcPr>
          <w:p>
            <w:pPr>
              <w:spacing w:after="0"/>
              <w:rPr>
                <w:sz w:val="18"/>
                <w:szCs w:val="18"/>
                <w:color w:val="auto"/>
              </w:rPr>
            </w:pPr>
          </w:p>
        </w:tc>
        <w:tc>
          <w:tcPr>
            <w:tcW w:w="10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removal of the restrictive legend affixed to this Note and (ii) this Note is identified by such CUSIP number in accordance with the applicable</w:t>
            </w:r>
          </w:p>
        </w:tc>
      </w:tr>
      <w:tr>
        <w:trPr>
          <w:trHeight w:val="234"/>
        </w:trPr>
        <w:tc>
          <w:tcPr>
            <w:tcW w:w="240" w:type="dxa"/>
            <w:vAlign w:val="bottom"/>
          </w:tcPr>
          <w:p>
            <w:pPr>
              <w:spacing w:after="0"/>
              <w:rPr>
                <w:sz w:val="20"/>
                <w:szCs w:val="20"/>
                <w:color w:val="auto"/>
              </w:rPr>
            </w:pPr>
          </w:p>
        </w:tc>
        <w:tc>
          <w:tcPr>
            <w:tcW w:w="10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procedures of the Depositary.</w:t>
            </w:r>
          </w:p>
        </w:tc>
      </w:tr>
      <w:tr>
        <w:trPr>
          <w:trHeight w:val="365"/>
        </w:trPr>
        <w:tc>
          <w:tcPr>
            <w:tcW w:w="240" w:type="dxa"/>
            <w:vAlign w:val="bottom"/>
          </w:tcPr>
          <w:p>
            <w:pPr>
              <w:spacing w:after="0"/>
              <w:rPr>
                <w:sz w:val="24"/>
                <w:szCs w:val="24"/>
                <w:color w:val="auto"/>
              </w:rPr>
            </w:pPr>
          </w:p>
        </w:tc>
        <w:tc>
          <w:tcPr>
            <w:tcW w:w="1064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A-3</w:t>
            </w:r>
          </w:p>
        </w:tc>
      </w:tr>
    </w:tbl>
    <w:p>
      <w:pPr>
        <w:sectPr>
          <w:pgSz w:w="11900" w:h="16838" w:orient="portrait"/>
          <w:cols w:equalWidth="0" w:num="1">
            <w:col w:w="11000"/>
          </w:cols>
          <w:pgMar w:left="440" w:top="270" w:right="459" w:bottom="1440" w:gutter="0" w:footer="0" w:header="0"/>
        </w:sectPr>
      </w:pPr>
    </w:p>
    <w:bookmarkStart w:id="130" w:name="page131"/>
    <w:bookmarkEnd w:id="130"/>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 is made to the further provisions of this Note set forth on the reverse hereof, including, without limitation, provisions giving the Holder of this Note the right to convert this Note into cash, shares of Class A Common Stock or a combination of cash and shares of Class A Common Stock, as applicable, on the terms and subject to the limitations set forth in the Indenture. Such further provisions shall for all purposes have the same effect as though fully set forth at this place.</w:t>
      </w:r>
    </w:p>
    <w:p>
      <w:pPr>
        <w:spacing w:after="0" w:line="176"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70" w:right="459" w:bottom="1440" w:gutter="0" w:footer="0" w:header="0"/>
        </w:sectPr>
      </w:pPr>
    </w:p>
    <w:bookmarkStart w:id="131" w:name="page132"/>
    <w:bookmarkEnd w:id="1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Note to be duly executed.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TEMPUS AI,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as Trustee, certifies that this is one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described in the within-named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019"/>
          </w:cols>
          <w:pgMar w:left="440" w:top="270" w:right="1440" w:bottom="1440" w:gutter="0" w:footer="0" w:header="0"/>
        </w:sectPr>
      </w:pPr>
    </w:p>
    <w:bookmarkStart w:id="132" w:name="page133"/>
    <w:bookmarkEnd w:id="132"/>
    <w:p>
      <w:pPr>
        <w:ind w:left="47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NOTE</w:t>
      </w:r>
    </w:p>
    <w:p>
      <w:pPr>
        <w:spacing w:after="0" w:line="1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0.00% Convertible Senior Note due 2032</w:t>
      </w:r>
    </w:p>
    <w:p>
      <w:pPr>
        <w:spacing w:after="0" w:line="20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0.00% Convertible Senior Notes due 2032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limited to the aggregate principal amount of $460,000,000, all issued or to be issued under and pursuant to an Indenture dated as of May 12, 2026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87"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In case certain Events of Default shall have occurred and be continuing, the principal of, and Special Interest, if any,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80"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8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Each Holder shall have the right to receive payment or delivery, as the case may be, of (x) the principal (including the Redemption Price and the Fundamental Change Repurchase Price, if applicable) of, (y) accrued and unpaid Special Interest and interest payable pursuant to Section 2.03(c) of the Indenture, if any, on, and (z) the consideration due upon conversion of, this Note at the place, at the respective times, at the rate and in the lawful money or shares of Class A Common Stock, as the case may be, herein prescribed.</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960"/>
          </w:cols>
          <w:pgMar w:left="440" w:top="270" w:right="499" w:bottom="1440" w:gutter="0" w:footer="0" w:header="0"/>
        </w:sectPr>
      </w:pPr>
    </w:p>
    <w:bookmarkStart w:id="133" w:name="page134"/>
    <w:bookmarkEnd w:id="13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Notes shall be redeemable at the Company’s option on a redemption date on or after May 21, 2029 in accordance with the terms and subject to the conditions specified in the Indenture. No sinking fund is provided for the Notes.</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Upon the occurrence of a Fundamental Change (other than an Exempted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76" w:lineRule="exact"/>
        <w:rPr>
          <w:sz w:val="20"/>
          <w:szCs w:val="20"/>
          <w:color w:val="auto"/>
        </w:rPr>
      </w:pPr>
    </w:p>
    <w:p>
      <w:pPr>
        <w:jc w:val="both"/>
        <w:ind w:right="6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shares of Class A Common Stock or a combination of cash and shares of Class A Common Stock, as applicable, at the Conversion Rate specified in the Indenture, as adjusted from time to time as provided in the Indenture.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960"/>
          </w:cols>
          <w:pgMar w:left="440" w:top="270" w:right="499" w:bottom="1440" w:gutter="0" w:footer="0" w:header="0"/>
        </w:sectPr>
      </w:pPr>
    </w:p>
    <w:bookmarkStart w:id="134" w:name="page135"/>
    <w:bookmarkEnd w:id="134"/>
    <w:p>
      <w:pPr>
        <w:jc w:val="center"/>
        <w:ind w:right="-5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ABBREVIATIONS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 TEN = joint tenants with right of survivorship and not as tenants in common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480"/>
          </w:cols>
          <w:pgMar w:left="440" w:top="270" w:right="97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1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0.00% Convertible Senior Notes due 2032</w:t>
      </w:r>
    </w:p>
    <w:p>
      <w:pPr>
        <w:spacing w:after="0" w:line="20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initial principal amount of this Global Note is FOUR HUNDRED SIXTY MILLION DOLLARS ($460,000,000). The following increases or decreases in this Global Note have been made: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00" w:type="dxa"/>
            <w:vAlign w:val="bottom"/>
          </w:tcPr>
          <w:p>
            <w:pPr>
              <w:spacing w:after="0"/>
              <w:rPr>
                <w:sz w:val="13"/>
                <w:szCs w:val="13"/>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2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amount</w:t>
            </w:r>
          </w:p>
        </w:tc>
        <w:tc>
          <w:tcPr>
            <w:tcW w:w="10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this Global Note</w:t>
            </w: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decrease in</w:t>
            </w:r>
          </w:p>
        </w:tc>
        <w:tc>
          <w:tcPr>
            <w:tcW w:w="10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increase in</w:t>
            </w:r>
          </w:p>
        </w:tc>
        <w:tc>
          <w:tcPr>
            <w:tcW w:w="1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signatory of</w:t>
            </w:r>
          </w:p>
        </w:tc>
        <w:tc>
          <w:tcPr>
            <w:tcW w:w="0" w:type="dxa"/>
            <w:vAlign w:val="bottom"/>
          </w:tcPr>
          <w:p>
            <w:pPr>
              <w:spacing w:after="0"/>
              <w:rPr>
                <w:sz w:val="1"/>
                <w:szCs w:val="1"/>
                <w:color w:val="auto"/>
              </w:rPr>
            </w:pPr>
          </w:p>
        </w:tc>
      </w:tr>
      <w:tr>
        <w:trPr>
          <w:trHeight w:val="148"/>
        </w:trPr>
        <w:tc>
          <w:tcPr>
            <w:tcW w:w="21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Date of exchange</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10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1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decrease or</w:t>
            </w: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Trustee or</w:t>
            </w:r>
          </w:p>
        </w:tc>
        <w:tc>
          <w:tcPr>
            <w:tcW w:w="0" w:type="dxa"/>
            <w:vAlign w:val="bottom"/>
          </w:tcPr>
          <w:p>
            <w:pPr>
              <w:spacing w:after="0"/>
              <w:rPr>
                <w:sz w:val="1"/>
                <w:szCs w:val="1"/>
                <w:color w:val="auto"/>
              </w:rPr>
            </w:pPr>
          </w:p>
        </w:tc>
      </w:tr>
      <w:tr>
        <w:trPr>
          <w:trHeight w:val="185"/>
        </w:trPr>
        <w:tc>
          <w:tcPr>
            <w:tcW w:w="2100" w:type="dxa"/>
            <w:vAlign w:val="bottom"/>
            <w:gridSpan w:val="2"/>
            <w:vMerge w:val="continue"/>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0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2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increase</w:t>
            </w: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r>
        <w:trPr>
          <w:trHeight w:val="149"/>
        </w:trPr>
        <w:tc>
          <w:tcPr>
            <w:tcW w:w="1960" w:type="dxa"/>
            <w:vAlign w:val="bottom"/>
            <w:tcBorders>
              <w:top w:val="single" w:sz="8" w:color="auto"/>
              <w:bottom w:val="single" w:sz="8" w:color="auto"/>
            </w:tcBorders>
          </w:tcPr>
          <w:p>
            <w:pPr>
              <w:ind w:left="90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2"/>
                <w:szCs w:val="12"/>
                <w:color w:val="auto"/>
              </w:rPr>
            </w:pPr>
          </w:p>
        </w:tc>
        <w:tc>
          <w:tcPr>
            <w:tcW w:w="21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tcPr>
          <w:p>
            <w:pPr>
              <w:ind w:left="9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60" w:type="dxa"/>
            <w:vAlign w:val="bottom"/>
            <w:tcBorders>
              <w:bottom w:val="single" w:sz="8" w:color="auto"/>
            </w:tcBorders>
          </w:tcPr>
          <w:p>
            <w:pPr>
              <w:ind w:left="9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tcPr>
          <w:p>
            <w:pPr>
              <w:ind w:left="9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60" w:type="dxa"/>
            <w:vAlign w:val="bottom"/>
            <w:tcBorders>
              <w:bottom w:val="single" w:sz="8" w:color="auto"/>
            </w:tcBorders>
          </w:tcPr>
          <w:p>
            <w:pPr>
              <w:ind w:left="9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tcPr>
          <w:p>
            <w:pPr>
              <w:ind w:left="9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tcPr>
          <w:p>
            <w:pPr>
              <w:ind w:left="9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60" w:type="dxa"/>
            <w:vAlign w:val="bottom"/>
            <w:tcBorders>
              <w:bottom w:val="single" w:sz="8" w:color="auto"/>
            </w:tcBorders>
          </w:tcPr>
          <w:p>
            <w:pPr>
              <w:ind w:left="9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tcPr>
          <w:p>
            <w:pPr>
              <w:ind w:left="9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60" w:type="dxa"/>
            <w:vAlign w:val="bottom"/>
            <w:tcBorders>
              <w:bottom w:val="single" w:sz="8" w:color="auto"/>
            </w:tcBorders>
          </w:tcPr>
          <w:p>
            <w:pPr>
              <w:ind w:left="9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tcPr>
          <w:p>
            <w:pPr>
              <w:ind w:left="9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tcPr>
          <w:p>
            <w:pPr>
              <w:ind w:left="9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20"/>
          </w:cols>
          <w:pgMar w:left="440" w:top="266" w:right="4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U.S. Bank Trust Company, National Association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633 West 5th Street, 24th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B. Scarbrough (Tempus AI, Inc. Administrator)</w:t>
      </w:r>
    </w:p>
    <w:p>
      <w:pPr>
        <w:spacing w:after="0" w:line="20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principal amount or an integral multiple thereof) below designated, into cash, shares of Class A Common Stock or a combination of cash and shares of Class A Common Stock, as applicable, in accordance with the terms of the Indenture referred to in this Note, and directs that any cash payable and any shares of Class A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Class A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any Special Interest accompanies this Note. Capitalized terms used herein but not defined shall have the meanings ascribed to such terms in the Indenture.</w:t>
      </w:r>
    </w:p>
    <w:p>
      <w:pPr>
        <w:spacing w:after="0" w:line="2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Dated:</w:t>
        <w:tab/>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308610</wp:posOffset>
            </wp:positionV>
            <wp:extent cx="30772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-7620</wp:posOffset>
            </wp:positionV>
            <wp:extent cx="13709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(banks, stock brokers, savings and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associations and credit unions) with membership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signature guarantee medallion program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Rule 17Ad-15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A Common Stock are to be issued, or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to be delivered, other than to and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Fill in for registration of shares if to be issued, and Notes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delivered, other than to and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amount to be converted (if less than all):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$______,000</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The above signature(s) of the Holder(s) hereof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must correspond with the name as written upon the face of</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enlargement or any change whatever.</w:t>
      </w:r>
    </w:p>
    <w:p>
      <w:pPr>
        <w:spacing w:after="0" w:line="200" w:lineRule="exact"/>
        <w:rPr>
          <w:sz w:val="20"/>
          <w:szCs w:val="20"/>
          <w:color w:val="auto"/>
        </w:rPr>
      </w:pPr>
    </w:p>
    <w:p>
      <w:pPr>
        <w:spacing w:after="0" w:line="30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Social Security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440" w:top="270" w:right="6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2</w:t>
      </w:r>
    </w:p>
    <w:p>
      <w:pPr>
        <w:spacing w:after="0" w:line="2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[FORM OF FUNDAMENTAL CHANGE REPURCHASE NOTICE]</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U.S. Bank Trust Company, National Association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633 West 5th Street, 24th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B. Scarbrough (Tempus AI, Inc. Administrator)</w:t>
      </w:r>
    </w:p>
    <w:p>
      <w:pPr>
        <w:spacing w:after="0" w:line="20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Tempus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Special Interest Record Date and on or prior to the corresponding Special Interest Payment Date, accrued and unpaid interest, if any, thereon to, but excluding, such Fundamental Change Repurchase Date. Capitalized terms used herein but not defined shall have the meanings ascribed to such terms in the Indenture.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60325</wp:posOffset>
            </wp:positionV>
            <wp:extent cx="24345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1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Signature(s)</w:t>
      </w:r>
    </w:p>
    <w:p>
      <w:pPr>
        <w:spacing w:after="0" w:line="200" w:lineRule="exact"/>
        <w:rPr>
          <w:sz w:val="20"/>
          <w:szCs w:val="20"/>
          <w:color w:val="auto"/>
        </w:rPr>
      </w:pPr>
    </w:p>
    <w:p>
      <w:pPr>
        <w:spacing w:after="0" w:line="3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amount to be repaid (if less than all):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$______,000</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The above signature(s) of the Holder(s) hereof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must correspond with the name as written upon the face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enlargement or any change whatever.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3</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value received ____________________________ hereby sell(s), assign(s) and transfer(s) unto _________________ (Please insert social security 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Taxpayer Identification Number of assignee) the within Note, and hereby irrevocably constitutes and appoints _____________________ attorney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transfer the said Note on the books of the Company, with full power of substitution in the premises.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In connection with any transfer of the within Note occurring prior to the Resale Restriction Termination Date, as defined in the Indenture governing such</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 the undersigned confirms that such Note is being transferred:</w:t>
      </w:r>
    </w:p>
    <w:p>
      <w:pPr>
        <w:spacing w:after="0" w:line="112" w:lineRule="exact"/>
        <w:rPr>
          <w:sz w:val="20"/>
          <w:szCs w:val="20"/>
          <w:color w:val="auto"/>
        </w:rPr>
      </w:pPr>
    </w:p>
    <w:p>
      <w:pPr>
        <w:ind w:left="424" w:hanging="424"/>
        <w:spacing w:after="0"/>
        <w:tabs>
          <w:tab w:leader="none" w:pos="424" w:val="left"/>
        </w:tabs>
        <w:numPr>
          <w:ilvl w:val="0"/>
          <w:numId w:val="1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Tempus AI, Inc. or a subsidiary thereof; or</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 of 1933, as amended; or</w:t>
      </w:r>
    </w:p>
    <w:p>
      <w:pPr>
        <w:spacing w:after="0" w:line="130" w:lineRule="exact"/>
        <w:rPr>
          <w:rFonts w:ascii="MS PGothic" w:cs="MS PGothic" w:eastAsia="MS PGothic" w:hAnsi="MS PGothic"/>
          <w:sz w:val="18"/>
          <w:szCs w:val="18"/>
          <w:color w:val="auto"/>
        </w:rPr>
      </w:pPr>
    </w:p>
    <w:p>
      <w:pPr>
        <w:ind w:left="424" w:right="100" w:hanging="424"/>
        <w:spacing w:after="0" w:line="282" w:lineRule="auto"/>
        <w:tabs>
          <w:tab w:leader="none" w:pos="424" w:val="left"/>
        </w:tabs>
        <w:numPr>
          <w:ilvl w:val="0"/>
          <w:numId w:val="1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a person reasonably believed to be a qualified institutional buyer in compliance with Rule 144A under the Securities Act of 1933, as amended; or</w:t>
      </w:r>
    </w:p>
    <w:p>
      <w:pPr>
        <w:spacing w:after="0" w:line="67" w:lineRule="exact"/>
        <w:rPr>
          <w:rFonts w:ascii="MS PGothic" w:cs="MS PGothic" w:eastAsia="MS PGothic" w:hAnsi="MS PGothic"/>
          <w:sz w:val="18"/>
          <w:szCs w:val="18"/>
          <w:color w:val="auto"/>
        </w:rPr>
      </w:pPr>
    </w:p>
    <w:p>
      <w:pPr>
        <w:ind w:left="424" w:right="220" w:hanging="424"/>
        <w:spacing w:after="0" w:line="282" w:lineRule="auto"/>
        <w:tabs>
          <w:tab w:leader="none" w:pos="424" w:val="left"/>
        </w:tabs>
        <w:numPr>
          <w:ilvl w:val="0"/>
          <w:numId w:val="1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and in compliance with Rule 144 under the Securities Act of 1933, as amended (if available), or any other available exemption from the registration requirements of the Securities Act of 1933, as amended.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6"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 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(banks, stock brokers, savings and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associations and credit unions) with membership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signature guarantee medallion program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Rule 17Ad-15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to be delivered, other than to and in the name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holder.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whatever.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40" w:top="270" w:right="57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Dealer name and address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Tempus AI,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08" w:lineRule="exact"/>
        <w:rPr>
          <w:sz w:val="20"/>
          <w:szCs w:val="20"/>
          <w:color w:val="auto"/>
        </w:rPr>
      </w:pPr>
    </w:p>
    <w:p>
      <w:pPr>
        <w:sectPr>
          <w:pgSz w:w="11900" w:h="16838" w:orient="portrait"/>
          <w:cols w:equalWidth="0" w:num="2">
            <w:col w:w="380" w:space="720"/>
            <w:col w:w="992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Dealer</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ectPr>
          <w:pgSz w:w="11900" w:h="16838" w:orient="portrait"/>
          <w:cols w:equalWidth="0" w:num="2">
            <w:col w:w="480" w:space="620"/>
            <w:col w:w="992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[Base][Additional] Capped Call Transaction</w:t>
      </w:r>
    </w:p>
    <w:p>
      <w:pPr>
        <w:spacing w:after="0" w:line="125" w:lineRule="exact"/>
        <w:rPr>
          <w:sz w:val="20"/>
          <w:szCs w:val="20"/>
          <w:color w:val="auto"/>
        </w:rPr>
      </w:pPr>
    </w:p>
    <w:p>
      <w:pPr>
        <w:sectPr>
          <w:pgSz w:w="11900" w:h="16838" w:orient="portrait"/>
          <w:cols w:equalWidth="0" w:num="2">
            <w:col w:w="380" w:space="720"/>
            <w:col w:w="992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 2026</w:t>
      </w:r>
    </w:p>
    <w:p>
      <w:pPr>
        <w:spacing w:after="0" w:line="200" w:lineRule="exact"/>
        <w:rPr>
          <w:sz w:val="20"/>
          <w:szCs w:val="20"/>
          <w:color w:val="auto"/>
        </w:rPr>
      </w:pPr>
    </w:p>
    <w:p>
      <w:pPr>
        <w:sectPr>
          <w:pgSz w:w="11900" w:h="16838" w:orient="portrait"/>
          <w:cols w:equalWidth="0" w:num="2">
            <w:col w:w="420" w:space="680"/>
            <w:col w:w="9920"/>
          </w:cols>
          <w:pgMar w:left="440" w:top="117" w:right="4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113"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The purpose of this communication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set forth the terms and conditions of the above-referenced transaction entered into on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between [</w:t>
      </w:r>
      <w:r>
        <w:rPr>
          <w:rFonts w:ascii="Times New Roman" w:cs="Times New Roman" w:eastAsia="Times New Roman" w:hAnsi="Times New Roman"/>
          <w:sz w:val="18"/>
          <w:szCs w:val="18"/>
          <w:i w:val="1"/>
          <w:iCs w:val="1"/>
          <w:color w:val="auto"/>
        </w:rPr>
        <w:t>Dealer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Tempus AI, Inc., a Nevada corporation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This communication constitutes a “Confirmation” as referred to in the ISDA Master Agreement specified below.</w:t>
      </w:r>
    </w:p>
    <w:p>
      <w:pPr>
        <w:spacing w:after="0" w:line="171" w:lineRule="exact"/>
        <w:rPr>
          <w:sz w:val="20"/>
          <w:szCs w:val="20"/>
          <w:color w:val="auto"/>
        </w:rPr>
      </w:pPr>
    </w:p>
    <w:p>
      <w:pPr>
        <w:ind w:right="60" w:firstLine="436"/>
        <w:spacing w:after="0" w:line="259" w:lineRule="auto"/>
        <w:tabs>
          <w:tab w:leader="none" w:pos="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is subject to, and incorporates, the definitions and provisions of the 2006 ISDA Definitions (the “</w:t>
      </w:r>
      <w:r>
        <w:rPr>
          <w:rFonts w:ascii="Times New Roman" w:cs="Times New Roman" w:eastAsia="Times New Roman" w:hAnsi="Times New Roman"/>
          <w:sz w:val="18"/>
          <w:szCs w:val="18"/>
          <w:b w:val="1"/>
          <w:bCs w:val="1"/>
          <w:color w:val="auto"/>
        </w:rPr>
        <w:t>2006 Definitions</w:t>
      </w:r>
      <w:r>
        <w:rPr>
          <w:rFonts w:ascii="Times New Roman" w:cs="Times New Roman" w:eastAsia="Times New Roman" w:hAnsi="Times New Roman"/>
          <w:sz w:val="18"/>
          <w:szCs w:val="18"/>
          <w:color w:val="auto"/>
        </w:rPr>
        <w:t>”) and the definitions and provisions of the ISDA 2002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and together with the 2006 Definitions, the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in each case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In the event of any inconsistency between the 2006 Definitions and the Equity Definitions, the Equity Definitions will govern, and in the event of any inconsistency between terms defined in the Equity Definitions and this Confirmation, this Confirmation shall govern.</w:t>
      </w:r>
    </w:p>
    <w:p>
      <w:pPr>
        <w:spacing w:after="0" w:line="183"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This Confirmation evidences a complete and binding agreement between Dealer and Counterparty as to the terms of the Transaction to which this Confirmation relates. This Confirmation shall be subject to an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 the form of the ISDA 2002 Master Agreement as if Dealer and Counterparty had executed an agreement in such form on the Trade Date (but without any Schedule except for (i) the election of the laws of the State of New York as the governing law (without reference to choice of law doctrine), [(ii) the election of an executed guarantee of [__________]</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dated as of the Trade Date in substantially the form attached hereto as Schedule 1 as a Credit Support Document, (iii) the election of Guarantor as Credit Support Provider in relation to Dealer], [(ii)][(iv)] the election that the “Cross Default” provisions of Section 5(a)(vi) of the Agreement shall apply to Dealer, with (a) a “Threshold Amount” of 3% of the shareholders’ equity of [Dealer][Dealer’s ultimate parent] on the Trade Date, (b) “Specified Indebtedness” having the meaning set forth in Section 14 of the Agreement, except that it shall not include any obligation in respect of deposits received in the ordinary course of Dealer’s banking business, (c) the phrase “, or becoming capable at such time of being declared,” being deleted from clause (1) of such Section 5(a)(vi) of the Agreement and (d) the following sentence being added to the end of Section 5(a)(vi) of the Agreement: “Notwithstanding the foregoing, a default under subsection (2) hereof shall not constitute an Event of Default if (i) the default was caused solely by error or omission of an administrative or operational nature; (ii) funds were available to enable the relevant party to make payment when due; and (iii) the payment is made within two Local Business Days of such party’s receipt of written notice of its failure to pay”, and [(iii)][(v)] the election that the “Default Under Specified Transactions” provision of Section 5(a)(v) of the Agreement shall not apply to Counterparty).</w:t>
      </w:r>
    </w:p>
    <w:p>
      <w:pPr>
        <w:spacing w:after="0" w:line="193"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All provisions contained in, or incorporated by reference to, the Agreement will govern this Confirmation except as expressly modified herein. In the event of any inconsistency between this Confirmation and either the Definitions or the Agreement, this Confirmation shall govern.</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ectPr>
          <w:pgSz w:w="11900" w:h="16838" w:orient="portrait"/>
          <w:cols w:equalWidth="0" w:num="1">
            <w:col w:w="11020"/>
          </w:cols>
          <w:pgMar w:left="440" w:top="117" w:right="439" w:bottom="1440" w:gutter="0" w:footer="0" w:header="0"/>
          <w:type w:val="continuous"/>
        </w:sectPr>
      </w:pPr>
    </w:p>
    <w:bookmarkStart w:id="142" w:name="page143"/>
    <w:bookmarkEnd w:id="142"/>
    <w:p>
      <w:pPr>
        <w:ind w:left="-360" w:right="20" w:firstLine="436"/>
        <w:spacing w:after="0" w:line="282" w:lineRule="auto"/>
        <w:tabs>
          <w:tab w:leader="none" w:pos="2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Transaction constitutes a Share Option Transaction for purposes of the Equity Definitions. The terms of the particular Transaction to which this Confirmation relates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General Terms:</w:t>
            </w:r>
          </w:p>
        </w:tc>
        <w:tc>
          <w:tcPr>
            <w:tcW w:w="3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5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34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[____], 2026</w:t>
            </w:r>
          </w:p>
        </w:tc>
        <w:tc>
          <w:tcPr>
            <w:tcW w:w="6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[____], 2026, or such other date as agreed by the parties in writing.</w:t>
            </w:r>
          </w:p>
        </w:tc>
      </w:tr>
      <w:tr>
        <w:trPr>
          <w:trHeight w:val="30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Components:</w:t>
            </w: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The Transaction will be divided into individual Components, each with the terms set forth in</w:t>
            </w:r>
          </w:p>
        </w:tc>
      </w:tr>
      <w:tr>
        <w:trPr>
          <w:trHeight w:val="216"/>
        </w:trPr>
        <w:tc>
          <w:tcPr>
            <w:tcW w:w="3040" w:type="dxa"/>
            <w:vAlign w:val="bottom"/>
          </w:tcPr>
          <w:p>
            <w:pPr>
              <w:spacing w:after="0"/>
              <w:rPr>
                <w:sz w:val="18"/>
                <w:szCs w:val="18"/>
                <w:color w:val="auto"/>
              </w:rPr>
            </w:pP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this Confirmation, and, in particular, with the Number of Options and Expiration Date set</w:t>
            </w:r>
          </w:p>
        </w:tc>
      </w:tr>
      <w:tr>
        <w:trPr>
          <w:trHeight w:val="216"/>
        </w:trPr>
        <w:tc>
          <w:tcPr>
            <w:tcW w:w="3040" w:type="dxa"/>
            <w:vAlign w:val="bottom"/>
          </w:tcPr>
          <w:p>
            <w:pPr>
              <w:spacing w:after="0"/>
              <w:rPr>
                <w:sz w:val="18"/>
                <w:szCs w:val="18"/>
                <w:color w:val="auto"/>
              </w:rPr>
            </w:pP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forth in Annex A to this Confirmation. The exercise, valuation and settlement of the</w:t>
            </w:r>
          </w:p>
        </w:tc>
      </w:tr>
      <w:tr>
        <w:trPr>
          <w:trHeight w:val="216"/>
        </w:trPr>
        <w:tc>
          <w:tcPr>
            <w:tcW w:w="3040" w:type="dxa"/>
            <w:vAlign w:val="bottom"/>
          </w:tcPr>
          <w:p>
            <w:pPr>
              <w:spacing w:after="0"/>
              <w:rPr>
                <w:sz w:val="18"/>
                <w:szCs w:val="18"/>
                <w:color w:val="auto"/>
              </w:rPr>
            </w:pP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Transaction will be effected separately for each Component as if each Component were a</w:t>
            </w:r>
          </w:p>
        </w:tc>
      </w:tr>
      <w:tr>
        <w:trPr>
          <w:trHeight w:val="234"/>
        </w:trPr>
        <w:tc>
          <w:tcPr>
            <w:tcW w:w="3040" w:type="dxa"/>
            <w:vAlign w:val="bottom"/>
          </w:tcPr>
          <w:p>
            <w:pPr>
              <w:spacing w:after="0"/>
              <w:rPr>
                <w:sz w:val="20"/>
                <w:szCs w:val="20"/>
                <w:color w:val="auto"/>
              </w:rPr>
            </w:pP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separate Transaction under the Agreement.</w:t>
            </w: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Option Style:</w:t>
            </w: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“European”, as described under “Procedures for Exercise” below.</w:t>
            </w: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Option Type:</w:t>
            </w: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Call</w:t>
            </w: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Seller:</w:t>
            </w: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Dealer</w:t>
            </w: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Buyer:</w:t>
            </w: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Counterparty</w:t>
            </w:r>
          </w:p>
        </w:tc>
      </w:tr>
      <w:tr>
        <w:trPr>
          <w:trHeight w:val="30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w w:val="99"/>
              </w:rPr>
              <w:t>The Class A common stock of Counterparty, par value USD 0.0001 per share (Ticker Symbol:</w:t>
            </w:r>
          </w:p>
        </w:tc>
      </w:tr>
      <w:tr>
        <w:trPr>
          <w:trHeight w:val="234"/>
        </w:trPr>
        <w:tc>
          <w:tcPr>
            <w:tcW w:w="3040" w:type="dxa"/>
            <w:vAlign w:val="bottom"/>
          </w:tcPr>
          <w:p>
            <w:pPr>
              <w:spacing w:after="0"/>
              <w:rPr>
                <w:sz w:val="20"/>
                <w:szCs w:val="20"/>
                <w:color w:val="auto"/>
              </w:rPr>
            </w:pP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“TEM”).</w:t>
            </w: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Number of Options:</w:t>
            </w: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For each Component, as provided in Annex A to this Confirmation.</w:t>
            </w:r>
          </w:p>
        </w:tc>
      </w:tr>
      <w:tr>
        <w:trPr>
          <w:trHeight w:val="34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Option Entitlement:</w:t>
            </w:r>
          </w:p>
        </w:tc>
        <w:tc>
          <w:tcPr>
            <w:tcW w:w="34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One Share per Option</w:t>
            </w:r>
          </w:p>
        </w:tc>
        <w:tc>
          <w:tcPr>
            <w:tcW w:w="66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USD [_____]</w:t>
            </w:r>
          </w:p>
        </w:tc>
      </w:tr>
      <w:tr>
        <w:trPr>
          <w:trHeight w:val="30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Cap Price:</w:t>
            </w: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 xml:space="preserve">USD [_____];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reduced to an amount less than</w:t>
            </w:r>
          </w:p>
        </w:tc>
      </w:tr>
      <w:tr>
        <w:trPr>
          <w:trHeight w:val="216"/>
        </w:trPr>
        <w:tc>
          <w:tcPr>
            <w:tcW w:w="3040" w:type="dxa"/>
            <w:vAlign w:val="bottom"/>
          </w:tcPr>
          <w:p>
            <w:pPr>
              <w:spacing w:after="0"/>
              <w:rPr>
                <w:sz w:val="18"/>
                <w:szCs w:val="18"/>
                <w:color w:val="auto"/>
              </w:rPr>
            </w:pP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the Strike Price in connection with any adjustment by the Calculation Agent under this</w:t>
            </w:r>
          </w:p>
        </w:tc>
      </w:tr>
      <w:tr>
        <w:trPr>
          <w:trHeight w:val="234"/>
        </w:trPr>
        <w:tc>
          <w:tcPr>
            <w:tcW w:w="3040" w:type="dxa"/>
            <w:vAlign w:val="bottom"/>
          </w:tcPr>
          <w:p>
            <w:pPr>
              <w:spacing w:after="0"/>
              <w:rPr>
                <w:sz w:val="20"/>
                <w:szCs w:val="20"/>
                <w:color w:val="auto"/>
              </w:rPr>
            </w:pP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Confirmation.</w:t>
            </w:r>
          </w:p>
        </w:tc>
      </w:tr>
      <w:tr>
        <w:trPr>
          <w:trHeight w:val="30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Number of Transaction Shares:</w:t>
            </w: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As of any date, a number of Shares equal to the product of (i) the aggregate Number of</w:t>
            </w:r>
          </w:p>
        </w:tc>
      </w:tr>
      <w:tr>
        <w:trPr>
          <w:trHeight w:val="234"/>
        </w:trPr>
        <w:tc>
          <w:tcPr>
            <w:tcW w:w="3040" w:type="dxa"/>
            <w:vAlign w:val="bottom"/>
          </w:tcPr>
          <w:p>
            <w:pPr>
              <w:spacing w:after="0"/>
              <w:rPr>
                <w:sz w:val="20"/>
                <w:szCs w:val="20"/>
                <w:color w:val="auto"/>
              </w:rPr>
            </w:pP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Options of all Components and (ii) the Option Entitlement.</w:t>
            </w:r>
          </w:p>
        </w:tc>
      </w:tr>
      <w:tr>
        <w:trPr>
          <w:trHeight w:val="30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Premium:</w:t>
            </w: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USD [_____] (Premium per Option approximately USD [_____]); Dealer and Counterparty</w:t>
            </w:r>
          </w:p>
        </w:tc>
      </w:tr>
      <w:tr>
        <w:trPr>
          <w:trHeight w:val="216"/>
        </w:trPr>
        <w:tc>
          <w:tcPr>
            <w:tcW w:w="3040" w:type="dxa"/>
            <w:vAlign w:val="bottom"/>
          </w:tcPr>
          <w:p>
            <w:pPr>
              <w:spacing w:after="0"/>
              <w:rPr>
                <w:sz w:val="18"/>
                <w:szCs w:val="18"/>
                <w:color w:val="auto"/>
              </w:rPr>
            </w:pP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hereby agree that notwithstanding anything to the contrary herein or in the Agreement,</w:t>
            </w:r>
          </w:p>
        </w:tc>
      </w:tr>
      <w:tr>
        <w:trPr>
          <w:trHeight w:val="216"/>
        </w:trPr>
        <w:tc>
          <w:tcPr>
            <w:tcW w:w="3040" w:type="dxa"/>
            <w:vAlign w:val="bottom"/>
          </w:tcPr>
          <w:p>
            <w:pPr>
              <w:spacing w:after="0"/>
              <w:rPr>
                <w:sz w:val="18"/>
                <w:szCs w:val="18"/>
                <w:color w:val="auto"/>
              </w:rPr>
            </w:pP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following the payment of the Premium, in the event that (a) an Early Termination Date</w:t>
            </w:r>
          </w:p>
        </w:tc>
      </w:tr>
      <w:tr>
        <w:trPr>
          <w:trHeight w:val="216"/>
        </w:trPr>
        <w:tc>
          <w:tcPr>
            <w:tcW w:w="3040" w:type="dxa"/>
            <w:vAlign w:val="bottom"/>
          </w:tcPr>
          <w:p>
            <w:pPr>
              <w:spacing w:after="0"/>
              <w:rPr>
                <w:sz w:val="18"/>
                <w:szCs w:val="18"/>
                <w:color w:val="auto"/>
              </w:rPr>
            </w:pP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(whether as a result of an Event of Default or a Termination Event, other than an Event of</w:t>
            </w:r>
          </w:p>
        </w:tc>
      </w:tr>
      <w:tr>
        <w:trPr>
          <w:trHeight w:val="216"/>
        </w:trPr>
        <w:tc>
          <w:tcPr>
            <w:tcW w:w="3040" w:type="dxa"/>
            <w:vAlign w:val="bottom"/>
          </w:tcPr>
          <w:p>
            <w:pPr>
              <w:spacing w:after="0"/>
              <w:rPr>
                <w:sz w:val="18"/>
                <w:szCs w:val="18"/>
                <w:color w:val="auto"/>
              </w:rPr>
            </w:pP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Default arising under Section 5(a)(ii) or 5(a)(iv) of the Agreement that is within</w:t>
            </w:r>
          </w:p>
        </w:tc>
      </w:tr>
      <w:tr>
        <w:trPr>
          <w:trHeight w:val="216"/>
        </w:trPr>
        <w:tc>
          <w:tcPr>
            <w:tcW w:w="3040" w:type="dxa"/>
            <w:vAlign w:val="bottom"/>
          </w:tcPr>
          <w:p>
            <w:pPr>
              <w:spacing w:after="0"/>
              <w:rPr>
                <w:sz w:val="18"/>
                <w:szCs w:val="18"/>
                <w:color w:val="auto"/>
              </w:rPr>
            </w:pP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Counterparty’s control) occurs or is designated with respect to any Transaction and, as a</w:t>
            </w:r>
          </w:p>
        </w:tc>
      </w:tr>
      <w:tr>
        <w:trPr>
          <w:trHeight w:val="216"/>
        </w:trPr>
        <w:tc>
          <w:tcPr>
            <w:tcW w:w="3040" w:type="dxa"/>
            <w:vAlign w:val="bottom"/>
          </w:tcPr>
          <w:p>
            <w:pPr>
              <w:spacing w:after="0"/>
              <w:rPr>
                <w:sz w:val="18"/>
                <w:szCs w:val="18"/>
                <w:color w:val="auto"/>
              </w:rPr>
            </w:pP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w w:val="99"/>
              </w:rPr>
              <w:t>result, Counterparty owes to Dealer the amount calculated under Section 6(d) and Section 6(e)</w:t>
            </w:r>
          </w:p>
        </w:tc>
      </w:tr>
      <w:tr>
        <w:trPr>
          <w:trHeight w:val="234"/>
        </w:trPr>
        <w:tc>
          <w:tcPr>
            <w:tcW w:w="3040" w:type="dxa"/>
            <w:vAlign w:val="bottom"/>
          </w:tcPr>
          <w:p>
            <w:pPr>
              <w:spacing w:after="0"/>
              <w:rPr>
                <w:sz w:val="20"/>
                <w:szCs w:val="20"/>
                <w:color w:val="auto"/>
              </w:rPr>
            </w:pPr>
          </w:p>
        </w:tc>
        <w:tc>
          <w:tcPr>
            <w:tcW w:w="7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or otherwise under the Agreement (calculated as if the</w:t>
            </w:r>
          </w:p>
        </w:tc>
      </w:tr>
      <w:tr>
        <w:trPr>
          <w:trHeight w:val="365"/>
        </w:trPr>
        <w:tc>
          <w:tcPr>
            <w:tcW w:w="3040" w:type="dxa"/>
            <w:vAlign w:val="bottom"/>
          </w:tcPr>
          <w:p>
            <w:pPr>
              <w:spacing w:after="0"/>
              <w:rPr>
                <w:sz w:val="24"/>
                <w:szCs w:val="24"/>
                <w:color w:val="auto"/>
              </w:rPr>
            </w:pPr>
          </w:p>
        </w:tc>
        <w:tc>
          <w:tcPr>
            <w:tcW w:w="34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ectPr>
          <w:pgSz w:w="11900" w:h="16838" w:orient="portrait"/>
          <w:cols w:equalWidth="0" w:num="1">
            <w:col w:w="10620"/>
          </w:cols>
          <w:pgMar w:left="800" w:top="270" w:right="479" w:bottom="1440" w:gutter="0" w:footer="0" w:header="0"/>
        </w:sectPr>
      </w:pPr>
    </w:p>
    <w:bookmarkStart w:id="143" w:name="page144"/>
    <w:bookmarkEnd w:id="1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Transaction terminated on such Early Termination Date were the sole Transaction under the</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Agreement) or (b) Counterparty owes to Dealer, pursuant to Sections 12.2, 12.3, 12.6, 12.7,</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12.8 or 12.9 of the Equity Definitions or otherwise under the Equity Definitions, an amount</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calculated under Section 12.8 of the Equity Definitions, such amount shall be deemed to be</w:t>
            </w:r>
          </w:p>
        </w:tc>
      </w:tr>
      <w:tr>
        <w:trPr>
          <w:trHeight w:val="234"/>
        </w:trPr>
        <w:tc>
          <w:tcPr>
            <w:tcW w:w="3160" w:type="dxa"/>
            <w:vAlign w:val="bottom"/>
          </w:tcPr>
          <w:p>
            <w:pPr>
              <w:spacing w:after="0"/>
              <w:rPr>
                <w:sz w:val="20"/>
                <w:szCs w:val="20"/>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zero.</w:t>
            </w:r>
          </w:p>
        </w:tc>
      </w:tr>
      <w:tr>
        <w:trPr>
          <w:trHeight w:val="338"/>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 Payment Date:</w:t>
            </w: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The Effective Date</w:t>
            </w:r>
          </w:p>
        </w:tc>
      </w:tr>
      <w:tr>
        <w:trPr>
          <w:trHeight w:val="324"/>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Exchange:</w:t>
            </w: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306"/>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Exchange:</w:t>
            </w: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xml:space="preserve">All Exchanges;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1.26 of the Equity Definitions shall be amended to add</w:t>
            </w:r>
          </w:p>
        </w:tc>
      </w:tr>
      <w:tr>
        <w:trPr>
          <w:trHeight w:val="234"/>
        </w:trPr>
        <w:tc>
          <w:tcPr>
            <w:tcW w:w="3160" w:type="dxa"/>
            <w:vAlign w:val="bottom"/>
          </w:tcPr>
          <w:p>
            <w:pPr>
              <w:spacing w:after="0"/>
              <w:rPr>
                <w:sz w:val="20"/>
                <w:szCs w:val="20"/>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the words “United States” before the word “exchange” in the tenth line of such Section.</w:t>
            </w:r>
          </w:p>
        </w:tc>
      </w:tr>
      <w:tr>
        <w:trPr>
          <w:trHeight w:val="32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Procedures for Exercise:</w:t>
            </w:r>
          </w:p>
        </w:tc>
        <w:tc>
          <w:tcPr>
            <w:tcW w:w="3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24"/>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Expiration Time:</w:t>
            </w: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The Valuation Time</w:t>
            </w:r>
          </w:p>
        </w:tc>
      </w:tr>
      <w:tr>
        <w:trPr>
          <w:trHeight w:val="283"/>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Expiration Date:</w:t>
            </w: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For any Component, as provided in Annex A to this Confirmation (or, if such date is not a</w:t>
            </w:r>
          </w:p>
        </w:tc>
      </w:tr>
      <w:tr>
        <w:trPr>
          <w:trHeight w:val="20"/>
        </w:trPr>
        <w:tc>
          <w:tcPr>
            <w:tcW w:w="3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Scheduled Valid Day, the next following Scheduled Valid Day that is not already an</w:t>
            </w:r>
          </w:p>
        </w:tc>
      </w:tr>
      <w:tr>
        <w:trPr>
          <w:trHeight w:val="218"/>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xml:space="preserve">Expiration Date for another Component);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that date is a Disrupted Day, the</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9"/>
              </w:rPr>
              <w:t>Expiration Date for such Component shall be the first succeeding Scheduled Valid Day that is</w:t>
            </w:r>
          </w:p>
        </w:tc>
      </w:tr>
      <w:tr>
        <w:trPr>
          <w:trHeight w:val="214"/>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not a Disrupted Day and is not or is not deemed to be an Expiration Date in respect of any</w:t>
            </w:r>
          </w:p>
        </w:tc>
      </w:tr>
      <w:tr>
        <w:trPr>
          <w:trHeight w:val="218"/>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9"/>
              </w:rPr>
              <w:t xml:space="preserve">other Component of the Transaction hereunder; and </w:t>
            </w:r>
            <w:r>
              <w:rPr>
                <w:rFonts w:ascii="Times New Roman" w:cs="Times New Roman" w:eastAsia="Times New Roman" w:hAnsi="Times New Roman"/>
                <w:sz w:val="18"/>
                <w:szCs w:val="18"/>
                <w:i w:val="1"/>
                <w:iCs w:val="1"/>
                <w:color w:val="auto"/>
                <w:w w:val="99"/>
              </w:rPr>
              <w:t>provided further</w:t>
            </w:r>
            <w:r>
              <w:rPr>
                <w:rFonts w:ascii="Times New Roman" w:cs="Times New Roman" w:eastAsia="Times New Roman" w:hAnsi="Times New Roman"/>
                <w:sz w:val="18"/>
                <w:szCs w:val="18"/>
                <w:color w:val="auto"/>
                <w:w w:val="99"/>
              </w:rPr>
              <w:t xml:space="preserve"> that in no event shall the</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Expiration Date be postponed to a date later than the Final Termination Date and,</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9"/>
              </w:rPr>
              <w:t>notwithstanding anything to the contrary in this Confirmation or the Equity Definitions, if the</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Expiration Date occurring on the Final Termination Date is a Disrupted Day, the Relevant</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Price for such Expiration Date shall be the prevailing market value per Share determined by</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the Calculation Agent in good faith and in a commercially reasonable manner.</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Notwithstanding the foregoing and anything to the contrary in the Equity Definitions, if a</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Market Disruption Event occurs on any Expiration Date, the Calculation Agent may</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9"/>
              </w:rPr>
              <w:t>determine in good faith and in a commercially reasonable manner that such Expiration Date is</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a Disrupted Day only in part, in which case the Calculation Agent shall make commercially</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reasonable adjustments to the Number of Options for the relevant Component for which such</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day shall be the Expiration Date, shall designate the Scheduled Valid Day determined in the</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manner described in the immediately preceding sentence as the Expiration Date for the</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remaining Number of Options for such Component and may determine the Relevant Price on</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such Expiration Date that is a Disrupted Day only in part based on transactions in the Shares</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on such Disrupted Day taking into account the nature and duration of such Market Disruption</w:t>
            </w:r>
          </w:p>
        </w:tc>
      </w:tr>
      <w:tr>
        <w:trPr>
          <w:trHeight w:val="216"/>
        </w:trPr>
        <w:tc>
          <w:tcPr>
            <w:tcW w:w="316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9"/>
              </w:rPr>
              <w:t>Event on such day. Section 6.6 of the Equity Definitions shall not apply to any Valuation Date</w:t>
            </w:r>
          </w:p>
        </w:tc>
      </w:tr>
      <w:tr>
        <w:trPr>
          <w:trHeight w:val="234"/>
        </w:trPr>
        <w:tc>
          <w:tcPr>
            <w:tcW w:w="3160" w:type="dxa"/>
            <w:vAlign w:val="bottom"/>
          </w:tcPr>
          <w:p>
            <w:pPr>
              <w:spacing w:after="0"/>
              <w:rPr>
                <w:sz w:val="20"/>
                <w:szCs w:val="20"/>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occurring on an Expiration Date.</w:t>
            </w:r>
          </w:p>
        </w:tc>
      </w:tr>
      <w:tr>
        <w:trPr>
          <w:trHeight w:val="324"/>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Final Termination Date:</w:t>
            </w:r>
          </w:p>
        </w:tc>
        <w:tc>
          <w:tcPr>
            <w:tcW w:w="36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[_______], 2032</w:t>
            </w:r>
          </w:p>
        </w:tc>
        <w:tc>
          <w:tcPr>
            <w:tcW w:w="6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65"/>
        </w:trPr>
        <w:tc>
          <w:tcPr>
            <w:tcW w:w="3160" w:type="dxa"/>
            <w:vAlign w:val="bottom"/>
          </w:tcPr>
          <w:p>
            <w:pPr>
              <w:spacing w:after="0"/>
              <w:rPr>
                <w:sz w:val="24"/>
                <w:szCs w:val="24"/>
                <w:color w:val="auto"/>
              </w:rPr>
            </w:pPr>
          </w:p>
        </w:tc>
        <w:tc>
          <w:tcPr>
            <w:tcW w:w="36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144" w:name="page145"/>
    <w:bookmarkEnd w:id="144"/>
    <w:p>
      <w:pPr>
        <w:ind w:left="360"/>
        <w:spacing w:after="0"/>
        <w:rPr>
          <w:sz w:val="20"/>
          <w:szCs w:val="20"/>
          <w:color w:val="auto"/>
        </w:rPr>
      </w:pPr>
      <w:r>
        <w:rPr>
          <w:rFonts w:ascii="Times New Roman" w:cs="Times New Roman" w:eastAsia="Times New Roman" w:hAnsi="Times New Roman"/>
          <w:sz w:val="17"/>
          <w:szCs w:val="17"/>
          <w:color w:val="auto"/>
        </w:rPr>
        <w:t>Automatic Exercise:</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Applicable; and means that the Number of Options for the relevant Component will be deemed to be automatically exercised at the Expiration Time on the Expiration Date for such Component if at such time such Component is In-the-Money unless Buyer notifies Seller (in writing) prior to the Expiration Time on such Expiration Date that it does not wish Automatic Exercise to occur with respect to such Component, in which case Automatic Exercise will not apply with respect to such Component. “</w:t>
      </w:r>
      <w:r>
        <w:rPr>
          <w:rFonts w:ascii="Times New Roman" w:cs="Times New Roman" w:eastAsia="Times New Roman" w:hAnsi="Times New Roman"/>
          <w:sz w:val="18"/>
          <w:szCs w:val="18"/>
          <w:b w:val="1"/>
          <w:bCs w:val="1"/>
          <w:color w:val="auto"/>
        </w:rPr>
        <w:t>In-the-Money</w:t>
      </w:r>
      <w:r>
        <w:rPr>
          <w:rFonts w:ascii="Times New Roman" w:cs="Times New Roman" w:eastAsia="Times New Roman" w:hAnsi="Times New Roman"/>
          <w:sz w:val="18"/>
          <w:szCs w:val="18"/>
          <w:color w:val="auto"/>
        </w:rPr>
        <w:t>” means, in respect of any Component, that the Relevant Price on the Expiration Date for such Component is greater than the Strike Price for such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-1195070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3480" w:space="720"/>
            <w:col w:w="6780"/>
          </w:cols>
          <w:pgMar w:left="440" w:top="270" w:right="479" w:bottom="1440" w:gutter="0" w:footer="0" w:header="0"/>
        </w:sectPr>
      </w:pP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Valuation Time:</w:t>
      </w:r>
    </w:p>
    <w:p>
      <w:pPr>
        <w:spacing w:after="0" w:line="20" w:lineRule="exact"/>
        <w:rPr>
          <w:sz w:val="20"/>
          <w:szCs w:val="20"/>
          <w:color w:val="auto"/>
        </w:rPr>
      </w:pPr>
      <w:r>
        <w:rPr>
          <w:sz w:val="20"/>
          <w:szCs w:val="20"/>
          <w:color w:val="auto"/>
        </w:rPr>
        <w:br w:type="column"/>
      </w:r>
    </w:p>
    <w:p>
      <w:pPr>
        <w:ind w:right="340"/>
        <w:spacing w:after="0" w:line="267" w:lineRule="auto"/>
        <w:rPr>
          <w:sz w:val="20"/>
          <w:szCs w:val="20"/>
          <w:color w:val="auto"/>
        </w:rPr>
      </w:pPr>
      <w:r>
        <w:rPr>
          <w:rFonts w:ascii="Times New Roman" w:cs="Times New Roman" w:eastAsia="Times New Roman" w:hAnsi="Times New Roman"/>
          <w:sz w:val="18"/>
          <w:szCs w:val="18"/>
          <w:color w:val="auto"/>
        </w:rPr>
        <w:t xml:space="preserve">The close of trading of the regular trading session on the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principal trading session is extended, the Calculation Agent shall determine the Valuation Time in good faith and in a commercially reasonable manner.</w:t>
      </w:r>
    </w:p>
    <w:p>
      <w:pPr>
        <w:spacing w:after="0" w:line="67" w:lineRule="exact"/>
        <w:rPr>
          <w:sz w:val="20"/>
          <w:szCs w:val="20"/>
          <w:color w:val="auto"/>
        </w:rPr>
      </w:pPr>
    </w:p>
    <w:p>
      <w:pPr>
        <w:sectPr>
          <w:pgSz w:w="11900" w:h="16838" w:orient="portrait"/>
          <w:cols w:equalWidth="0" w:num="2">
            <w:col w:w="3480" w:space="720"/>
            <w:col w:w="6780"/>
          </w:cols>
          <w:pgMar w:left="440" w:top="270" w:right="47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Valuation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 any Component, the Expiration Date therefor.</w:t>
      </w:r>
    </w:p>
    <w:p>
      <w:pPr>
        <w:spacing w:after="0" w:line="129" w:lineRule="exact"/>
        <w:rPr>
          <w:sz w:val="20"/>
          <w:szCs w:val="20"/>
          <w:color w:val="auto"/>
        </w:rPr>
      </w:pPr>
    </w:p>
    <w:p>
      <w:pPr>
        <w:sectPr>
          <w:pgSz w:w="11900" w:h="16838" w:orient="portrait"/>
          <w:cols w:equalWidth="0" w:num="2">
            <w:col w:w="3480" w:space="720"/>
            <w:col w:w="6780"/>
          </w:cols>
          <w:pgMar w:left="440" w:top="270" w:right="47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Market Disruption Event:</w:t>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Section 6.3(a) of the Equity Definitions is hereby amended by deleting the words “during the one hour period that ends at the relevant Valuation Time, Latest Exercise Time, Knock-in Valuation Time or Knock-out Valuation Time, as the case may be,” in clause (ii) thereof.</w:t>
      </w:r>
    </w:p>
    <w:p>
      <w:pPr>
        <w:spacing w:after="0" w:line="81" w:lineRule="exact"/>
        <w:rPr>
          <w:sz w:val="20"/>
          <w:szCs w:val="20"/>
          <w:color w:val="auto"/>
        </w:rPr>
      </w:pPr>
    </w:p>
    <w:p>
      <w:pPr>
        <w:sectPr>
          <w:pgSz w:w="11900" w:h="16838" w:orient="portrait"/>
          <w:cols w:equalWidth="0" w:num="2">
            <w:col w:w="3480" w:space="720"/>
            <w:col w:w="6780"/>
          </w:cols>
          <w:pgMar w:left="440" w:top="270" w:right="479" w:bottom="1440" w:gutter="0" w:footer="0" w:header="0"/>
          <w:type w:val="continuous"/>
        </w:sectPr>
      </w:pPr>
    </w:p>
    <w:p>
      <w:pPr>
        <w:ind w:left="4200" w:right="180"/>
        <w:spacing w:after="0" w:line="282" w:lineRule="auto"/>
        <w:rPr>
          <w:sz w:val="20"/>
          <w:szCs w:val="20"/>
          <w:color w:val="auto"/>
        </w:rPr>
      </w:pPr>
      <w:r>
        <w:rPr>
          <w:rFonts w:ascii="Times New Roman" w:cs="Times New Roman" w:eastAsia="Times New Roman" w:hAnsi="Times New Roman"/>
          <w:sz w:val="18"/>
          <w:szCs w:val="18"/>
          <w:color w:val="auto"/>
        </w:rPr>
        <w:t>Section 6.3(d) of the Equity Definitions is hereby amended by deleting the remainder of the provision following the term “Scheduled Closing Time” in the fourth line thereof.</w:t>
      </w:r>
    </w:p>
    <w:p>
      <w:pPr>
        <w:sectPr>
          <w:pgSz w:w="11900" w:h="16838" w:orient="portrait"/>
          <w:cols w:equalWidth="0" w:num="1">
            <w:col w:w="10980"/>
          </w:cols>
          <w:pgMar w:left="440" w:top="270" w:right="47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Terms: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Settlement Method Election:</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Section 7.1 of the Equity Definitions is hereby amended by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replacing the term “Physical Settlement” with the terms “Net Share Settlement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Settlement”, (b) Counterparty must make a single irrevocable election for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Components and (c) if Counterparty is electing Cash Settlement or Combination Settlement,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Settlement Method Election will be effective only if Counterparty represents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to Dealer in writing on the date of such Settlement Method Election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Counterparty is not in possession of any material non-public information regarding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Counterparty or the Shares, and (ii) such election is being made in good faith and not as part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plan or scheme to evade compliance with the federal securities laws.</w:t>
      </w:r>
    </w:p>
    <w:p>
      <w:pPr>
        <w:spacing w:after="0" w:line="112" w:lineRule="exact"/>
        <w:rPr>
          <w:sz w:val="20"/>
          <w:szCs w:val="20"/>
          <w:color w:val="auto"/>
        </w:rPr>
      </w:pPr>
    </w:p>
    <w:p>
      <w:pPr>
        <w:sectPr>
          <w:pgSz w:w="11900" w:h="16838" w:orient="portrait"/>
          <w:cols w:equalWidth="0" w:num="2">
            <w:col w:w="3480" w:space="720"/>
            <w:col w:w="6780"/>
          </w:cols>
          <w:pgMar w:left="440" w:top="270" w:right="479" w:bottom="1440" w:gutter="0" w:footer="0" w:header="0"/>
          <w:type w:val="continuous"/>
        </w:sectPr>
      </w:pPr>
    </w:p>
    <w:p>
      <w:pPr>
        <w:ind w:left="4200" w:right="240"/>
        <w:spacing w:after="0" w:line="258" w:lineRule="auto"/>
        <w:rPr>
          <w:sz w:val="20"/>
          <w:szCs w:val="20"/>
          <w:color w:val="auto"/>
        </w:rPr>
      </w:pPr>
      <w:r>
        <w:rPr>
          <w:rFonts w:ascii="Times New Roman" w:cs="Times New Roman" w:eastAsia="Times New Roman" w:hAnsi="Times New Roman"/>
          <w:sz w:val="18"/>
          <w:szCs w:val="18"/>
          <w:color w:val="auto"/>
        </w:rPr>
        <w:t>If Counterparty is electing Combination Settlement, Counterparty shall also specify a specified dollar amount (the “</w:t>
      </w:r>
      <w:r>
        <w:rPr>
          <w:rFonts w:ascii="Times New Roman" w:cs="Times New Roman" w:eastAsia="Times New Roman" w:hAnsi="Times New Roman"/>
          <w:sz w:val="18"/>
          <w:szCs w:val="18"/>
          <w:b w:val="1"/>
          <w:bCs w:val="1"/>
          <w:color w:val="auto"/>
        </w:rPr>
        <w:t>Specified Cash Amount</w:t>
      </w:r>
      <w:r>
        <w:rPr>
          <w:rFonts w:ascii="Times New Roman" w:cs="Times New Roman" w:eastAsia="Times New Roman" w:hAnsi="Times New Roman"/>
          <w:sz w:val="18"/>
          <w:szCs w:val="18"/>
          <w:color w:val="auto"/>
        </w:rPr>
        <w:t>”), representing the maximum aggregate amount of cash that Counterparty wishes to receive in respect of all Components under the Transaction in a Combination Settlement, in the notice specifying its election of Combination Settlement.</w:t>
      </w:r>
    </w:p>
    <w:p>
      <w:pPr>
        <w:spacing w:after="0" w:line="89" w:lineRule="exact"/>
        <w:rPr>
          <w:sz w:val="20"/>
          <w:szCs w:val="20"/>
          <w:color w:val="auto"/>
        </w:rPr>
      </w:pPr>
    </w:p>
    <w:p>
      <w:pPr>
        <w:ind w:left="4200" w:right="100"/>
        <w:spacing w:after="0" w:line="261" w:lineRule="auto"/>
        <w:rPr>
          <w:sz w:val="20"/>
          <w:szCs w:val="20"/>
          <w:color w:val="auto"/>
        </w:rPr>
      </w:pPr>
      <w:r>
        <w:rPr>
          <w:rFonts w:ascii="Times New Roman" w:cs="Times New Roman" w:eastAsia="Times New Roman" w:hAnsi="Times New Roman"/>
          <w:sz w:val="18"/>
          <w:szCs w:val="18"/>
          <w:color w:val="auto"/>
        </w:rPr>
        <w:t>Without limiting the generality of the foregoing, Counterparty acknowledges its responsibilities under applicable securities laws, and in particular Sections 9 and 10(b)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and regulations promulgated thereunder in respect of such election.</w:t>
      </w:r>
    </w:p>
    <w:p>
      <w:pPr>
        <w:sectPr>
          <w:pgSz w:w="11900" w:h="16838" w:orient="portrait"/>
          <w:cols w:equalWidth="0" w:num="1">
            <w:col w:w="10980"/>
          </w:cols>
          <w:pgMar w:left="440" w:top="270" w:right="479" w:bottom="1440" w:gutter="0" w:footer="0" w:header="0"/>
          <w:type w:val="continuous"/>
        </w:sectPr>
      </w:pPr>
    </w:p>
    <w:p>
      <w:pPr>
        <w:spacing w:after="0" w:line="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Electing Party:</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Counterparty</w:t>
      </w:r>
    </w:p>
    <w:p>
      <w:pPr>
        <w:spacing w:after="0" w:line="128" w:lineRule="exact"/>
        <w:rPr>
          <w:sz w:val="20"/>
          <w:szCs w:val="20"/>
          <w:color w:val="auto"/>
        </w:rPr>
      </w:pPr>
    </w:p>
    <w:p>
      <w:pPr>
        <w:sectPr>
          <w:pgSz w:w="11900" w:h="16838" w:orient="portrait"/>
          <w:cols w:equalWidth="0" w:num="2">
            <w:col w:w="3480" w:space="720"/>
            <w:col w:w="6780"/>
          </w:cols>
          <w:pgMar w:left="440" w:top="270" w:right="47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Settlement Method Election Date:</w:t>
      </w:r>
    </w:p>
    <w:p>
      <w:pPr>
        <w:spacing w:after="0" w:line="20" w:lineRule="exact"/>
        <w:rPr>
          <w:sz w:val="20"/>
          <w:szCs w:val="20"/>
          <w:color w:val="auto"/>
        </w:rPr>
      </w:pPr>
      <w:r>
        <w:rPr>
          <w:sz w:val="20"/>
          <w:szCs w:val="20"/>
          <w:color w:val="auto"/>
        </w:rPr>
        <w:br w:type="column"/>
      </w:r>
    </w:p>
    <w:p>
      <w:pPr>
        <w:ind w:right="200"/>
        <w:spacing w:after="0" w:line="282" w:lineRule="auto"/>
        <w:rPr>
          <w:sz w:val="20"/>
          <w:szCs w:val="20"/>
          <w:color w:val="auto"/>
        </w:rPr>
      </w:pPr>
      <w:r>
        <w:rPr>
          <w:rFonts w:ascii="Times New Roman" w:cs="Times New Roman" w:eastAsia="Times New Roman" w:hAnsi="Times New Roman"/>
          <w:sz w:val="18"/>
          <w:szCs w:val="18"/>
          <w:color w:val="auto"/>
        </w:rPr>
        <w:t>The second Scheduled Valid Day prior to the scheduled Expiration Date for the Component with the earliest scheduled Expiration Date.</w:t>
      </w:r>
    </w:p>
    <w:p>
      <w:pPr>
        <w:spacing w:after="0" w:line="94" w:lineRule="exact"/>
        <w:rPr>
          <w:sz w:val="20"/>
          <w:szCs w:val="20"/>
          <w:color w:val="auto"/>
        </w:rPr>
      </w:pPr>
    </w:p>
    <w:p>
      <w:pPr>
        <w:sectPr>
          <w:pgSz w:w="11900" w:h="16838" w:orient="portrait"/>
          <w:cols w:equalWidth="0" w:num="2">
            <w:col w:w="3480" w:space="720"/>
            <w:col w:w="6780"/>
          </w:cols>
          <w:pgMar w:left="440" w:top="270" w:right="4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980"/>
          </w:cols>
          <w:pgMar w:left="440" w:top="270" w:right="47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color w:val="auto"/>
        </w:rPr>
        <w:t>Default Settlement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Net Share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-206375</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3120" w:space="720"/>
            <w:col w:w="6800"/>
          </w:cols>
          <w:pgMar w:left="800" w:top="270"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Net Share Settlement:</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18"/>
          <w:szCs w:val="18"/>
          <w:color w:val="auto"/>
        </w:rPr>
        <w:t>With respect to any Component, if Net Share Settlement is applicable to the Options exercised or deemed exercised hereunder, Dealer will deliver to Counterparty, on the Settlement Date, a number of Shares (the “</w:t>
      </w:r>
      <w:r>
        <w:rPr>
          <w:rFonts w:ascii="Times New Roman" w:cs="Times New Roman" w:eastAsia="Times New Roman" w:hAnsi="Times New Roman"/>
          <w:sz w:val="18"/>
          <w:szCs w:val="18"/>
          <w:b w:val="1"/>
          <w:bCs w:val="1"/>
          <w:color w:val="auto"/>
        </w:rPr>
        <w:t>Net Share Settlement Amount</w:t>
      </w:r>
      <w:r>
        <w:rPr>
          <w:rFonts w:ascii="Times New Roman" w:cs="Times New Roman" w:eastAsia="Times New Roman" w:hAnsi="Times New Roman"/>
          <w:sz w:val="18"/>
          <w:szCs w:val="18"/>
          <w:color w:val="auto"/>
        </w:rPr>
        <w:t xml:space="preserve">”) equal to (i) the Daily Option Value on the Expiration Date of such Component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Relevant Price on such Expiration Date.</w:t>
      </w:r>
    </w:p>
    <w:p>
      <w:pPr>
        <w:spacing w:after="0" w:line="89" w:lineRule="exact"/>
        <w:rPr>
          <w:sz w:val="20"/>
          <w:szCs w:val="20"/>
          <w:color w:val="auto"/>
        </w:rPr>
      </w:pPr>
    </w:p>
    <w:p>
      <w:pPr>
        <w:sectPr>
          <w:pgSz w:w="11900" w:h="16838" w:orient="portrait"/>
          <w:cols w:equalWidth="0" w:num="2">
            <w:col w:w="3120" w:space="720"/>
            <w:col w:w="6800"/>
          </w:cols>
          <w:pgMar w:left="800" w:top="270" w:right="459" w:bottom="1440" w:gutter="0" w:footer="0" w:header="0"/>
          <w:type w:val="continuous"/>
        </w:sectPr>
      </w:pPr>
    </w:p>
    <w:p>
      <w:pPr>
        <w:ind w:left="3840"/>
        <w:spacing w:after="0" w:line="266" w:lineRule="auto"/>
        <w:rPr>
          <w:sz w:val="20"/>
          <w:szCs w:val="20"/>
          <w:color w:val="auto"/>
        </w:rPr>
      </w:pPr>
      <w:r>
        <w:rPr>
          <w:rFonts w:ascii="Times New Roman" w:cs="Times New Roman" w:eastAsia="Times New Roman" w:hAnsi="Times New Roman"/>
          <w:sz w:val="18"/>
          <w:szCs w:val="18"/>
          <w:color w:val="auto"/>
        </w:rPr>
        <w:t>Dealer will deliver cash in lieu of any fractional Shares to be delivered with respect to any Net Share Settlement Amount valued at the Relevant Price for the Expiration Date of such Component.</w:t>
      </w:r>
    </w:p>
    <w:p>
      <w:pPr>
        <w:sectPr>
          <w:pgSz w:w="11900" w:h="16838" w:orient="portrait"/>
          <w:cols w:equalWidth="0" w:num="1">
            <w:col w:w="10640"/>
          </w:cols>
          <w:pgMar w:left="800" w:top="270" w:right="45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Settlement: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With respect to any Component, if Cash Settlement is applicable to the Options exercised or deemed exercised hereunder, in lieu of Section 8.1 of the Equity Definitions, Dealer will pay to Counterparty on the Settlement Date, an amount of cash (the “</w:t>
      </w:r>
      <w:r>
        <w:rPr>
          <w:rFonts w:ascii="Times New Roman" w:cs="Times New Roman" w:eastAsia="Times New Roman" w:hAnsi="Times New Roman"/>
          <w:sz w:val="18"/>
          <w:szCs w:val="18"/>
          <w:b w:val="1"/>
          <w:bCs w:val="1"/>
          <w:color w:val="auto"/>
        </w:rPr>
        <w:t>Cash Settlement Amount</w:t>
      </w:r>
      <w:r>
        <w:rPr>
          <w:rFonts w:ascii="Times New Roman" w:cs="Times New Roman" w:eastAsia="Times New Roman" w:hAnsi="Times New Roman"/>
          <w:sz w:val="18"/>
          <w:szCs w:val="18"/>
          <w:color w:val="auto"/>
        </w:rPr>
        <w:t>”) equal to the Daily Option Value on the Expiration Date of such Component.</w:t>
      </w:r>
    </w:p>
    <w:p>
      <w:pPr>
        <w:spacing w:after="0" w:line="72" w:lineRule="exact"/>
        <w:rPr>
          <w:sz w:val="20"/>
          <w:szCs w:val="20"/>
          <w:color w:val="auto"/>
        </w:rPr>
      </w:pPr>
    </w:p>
    <w:p>
      <w:pPr>
        <w:sectPr>
          <w:pgSz w:w="11900" w:h="16838" w:orient="portrait"/>
          <w:cols w:equalWidth="0" w:num="2">
            <w:col w:w="3120" w:space="720"/>
            <w:col w:w="6800"/>
          </w:cols>
          <w:pgMar w:left="80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Combination Settlement:</w:t>
      </w:r>
    </w:p>
    <w:p>
      <w:pPr>
        <w:spacing w:after="0" w:line="20" w:lineRule="exact"/>
        <w:rPr>
          <w:sz w:val="20"/>
          <w:szCs w:val="20"/>
          <w:color w:val="auto"/>
        </w:rPr>
      </w:pPr>
      <w:r>
        <w:rPr>
          <w:sz w:val="20"/>
          <w:szCs w:val="20"/>
          <w:color w:val="auto"/>
        </w:rPr>
        <w:br w:type="column"/>
      </w:r>
    </w:p>
    <w:p>
      <w:pPr>
        <w:ind w:right="260"/>
        <w:spacing w:after="0" w:line="266" w:lineRule="auto"/>
        <w:rPr>
          <w:sz w:val="20"/>
          <w:szCs w:val="20"/>
          <w:color w:val="auto"/>
        </w:rPr>
      </w:pPr>
      <w:r>
        <w:rPr>
          <w:rFonts w:ascii="Times New Roman" w:cs="Times New Roman" w:eastAsia="Times New Roman" w:hAnsi="Times New Roman"/>
          <w:sz w:val="18"/>
          <w:szCs w:val="18"/>
          <w:color w:val="auto"/>
        </w:rPr>
        <w:t>With respect to any Component, if Combination Settlement is applicable to the Options exercised or deemed exercised hereunder, Dealer will pay or deliver, as the case may be, to Counterparty on the Settlement Date:</w:t>
      </w:r>
    </w:p>
    <w:p>
      <w:pPr>
        <w:spacing w:after="0" w:line="79" w:lineRule="exact"/>
        <w:rPr>
          <w:sz w:val="20"/>
          <w:szCs w:val="20"/>
          <w:color w:val="auto"/>
        </w:rPr>
      </w:pPr>
    </w:p>
    <w:p>
      <w:pPr>
        <w:sectPr>
          <w:pgSz w:w="11900" w:h="16838" w:orient="portrait"/>
          <w:cols w:equalWidth="0" w:num="2">
            <w:col w:w="3120" w:space="720"/>
            <w:col w:w="6800"/>
          </w:cols>
          <w:pgMar w:left="800" w:top="270" w:right="459" w:bottom="1440" w:gutter="0" w:footer="0" w:header="0"/>
          <w:type w:val="continuous"/>
        </w:sectPr>
      </w:pPr>
    </w:p>
    <w:p>
      <w:pPr>
        <w:ind w:left="3840" w:right="100"/>
        <w:spacing w:after="0" w:line="267" w:lineRule="auto"/>
        <w:rPr>
          <w:sz w:val="20"/>
          <w:szCs w:val="20"/>
          <w:color w:val="auto"/>
        </w:rPr>
      </w:pPr>
      <w:r>
        <w:rPr>
          <w:rFonts w:ascii="Times New Roman" w:cs="Times New Roman" w:eastAsia="Times New Roman" w:hAnsi="Times New Roman"/>
          <w:sz w:val="18"/>
          <w:szCs w:val="18"/>
          <w:color w:val="auto"/>
        </w:rPr>
        <w:t xml:space="preserve">(i) an amount of cash equal to the lesser of (A) the Specified Cash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Components for the Transaction and (B) the Daily Option Value on the Expiration Date of such Component; and</w:t>
      </w:r>
    </w:p>
    <w:p>
      <w:pPr>
        <w:spacing w:after="0" w:line="77" w:lineRule="exact"/>
        <w:rPr>
          <w:sz w:val="20"/>
          <w:szCs w:val="20"/>
          <w:color w:val="auto"/>
        </w:rPr>
      </w:pPr>
    </w:p>
    <w:p>
      <w:pPr>
        <w:ind w:left="3840" w:right="40"/>
        <w:spacing w:after="0" w:line="257" w:lineRule="auto"/>
        <w:rPr>
          <w:sz w:val="20"/>
          <w:szCs w:val="20"/>
          <w:color w:val="auto"/>
        </w:rPr>
      </w:pPr>
      <w:r>
        <w:rPr>
          <w:rFonts w:ascii="Times New Roman" w:cs="Times New Roman" w:eastAsia="Times New Roman" w:hAnsi="Times New Roman"/>
          <w:sz w:val="18"/>
          <w:szCs w:val="18"/>
          <w:color w:val="auto"/>
        </w:rPr>
        <w:t>(ii) a number of Shares (the “</w:t>
      </w:r>
      <w:r>
        <w:rPr>
          <w:rFonts w:ascii="Times New Roman" w:cs="Times New Roman" w:eastAsia="Times New Roman" w:hAnsi="Times New Roman"/>
          <w:sz w:val="18"/>
          <w:szCs w:val="18"/>
          <w:b w:val="1"/>
          <w:bCs w:val="1"/>
          <w:color w:val="auto"/>
        </w:rPr>
        <w:t>Combination Settlement Share Amount</w:t>
      </w:r>
      <w:r>
        <w:rPr>
          <w:rFonts w:ascii="Times New Roman" w:cs="Times New Roman" w:eastAsia="Times New Roman" w:hAnsi="Times New Roman"/>
          <w:sz w:val="18"/>
          <w:szCs w:val="18"/>
          <w:color w:val="auto"/>
        </w:rPr>
        <w:t xml:space="preserve">”) equal to (A) the excess of (1) the Daily Option Value on the Expiration Date of such Component over (2) the Specified Cash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Components for the Transaction,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Relevant Price on such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in sub-clause (A) above results in zero or a negative number for any Expiration Date, the Combination Settlement Share Amount for such Expiration Date shall be deemed to be zero.</w:t>
      </w:r>
    </w:p>
    <w:p>
      <w:pPr>
        <w:spacing w:after="0" w:line="92" w:lineRule="exact"/>
        <w:rPr>
          <w:sz w:val="20"/>
          <w:szCs w:val="20"/>
          <w:color w:val="auto"/>
        </w:rPr>
      </w:pPr>
    </w:p>
    <w:p>
      <w:pPr>
        <w:ind w:left="3840"/>
        <w:spacing w:after="0" w:line="266" w:lineRule="auto"/>
        <w:rPr>
          <w:sz w:val="20"/>
          <w:szCs w:val="20"/>
          <w:color w:val="auto"/>
        </w:rPr>
      </w:pPr>
      <w:r>
        <w:rPr>
          <w:rFonts w:ascii="Times New Roman" w:cs="Times New Roman" w:eastAsia="Times New Roman" w:hAnsi="Times New Roman"/>
          <w:sz w:val="18"/>
          <w:szCs w:val="18"/>
          <w:color w:val="auto"/>
        </w:rPr>
        <w:t>Dealer will deliver cash in lieu of any fractional Shares to be delivered with respect to any Combination Settlement Share Amount valued at the Relevant Price for the Expiration Date of such Component.</w:t>
      </w:r>
    </w:p>
    <w:p>
      <w:pPr>
        <w:sectPr>
          <w:pgSz w:w="11900" w:h="16838" w:orient="portrait"/>
          <w:cols w:equalWidth="0" w:num="1">
            <w:col w:w="10640"/>
          </w:cols>
          <w:pgMar w:left="800" w:top="270" w:right="45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Daily Option Value: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For any Component, an amount equal to (i) the Number of Options in such Component,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(ii) the Option Entitlement,</w:t>
      </w:r>
      <w:r>
        <w:rPr>
          <w:rFonts w:ascii="Times New Roman" w:cs="Times New Roman" w:eastAsia="Times New Roman" w:hAnsi="Times New Roman"/>
          <w:sz w:val="18"/>
          <w:szCs w:val="18"/>
          <w:i w:val="1"/>
          <w:iCs w:val="1"/>
          <w:color w:val="auto"/>
        </w:rPr>
        <w:t xml:space="preserve"> multiplied by </w:t>
      </w:r>
      <w:r>
        <w:rPr>
          <w:rFonts w:ascii="Times New Roman" w:cs="Times New Roman" w:eastAsia="Times New Roman" w:hAnsi="Times New Roman"/>
          <w:sz w:val="18"/>
          <w:szCs w:val="18"/>
          <w:color w:val="auto"/>
        </w:rPr>
        <w:t>(iii) (A) the lesser of the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Price on the Expiration Date of such Component and the Cap Price,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Strike Price on such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contained in clause (iii) above results in a negative number, the Daily Option Value for such Component shall be deemed to be zero. In no event will the Daily Option Value be less than zero.</w:t>
      </w:r>
    </w:p>
    <w:p>
      <w:pPr>
        <w:spacing w:after="0" w:line="79" w:lineRule="exact"/>
        <w:rPr>
          <w:sz w:val="20"/>
          <w:szCs w:val="20"/>
          <w:color w:val="auto"/>
        </w:rPr>
      </w:pPr>
    </w:p>
    <w:p>
      <w:pPr>
        <w:sectPr>
          <w:pgSz w:w="11900" w:h="16838" w:orient="portrait"/>
          <w:cols w:equalWidth="0" w:num="2">
            <w:col w:w="3120" w:space="720"/>
            <w:col w:w="6800"/>
          </w:cols>
          <w:pgMar w:left="80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Valid Day:</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A day on which (i) there is no Market Disruption Event and (ii) trading in the Shares generally occurs on the Exchange. If the Shares are not listed, quoted or traded on any U.S. securities exchange or any other market, “</w:t>
      </w:r>
      <w:r>
        <w:rPr>
          <w:rFonts w:ascii="Times New Roman" w:cs="Times New Roman" w:eastAsia="Times New Roman" w:hAnsi="Times New Roman"/>
          <w:sz w:val="18"/>
          <w:szCs w:val="18"/>
          <w:b w:val="1"/>
          <w:bCs w:val="1"/>
          <w:color w:val="auto"/>
        </w:rPr>
        <w:t>Valid Day</w:t>
      </w:r>
      <w:r>
        <w:rPr>
          <w:rFonts w:ascii="Times New Roman" w:cs="Times New Roman" w:eastAsia="Times New Roman" w:hAnsi="Times New Roman"/>
          <w:sz w:val="18"/>
          <w:szCs w:val="18"/>
          <w:color w:val="auto"/>
        </w:rPr>
        <w:t>” means a Business Day.</w:t>
      </w:r>
    </w:p>
    <w:p>
      <w:pPr>
        <w:spacing w:after="0" w:line="108" w:lineRule="exact"/>
        <w:rPr>
          <w:sz w:val="20"/>
          <w:szCs w:val="20"/>
          <w:color w:val="auto"/>
        </w:rPr>
      </w:pPr>
    </w:p>
    <w:p>
      <w:pPr>
        <w:sectPr>
          <w:pgSz w:w="11900" w:h="16838" w:orient="portrait"/>
          <w:cols w:equalWidth="0" w:num="2">
            <w:col w:w="3120" w:space="720"/>
            <w:col w:w="6800"/>
          </w:cols>
          <w:pgMar w:left="800" w:top="270" w:right="459" w:bottom="1440" w:gutter="0" w:footer="0" w:header="0"/>
          <w:type w:val="continuous"/>
        </w:sectPr>
      </w:pPr>
    </w:p>
    <w:p>
      <w:pPr>
        <w:jc w:val="center"/>
        <w:ind w:right="36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640"/>
          </w:cols>
          <w:pgMar w:left="800" w:top="270" w:right="459" w:bottom="1440" w:gutter="0" w:footer="0" w:header="0"/>
          <w:type w:val="continuous"/>
        </w:sectPr>
      </w:pPr>
    </w:p>
    <w:bookmarkStart w:id="146" w:name="page147"/>
    <w:bookmarkEnd w:id="146"/>
    <w:p>
      <w:pPr>
        <w:ind w:left="360"/>
        <w:spacing w:after="0"/>
        <w:rPr>
          <w:sz w:val="20"/>
          <w:szCs w:val="20"/>
          <w:color w:val="auto"/>
        </w:rPr>
      </w:pPr>
      <w:r>
        <w:rPr>
          <w:rFonts w:ascii="Times New Roman" w:cs="Times New Roman" w:eastAsia="Times New Roman" w:hAnsi="Times New Roman"/>
          <w:sz w:val="17"/>
          <w:szCs w:val="17"/>
          <w:color w:val="auto"/>
        </w:rPr>
        <w:t>Scheduled Valid Day:</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day that is scheduled to be a Valid Day on the Exchange. If the Shares are not listed, quoted or traded on any U.S. securities exchange or any other market, “</w:t>
      </w:r>
      <w:r>
        <w:rPr>
          <w:rFonts w:ascii="Times New Roman" w:cs="Times New Roman" w:eastAsia="Times New Roman" w:hAnsi="Times New Roman"/>
          <w:sz w:val="18"/>
          <w:szCs w:val="18"/>
          <w:b w:val="1"/>
          <w:bCs w:val="1"/>
          <w:color w:val="auto"/>
        </w:rPr>
        <w:t>Scheduled Valid Day</w:t>
      </w:r>
      <w:r>
        <w:rPr>
          <w:rFonts w:ascii="Times New Roman" w:cs="Times New Roman" w:eastAsia="Times New Roman" w:hAnsi="Times New Roman"/>
          <w:sz w:val="18"/>
          <w:szCs w:val="18"/>
          <w:color w:val="auto"/>
        </w:rPr>
        <w:t>” means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-518795</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3480" w:space="720"/>
            <w:col w:w="6800"/>
          </w:cols>
          <w:pgMar w:left="440" w:top="270" w:right="459" w:bottom="1440" w:gutter="0" w:footer="0" w:header="0"/>
        </w:sectPr>
      </w:pPr>
    </w:p>
    <w:p>
      <w:pPr>
        <w:ind w:left="360"/>
        <w:spacing w:after="0"/>
        <w:rPr>
          <w:sz w:val="20"/>
          <w:szCs w:val="20"/>
          <w:color w:val="auto"/>
        </w:rPr>
      </w:pPr>
      <w:r>
        <w:rPr>
          <w:rFonts w:ascii="Times New Roman" w:cs="Times New Roman" w:eastAsia="Times New Roman" w:hAnsi="Times New Roman"/>
          <w:sz w:val="18"/>
          <w:szCs w:val="18"/>
          <w:color w:val="auto"/>
        </w:rPr>
        <w:t>Business Day:</w:t>
      </w:r>
    </w:p>
    <w:p>
      <w:pPr>
        <w:spacing w:after="0" w:line="20" w:lineRule="exact"/>
        <w:rPr>
          <w:sz w:val="20"/>
          <w:szCs w:val="20"/>
          <w:color w:val="auto"/>
        </w:rPr>
      </w:pPr>
      <w:r>
        <w:rPr>
          <w:sz w:val="20"/>
          <w:szCs w:val="20"/>
          <w:color w:val="auto"/>
        </w:rPr>
        <w:br w:type="column"/>
      </w:r>
    </w:p>
    <w:p>
      <w:pPr>
        <w:ind w:right="140"/>
        <w:spacing w:after="0" w:line="266" w:lineRule="auto"/>
        <w:rPr>
          <w:sz w:val="20"/>
          <w:szCs w:val="20"/>
          <w:color w:val="auto"/>
        </w:rPr>
      </w:pPr>
      <w:r>
        <w:rPr>
          <w:rFonts w:ascii="Times New Roman" w:cs="Times New Roman" w:eastAsia="Times New Roman" w:hAnsi="Times New Roman"/>
          <w:sz w:val="18"/>
          <w:szCs w:val="18"/>
          <w:color w:val="auto"/>
        </w:rPr>
        <w:t>Any day other than a Saturday, a Sunday or other day on which banking institutions are authorized or required by law, regulation or executive order to close or be closed in the State of New York.</w:t>
      </w:r>
    </w:p>
    <w:p>
      <w:pPr>
        <w:spacing w:after="0" w:line="68"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Relevant Price:</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8"/>
          <w:szCs w:val="18"/>
          <w:color w:val="auto"/>
        </w:rPr>
        <w:t>On any Valid Day, the per Share volume-weighted average price as displayed under the heading “Bloomberg VWAP” on Bloomberg page “TEM &lt;equity&gt; AQR” (or its equivalent successor if such page is not available) (the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in respect of the period from the scheduled open of trading until the scheduled close of trading of the primary trading session on such Valid Day (or if such volume-weighted average price is unavailable at such time, the market value of one Share on such Valid Day, as determined by the Calculation Agent in good faith and in a commercially reasonable manner using, if practicable, a volume-weighted average method substantially similar to the method for determining the VWAP). The Relevant Price will be determined without regard to after-hours trading or any other trading outside of the regular trading session trading hours.</w:t>
      </w:r>
    </w:p>
    <w:p>
      <w:pPr>
        <w:spacing w:after="0" w:line="86"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ind w:right="360"/>
        <w:spacing w:after="0" w:line="312" w:lineRule="auto"/>
        <w:rPr>
          <w:sz w:val="20"/>
          <w:szCs w:val="20"/>
          <w:color w:val="auto"/>
        </w:rPr>
      </w:pPr>
      <w:r>
        <w:rPr>
          <w:rFonts w:ascii="Times New Roman" w:cs="Times New Roman" w:eastAsia="Times New Roman" w:hAnsi="Times New Roman"/>
          <w:sz w:val="17"/>
          <w:szCs w:val="17"/>
          <w:color w:val="auto"/>
        </w:rPr>
        <w:t>For all Components of the Transaction, the date that is one Settlement Cycle immediately following the Expiration Date for the Component with the latest Expiration Date.</w:t>
      </w:r>
    </w:p>
    <w:p>
      <w:pPr>
        <w:spacing w:after="0" w:line="32"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Settlement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USD</w:t>
      </w:r>
    </w:p>
    <w:p>
      <w:pPr>
        <w:spacing w:after="0" w:line="117"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jc w:val="both"/>
        <w:ind w:right="340"/>
        <w:spacing w:after="0" w:line="289" w:lineRule="auto"/>
        <w:rPr>
          <w:sz w:val="20"/>
          <w:szCs w:val="20"/>
          <w:color w:val="auto"/>
        </w:rPr>
      </w:pPr>
      <w:r>
        <w:rPr>
          <w:rFonts w:ascii="Times New Roman" w:cs="Times New Roman" w:eastAsia="Times New Roman" w:hAnsi="Times New Roman"/>
          <w:sz w:val="17"/>
          <w:szCs w:val="17"/>
          <w:color w:val="auto"/>
        </w:rPr>
        <w:t>The provisions of Sections 9.1(c), 9.8, 9.9, 9.11 and 9.12 of the Equity Definitions will be applicable, except that any references in such provisions to “Physical Settlement” shall be read as references to “Net Share Settlement or Combination Settlement, as applicable”.</w:t>
      </w:r>
    </w:p>
    <w:p>
      <w:pPr>
        <w:spacing w:after="0" w:line="50"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Representation and Agreement:</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in the Equity Definitions (including, but not limited to, Section 9.11 thereof), the parties acknowledge that (i) any Shares delivered to Counterparty shall be, upon delivery, subject to restrictions, obligations and limitations arising from Counterparty’s status as issuer of the Shares under applicable securities laws, (ii) Dealer may deliver any Shares required to be delivered hereunder in certificated form in lieu of delivery through the Clearance System and (iii) any Shares delivered to Counterparty may be “restricted securities” (as defined in Rule 144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Adjustments: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Method of Adjustment: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 xml:space="preserve">Calculation Agent Adjustment;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parties agree that (x) open market Share repurchases at prevailing market prices, (y) Share repurchases through a dealer pursuant to accelerated share repurchases, forward contracts or similar transactions that are entered into at prevailing market prices (including, without limitation, any discount to average VWAP prices) and in accordance with customary market terms for transactions of such type to repurchase the Shares and (z) any reacquisition of Shares pursuant to Counterparty’s employee incentive</w:t>
      </w:r>
    </w:p>
    <w:p>
      <w:pPr>
        <w:spacing w:after="0" w:line="103"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000"/>
          </w:cols>
          <w:pgMar w:left="440" w:top="270" w:right="459" w:bottom="1440" w:gutter="0" w:footer="0" w:header="0"/>
          <w:type w:val="continuous"/>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Extraordinary Events: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New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Consequences of Merger Events: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 Share-for-Share:</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    Share-for-Other:</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    Share-for-Combined:</w:t>
      </w:r>
    </w:p>
    <w:p>
      <w:pPr>
        <w:spacing w:after="0" w:line="3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Tender Offer: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Consequences of Tender Offers: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 Share-for-Share:</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    Share-for-Other:</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    Share-for-Combined:</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Consequences of Announcement Events:</w:t>
      </w:r>
    </w:p>
    <w:p>
      <w:pPr>
        <w:spacing w:after="0" w:line="20" w:lineRule="exact"/>
        <w:rPr>
          <w:sz w:val="20"/>
          <w:szCs w:val="20"/>
          <w:color w:val="auto"/>
        </w:rPr>
      </w:pPr>
      <w:r>
        <w:rPr>
          <w:sz w:val="20"/>
          <w:szCs w:val="20"/>
          <w:color w:val="auto"/>
        </w:rPr>
        <w:br w:type="column"/>
      </w:r>
    </w:p>
    <w:p>
      <w:pPr>
        <w:ind w:left="6"/>
        <w:spacing w:after="0" w:line="255" w:lineRule="auto"/>
        <w:rPr>
          <w:sz w:val="20"/>
          <w:szCs w:val="20"/>
          <w:color w:val="auto"/>
        </w:rPr>
      </w:pPr>
      <w:r>
        <w:rPr>
          <w:rFonts w:ascii="Times New Roman" w:cs="Times New Roman" w:eastAsia="Times New Roman" w:hAnsi="Times New Roman"/>
          <w:sz w:val="18"/>
          <w:szCs w:val="18"/>
          <w:color w:val="auto"/>
        </w:rPr>
        <w:t>plans in connection with the related equity transactions, or Counterparty’s withholding of Shares to cover tax liabilities associated with such equity transactions, shall not be considered Potential Adjustment Events so long as, in the case of each of clause (x) and clause (y), such repurchases would not reduce the number of total Shares outstanding to be less than [ ] Shares, as determined by the Calculation Agent in a commercially reasonable manner and as adjusted by the Calculation Agent in a commercially reasonable manner to account for any subdivision or combination with respect to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-2746375</wp:posOffset>
            </wp:positionH>
            <wp:positionV relativeFrom="paragraph">
              <wp:posOffset>-1059815</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In the definition of New Shares in Section 12.1(i) of the Equity Definitions, the text in clause</w:t>
      </w:r>
    </w:p>
    <w:p>
      <w:pPr>
        <w:spacing w:after="0" w:line="27" w:lineRule="exact"/>
        <w:rPr>
          <w:sz w:val="20"/>
          <w:szCs w:val="20"/>
          <w:color w:val="auto"/>
        </w:rPr>
      </w:pPr>
    </w:p>
    <w:p>
      <w:pPr>
        <w:jc w:val="both"/>
        <w:ind w:left="6" w:right="80" w:hanging="6"/>
        <w:spacing w:after="0" w:line="253" w:lineRule="auto"/>
        <w:tabs>
          <w:tab w:leader="none" w:pos="22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shall be deleted in its entirety and replaced with “publicly quoted, traded or listed on any of The New York Stock Exchange, The Nasdaq Global Market or The Nasdaq Global Select Market (or their respective successors) and of an entity or person organized under the laws of the United States, any State thereof or the District of Columbia”.</w:t>
      </w:r>
    </w:p>
    <w:p>
      <w:pPr>
        <w:spacing w:after="0" w:line="200" w:lineRule="exact"/>
        <w:rPr>
          <w:sz w:val="20"/>
          <w:szCs w:val="20"/>
          <w:color w:val="auto"/>
        </w:rPr>
      </w:pPr>
    </w:p>
    <w:p>
      <w:pPr>
        <w:spacing w:after="0" w:line="20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Modified Calculation Agent Adjustment</w:t>
      </w:r>
    </w:p>
    <w:p>
      <w:pPr>
        <w:spacing w:after="0" w:line="11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Cancellation and Payment (Calculation Agent Determination)</w:t>
      </w:r>
    </w:p>
    <w:p>
      <w:pPr>
        <w:spacing w:after="0" w:line="115" w:lineRule="exact"/>
        <w:rPr>
          <w:sz w:val="20"/>
          <w:szCs w:val="20"/>
          <w:color w:val="auto"/>
        </w:rPr>
      </w:pPr>
    </w:p>
    <w:p>
      <w:pPr>
        <w:ind w:left="6" w:right="140"/>
        <w:spacing w:after="0" w:line="284" w:lineRule="auto"/>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Calculation Agent may elect Component Adjustment for all or part of the Transaction</w:t>
      </w:r>
    </w:p>
    <w:p>
      <w:pPr>
        <w:spacing w:after="0" w:line="50" w:lineRule="exact"/>
        <w:rPr>
          <w:sz w:val="20"/>
          <w:szCs w:val="20"/>
          <w:color w:val="auto"/>
        </w:rPr>
      </w:pPr>
    </w:p>
    <w:p>
      <w:pPr>
        <w:jc w:val="both"/>
        <w:ind w:left="6" w:right="20"/>
        <w:spacing w:after="0" w:line="261"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definition of “Tender Offer” in Section 12.1(d) of the Equity Definitions will be amended by replacing “10%” with “20%” and (y) each of Section 12.1(d), Section 12.1(e) and Section 12.(l) of the Equity Definitions will be amended by replacing the references therein to “voting shares” with “Shares”.</w:t>
      </w:r>
    </w:p>
    <w:p>
      <w:pPr>
        <w:spacing w:after="0" w:line="39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Modified Calculation Agent Adjustment</w:t>
      </w:r>
    </w:p>
    <w:p>
      <w:pPr>
        <w:spacing w:after="0" w:line="11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Modified Calculation Agent Adjustment</w:t>
      </w:r>
    </w:p>
    <w:p>
      <w:pPr>
        <w:spacing w:after="0" w:line="11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Modified Calculation Agent Adjustment</w:t>
      </w:r>
    </w:p>
    <w:p>
      <w:pPr>
        <w:spacing w:after="0" w:line="117" w:lineRule="exact"/>
        <w:rPr>
          <w:sz w:val="20"/>
          <w:szCs w:val="20"/>
          <w:color w:val="auto"/>
        </w:rPr>
      </w:pPr>
    </w:p>
    <w:p>
      <w:pPr>
        <w:ind w:left="6" w:right="40"/>
        <w:spacing w:after="0" w:line="254" w:lineRule="auto"/>
        <w:rPr>
          <w:sz w:val="20"/>
          <w:szCs w:val="20"/>
          <w:color w:val="auto"/>
        </w:rPr>
      </w:pPr>
      <w:r>
        <w:rPr>
          <w:rFonts w:ascii="Times New Roman" w:cs="Times New Roman" w:eastAsia="Times New Roman" w:hAnsi="Times New Roman"/>
          <w:sz w:val="18"/>
          <w:szCs w:val="18"/>
          <w:color w:val="auto"/>
        </w:rPr>
        <w:t xml:space="preserve">Modified Calculation Agent Adjustment as set forth in Section 12.3(d) of the Equity Definitions;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respect of an Announcement Event, (x) references to “Tender Offer” shall be replaced by references to “Announcement Event” and references to “Tender Offer Date” shall be replaced by references to “date of such Announcement Event”, (y) the phrase “exercise, settlement, payment or any other terms of the Transaction (including, without limitation, the spread)” shall be replaced with the phrase “Cap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 and the words “whether within a commercially reasonable (as determined by</w:t>
      </w:r>
    </w:p>
    <w:p>
      <w:pPr>
        <w:spacing w:after="0" w:line="124" w:lineRule="exact"/>
        <w:rPr>
          <w:sz w:val="20"/>
          <w:szCs w:val="20"/>
          <w:color w:val="auto"/>
        </w:rPr>
      </w:pPr>
    </w:p>
    <w:p>
      <w:pPr>
        <w:ind w:left="126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2">
            <w:col w:w="3474" w:space="720"/>
            <w:col w:w="6766"/>
          </w:cols>
          <w:pgMar w:left="440" w:top="270" w:right="499" w:bottom="1440" w:gutter="0" w:footer="0" w:header="0"/>
        </w:sectPr>
      </w:pPr>
    </w:p>
    <w:bookmarkStart w:id="148" w:name="page149"/>
    <w:bookmarkEnd w:id="148"/>
    <w:p>
      <w:pPr>
        <w:ind w:left="3840"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Calculation Agent) period of time prior to or after the Announcement Event,” shall be inserted prior to the word “which” in the seventh line thereof, and (z) for the avoidance of doubt, the Calculation Agent shall, in good faith and a commercially reasonable manner, determine whether the relevant Announcement Event has had a material economic effect on the Transaction and, if so, shall adjust the Cap Price accordingly to take into account such economic effect on one or more occasions on or after the date of the Announcement Event up to, and including, the relevant Expiration Date, any Early Termination Date and/or any other date of cancellation, it being understood that any adjustment in respect of an Announcement Event shall take into account any earlier adjustment relating to the same Announcement Event and shall not be duplicative with any other adjustment or cancellation valuation made pursuant to this Confirmation, the Equity Definitions or the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adjusted to be less than the Strike Price. An Announcement Event shall be an “Extraordinary Event” for purposes of the Equity Definitions, to which Article 12 of the Equity Definitions is applicable;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upon the Calculation Agent making an adjustment, determined in a commercially reasonable manner, to the Cap Price upon any Announcement Event, then the Calculation Agent shall make an adjustment to the Cap Price upon any announcement regarding the same event that gave rise to the original Announcement Event regarding the abandonment of any such event to the extent necessary to reflect the economic effect of such subsequent announcement on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w:t>
      </w:r>
    </w:p>
    <w:p>
      <w:pPr>
        <w:sectPr>
          <w:pgSz w:w="11900" w:h="16838" w:orient="portrait"/>
          <w:cols w:equalWidth="0" w:num="1">
            <w:col w:w="10640"/>
          </w:cols>
          <w:pgMar w:left="800" w:top="270" w:right="459" w:bottom="1440" w:gutter="0" w:footer="0" w:header="0"/>
        </w:sectPr>
      </w:pP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Announcement Event: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 The public announcement (whether by Counterparty, any agent of Counterparty, any affiliate of Counterparty, a Valid Third Party Entity or any affiliate, agent or representative of a Valid Third Party Entity (each, a “</w:t>
      </w:r>
      <w:r>
        <w:rPr>
          <w:rFonts w:ascii="Times New Roman" w:cs="Times New Roman" w:eastAsia="Times New Roman" w:hAnsi="Times New Roman"/>
          <w:sz w:val="18"/>
          <w:szCs w:val="18"/>
          <w:b w:val="1"/>
          <w:bCs w:val="1"/>
          <w:color w:val="auto"/>
        </w:rPr>
        <w:t>Relevant Party</w:t>
      </w:r>
      <w:r>
        <w:rPr>
          <w:rFonts w:ascii="Times New Roman" w:cs="Times New Roman" w:eastAsia="Times New Roman" w:hAnsi="Times New Roman"/>
          <w:sz w:val="18"/>
          <w:szCs w:val="18"/>
          <w:color w:val="auto"/>
        </w:rPr>
        <w:t xml:space="preserve">”) of any transaction or event that, if completed, would constitute a Merger Event or Tender Offer, or the announcement by Counterparty of any intention to enter into a Merger Event or Tender Offer, (ii) the public announcement by Counterparty of an intention by Counterparty to solicit or enter into, or to explore strategic alternatives or other similar undertaking that may include, a Merger Event or Tender Offer, (iii) the public announcement by a Relevant Party of any potential acquisition or disposition by Counterparty and/or its subsidiaries where the consideration exceeds 35% of the market capitalization of Counterparty as of the date of such announcement, or (iv) any subsequent public announcement of a change to a transaction or intention that is the subject of an announcement of the type described in (x) clause (i) or (iii) of this sentence by a Relevant Party or (y) clause (ii) of this sentence by Counterparty (in each case, including, without limitation, a new announcement relating to such a transaction or intention or the announcement of a withdrawal from, or the abandonment or discontinuation of, such a transaction or intention);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occurrence of an Announcement Event with respect to any transaction or intention shall not preclude the occurrence of a later Announcement Event with respect to such transaction or intention. For purposes of this definition of “Announcement Event,” “Merger Event” shall have the meaning set forth in Section 12.1(b) of the Equity Definitions;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portion of such definition following the definition of “Reverse Merger” shall be disregarded.</w:t>
      </w:r>
    </w:p>
    <w:p>
      <w:pPr>
        <w:spacing w:after="0" w:line="120" w:lineRule="exact"/>
        <w:rPr>
          <w:sz w:val="20"/>
          <w:szCs w:val="20"/>
          <w:color w:val="auto"/>
        </w:rPr>
      </w:pPr>
    </w:p>
    <w:p>
      <w:pPr>
        <w:sectPr>
          <w:pgSz w:w="11900" w:h="16838" w:orient="portrait"/>
          <w:cols w:equalWidth="0" w:num="2">
            <w:col w:w="3120" w:space="720"/>
            <w:col w:w="6800"/>
          </w:cols>
          <w:pgMar w:left="800" w:top="270" w:right="459" w:bottom="1440" w:gutter="0" w:footer="0" w:header="0"/>
          <w:type w:val="continuous"/>
        </w:sectPr>
      </w:pPr>
    </w:p>
    <w:p>
      <w:pPr>
        <w:jc w:val="center"/>
        <w:ind w:right="36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640"/>
          </w:cols>
          <w:pgMar w:left="800" w:top="270" w:right="459" w:bottom="1440" w:gutter="0" w:footer="0" w:header="0"/>
          <w:type w:val="continuous"/>
        </w:sectPr>
      </w:pPr>
    </w:p>
    <w:bookmarkStart w:id="149" w:name="page150"/>
    <w:bookmarkEnd w:id="149"/>
    <w:p>
      <w:pPr>
        <w:ind w:left="360"/>
        <w:spacing w:after="0"/>
        <w:rPr>
          <w:sz w:val="20"/>
          <w:szCs w:val="20"/>
          <w:color w:val="auto"/>
        </w:rPr>
      </w:pPr>
      <w:r>
        <w:rPr>
          <w:rFonts w:ascii="Times New Roman" w:cs="Times New Roman" w:eastAsia="Times New Roman" w:hAnsi="Times New Roman"/>
          <w:sz w:val="18"/>
          <w:szCs w:val="18"/>
          <w:color w:val="auto"/>
        </w:rPr>
        <w:t>Valid Third Party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Notice of Merger Consideration and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174"/>
        <w:spacing w:after="0"/>
        <w:rPr>
          <w:sz w:val="20"/>
          <w:szCs w:val="20"/>
          <w:color w:val="auto"/>
        </w:rPr>
      </w:pPr>
      <w:r>
        <w:rPr>
          <w:rFonts w:ascii="Times New Roman" w:cs="Times New Roman" w:eastAsia="Times New Roman" w:hAnsi="Times New Roman"/>
          <w:sz w:val="18"/>
          <w:szCs w:val="18"/>
          <w:color w:val="auto"/>
        </w:rPr>
        <w:t>Nationalization, Insolvency or Delisting: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Additional Termination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Disruption Events: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 Change in Law:</w:t>
      </w:r>
    </w:p>
    <w:p>
      <w:pPr>
        <w:spacing w:after="0" w:line="20" w:lineRule="exact"/>
        <w:rPr>
          <w:sz w:val="20"/>
          <w:szCs w:val="20"/>
          <w:color w:val="auto"/>
        </w:rPr>
      </w:pPr>
      <w:r>
        <w:rPr>
          <w:sz w:val="20"/>
          <w:szCs w:val="20"/>
          <w:color w:val="auto"/>
        </w:rPr>
        <w:br w:type="column"/>
      </w:r>
    </w:p>
    <w:p>
      <w:pPr>
        <w:ind w:left="6" w:right="20"/>
        <w:spacing w:after="0" w:line="258" w:lineRule="auto"/>
        <w:rPr>
          <w:sz w:val="20"/>
          <w:szCs w:val="20"/>
          <w:color w:val="auto"/>
        </w:rPr>
      </w:pPr>
      <w:r>
        <w:rPr>
          <w:rFonts w:ascii="Times New Roman" w:cs="Times New Roman" w:eastAsia="Times New Roman" w:hAnsi="Times New Roman"/>
          <w:sz w:val="18"/>
          <w:szCs w:val="18"/>
          <w:color w:val="auto"/>
        </w:rPr>
        <w:t>In respect of any transaction or event, any third party that has a bona fide intent to enter into or consummate such transaction or event (it being understood and agreed that in determining whether such third party has such a bona fide intent, the Calculation Agent shall take into consideration the effect of the relevant announcement by such third party on the Shares and/or options relating to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-2746375</wp:posOffset>
            </wp:positionH>
            <wp:positionV relativeFrom="paragraph">
              <wp:posOffset>-857250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5" w:lineRule="exact"/>
        <w:rPr>
          <w:sz w:val="20"/>
          <w:szCs w:val="20"/>
          <w:color w:val="auto"/>
        </w:rPr>
      </w:pPr>
    </w:p>
    <w:p>
      <w:pPr>
        <w:ind w:left="6" w:right="20"/>
        <w:spacing w:after="0" w:line="254" w:lineRule="auto"/>
        <w:rPr>
          <w:sz w:val="20"/>
          <w:szCs w:val="20"/>
          <w:color w:val="auto"/>
        </w:rPr>
      </w:pPr>
      <w:r>
        <w:rPr>
          <w:rFonts w:ascii="Times New Roman" w:cs="Times New Roman" w:eastAsia="Times New Roman" w:hAnsi="Times New Roman"/>
          <w:sz w:val="18"/>
          <w:szCs w:val="18"/>
          <w:color w:val="auto"/>
        </w:rPr>
        <w:t>Upon the occurrence of a Merger Event that causes the Shares to be converted into the right to receive more than a single type of consideration (determined based in part upon any form of stockholder election), Counterparty shall reasonably promptly (but in any event prior to the relevant Merger Date) notify the Calculation Agent of (i) the type and amount of consideration that a holder of Shares would have been entitled to in the case of reclassifications, consolidations, mergers, sales or transfers of assets or other transactions that cause Shares to be converted into the right to receive more than a single type of consideration and (ii) the weighted average of the types and amounts of consideration to be actually received by the holders of Shares upon consummation of such Merger Event.</w:t>
      </w:r>
    </w:p>
    <w:p>
      <w:pPr>
        <w:spacing w:after="0" w:line="78" w:lineRule="exact"/>
        <w:rPr>
          <w:sz w:val="20"/>
          <w:szCs w:val="20"/>
          <w:color w:val="auto"/>
        </w:rPr>
      </w:pPr>
    </w:p>
    <w:p>
      <w:pPr>
        <w:ind w:left="6" w:right="20"/>
        <w:spacing w:after="0" w:line="256" w:lineRule="auto"/>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p>
      <w:pPr>
        <w:spacing w:after="0" w:line="77" w:lineRule="exact"/>
        <w:rPr>
          <w:sz w:val="20"/>
          <w:szCs w:val="20"/>
          <w:color w:val="auto"/>
        </w:rPr>
      </w:pPr>
    </w:p>
    <w:p>
      <w:pPr>
        <w:ind w:left="6" w:right="60"/>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the cancelled or terminated portion thereof) being the Affected Transaction and Counterparty being the sole Affected Party) shall be deemed to occur, and, in lieu of Sections 12.7, 12.8 and 12.9 of the Equity Definitions, Section 6 of the Agreement shall apply to such Affected Transaction.</w:t>
      </w:r>
    </w:p>
    <w:p>
      <w:pPr>
        <w:spacing w:after="0" w:line="200" w:lineRule="exact"/>
        <w:rPr>
          <w:sz w:val="20"/>
          <w:szCs w:val="20"/>
          <w:color w:val="auto"/>
        </w:rPr>
      </w:pPr>
    </w:p>
    <w:p>
      <w:pPr>
        <w:spacing w:after="0" w:line="20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by</w:t>
      </w:r>
    </w:p>
    <w:p>
      <w:pPr>
        <w:spacing w:after="0" w:line="29" w:lineRule="exact"/>
        <w:rPr>
          <w:sz w:val="20"/>
          <w:szCs w:val="20"/>
          <w:color w:val="auto"/>
        </w:rPr>
      </w:pPr>
    </w:p>
    <w:p>
      <w:pPr>
        <w:ind w:left="6" w:hanging="6"/>
        <w:spacing w:after="0" w:line="252" w:lineRule="auto"/>
        <w:tabs>
          <w:tab w:leader="none" w:pos="22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phrase “the interpretation” in the third line thereof with the phrase “, or public announcement of, the formal or informal interpretation”, (ii) adding the phrase “and/or Hedge Position” after the word “Shares” in clause (X) thereof, (iii) immediately following the word “Transaction” in clause (X) thereof, adding the phrase “in the manner contemplated by the Hedging Party on the Trade Date” and (iv) adding the words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clause (Y) hereof and any law, regulation or interpretation, the</w:t>
      </w:r>
    </w:p>
    <w:p>
      <w:pPr>
        <w:spacing w:after="0" w:line="122" w:lineRule="exact"/>
        <w:rPr>
          <w:sz w:val="20"/>
          <w:szCs w:val="20"/>
          <w:color w:val="auto"/>
        </w:rPr>
      </w:pPr>
    </w:p>
    <w:p>
      <w:pPr>
        <w:ind w:left="126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2">
            <w:col w:w="3474" w:space="720"/>
            <w:col w:w="6806"/>
          </w:cols>
          <w:pgMar w:left="440" w:top="378" w:right="45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 Failure to Deliver: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 Insolvency Filing: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 Hedging Disruption: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    Increased Cost of Hedging:</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Hedging Party:</w:t>
      </w:r>
    </w:p>
    <w:p>
      <w:pPr>
        <w:spacing w:after="0" w:line="20" w:lineRule="exact"/>
        <w:rPr>
          <w:sz w:val="20"/>
          <w:szCs w:val="20"/>
          <w:color w:val="auto"/>
        </w:rPr>
      </w:pPr>
      <w:r>
        <w:rPr>
          <w:sz w:val="20"/>
          <w:szCs w:val="20"/>
          <w:color w:val="auto"/>
        </w:rPr>
        <w:br w:type="column"/>
      </w:r>
    </w:p>
    <w:p>
      <w:pPr>
        <w:ind w:left="6" w:right="60"/>
        <w:spacing w:after="0" w:line="268" w:lineRule="auto"/>
        <w:rPr>
          <w:sz w:val="20"/>
          <w:szCs w:val="20"/>
          <w:color w:val="auto"/>
        </w:rPr>
      </w:pPr>
      <w:r>
        <w:rPr>
          <w:rFonts w:ascii="Times New Roman" w:cs="Times New Roman" w:eastAsia="Times New Roman" w:hAnsi="Times New Roman"/>
          <w:sz w:val="17"/>
          <w:szCs w:val="17"/>
          <w:color w:val="auto"/>
        </w:rPr>
        <w:t xml:space="preserve">consequence of such law, regulation or interpretation is applied consistently in good faith and in a commercially reasonable manner by Dealer to all of its similarly situated counterparties and/or similar transactions” after the semi-colon in the last line thereof;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Section 12.9(a)(ii) of the Equity Definitions is hereby amended by (i) replacing the parenthetical beginning after the word “regulation” in the second line thereof with the words “(including, for the avoidance of doubt and without limitation, (x) any tax law or (y) adoption or promulgation of new regulations authorized or mandated by existing statute)”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-2746375</wp:posOffset>
            </wp:positionH>
            <wp:positionV relativeFrom="paragraph">
              <wp:posOffset>-1052195</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 w:right="200" w:hanging="6"/>
        <w:spacing w:after="0" w:line="260" w:lineRule="auto"/>
        <w:tabs>
          <w:tab w:leader="none" w:pos="27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the words “, or holding, acquiring or disposing of Shares or any Hedge Positions relating to,” after the words “obligations under” in clause (Y) thereof.</w:t>
      </w:r>
    </w:p>
    <w:p>
      <w:pPr>
        <w:spacing w:after="0" w:line="87" w:lineRule="exact"/>
        <w:rPr>
          <w:sz w:val="20"/>
          <w:szCs w:val="20"/>
          <w:color w:val="auto"/>
        </w:rPr>
      </w:pPr>
    </w:p>
    <w:p>
      <w:pPr>
        <w:ind w:left="6" w:right="22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the Equity Definitions, a Change in Law described in clause (Y) of Section 12.9(a)(ii) of the Equity Definitions shall not constitute a Change in Law and instead shall constitute an Increased Cost of Hedging as described in Section 12.9(a)(vi) of the Equity Definitions.</w:t>
      </w:r>
    </w:p>
    <w:p>
      <w:pPr>
        <w:spacing w:after="0" w:line="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Applicable</w:t>
      </w:r>
    </w:p>
    <w:p>
      <w:pPr>
        <w:spacing w:after="0" w:line="11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Not Applicable</w:t>
      </w:r>
    </w:p>
    <w:p>
      <w:pPr>
        <w:spacing w:after="0" w:line="11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33" w:lineRule="exact"/>
        <w:rPr>
          <w:sz w:val="20"/>
          <w:szCs w:val="20"/>
          <w:color w:val="auto"/>
        </w:rPr>
      </w:pPr>
    </w:p>
    <w:p>
      <w:pPr>
        <w:ind w:left="6" w:right="140" w:hanging="6"/>
        <w:spacing w:after="0" w:line="282" w:lineRule="auto"/>
        <w:tabs>
          <w:tab w:leader="none" w:pos="22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12.9(a)(v) of the Equity Definitions is hereby amended by inserting the following words at the end of such Section:</w:t>
      </w:r>
    </w:p>
    <w:p>
      <w:pPr>
        <w:spacing w:after="0" w:line="65" w:lineRule="exact"/>
        <w:rPr>
          <w:sz w:val="20"/>
          <w:szCs w:val="20"/>
          <w:color w:val="auto"/>
        </w:rPr>
      </w:pPr>
    </w:p>
    <w:p>
      <w:pPr>
        <w:ind w:left="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inability that is incurred solely due to the deterioration of the creditworthiness of the Hedging Party shall not be deemed a Hedging Disruption. 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p>
      <w:pPr>
        <w:spacing w:after="0" w:line="90" w:lineRule="exact"/>
        <w:rPr>
          <w:sz w:val="20"/>
          <w:szCs w:val="20"/>
          <w:color w:val="auto"/>
        </w:rPr>
      </w:pPr>
    </w:p>
    <w:p>
      <w:pPr>
        <w:ind w:left="6" w:right="200" w:hanging="6"/>
        <w:spacing w:after="0" w:line="266" w:lineRule="auto"/>
        <w:tabs>
          <w:tab w:leader="none" w:pos="27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12.9(b)(iii) of the Equity Definitions is hereby amended by inserting in the third line thereof, after the words “to terminate the Transaction”, the words “or a portion of the Transaction affected by such Hedging Disruption”.</w:t>
      </w:r>
    </w:p>
    <w:p>
      <w:pPr>
        <w:spacing w:after="0" w:line="81" w:lineRule="exact"/>
        <w:rPr>
          <w:sz w:val="20"/>
          <w:szCs w:val="20"/>
          <w:color w:val="auto"/>
        </w:rPr>
      </w:pPr>
    </w:p>
    <w:p>
      <w:pPr>
        <w:ind w:left="6" w:right="480"/>
        <w:spacing w:after="0" w:line="266" w:lineRule="auto"/>
        <w:rPr>
          <w:sz w:val="20"/>
          <w:szCs w:val="20"/>
          <w:color w:val="auto"/>
        </w:rPr>
      </w:pPr>
      <w:r>
        <w:rPr>
          <w:rFonts w:ascii="Times New Roman" w:cs="Times New Roman" w:eastAsia="Times New Roman" w:hAnsi="Times New Roman"/>
          <w:sz w:val="18"/>
          <w:szCs w:val="18"/>
          <w:color w:val="auto"/>
        </w:rPr>
        <w:t>Applicable solely with respect to a “Change in Law” described in clause (Y) of Section 12.9(a)(ii) of the Equity Definitions as set forth in the last sentence opposite the caption “Change in Law” above.</w:t>
      </w:r>
    </w:p>
    <w:p>
      <w:pPr>
        <w:spacing w:after="0" w:line="68" w:lineRule="exact"/>
        <w:rPr>
          <w:sz w:val="20"/>
          <w:szCs w:val="20"/>
          <w:color w:val="auto"/>
        </w:rPr>
      </w:pPr>
    </w:p>
    <w:p>
      <w:pPr>
        <w:ind w:left="6" w:right="20"/>
        <w:spacing w:after="0" w:line="253" w:lineRule="auto"/>
        <w:rPr>
          <w:sz w:val="20"/>
          <w:szCs w:val="20"/>
          <w:color w:val="auto"/>
        </w:rPr>
      </w:pPr>
      <w:r>
        <w:rPr>
          <w:rFonts w:ascii="Times New Roman" w:cs="Times New Roman" w:eastAsia="Times New Roman" w:hAnsi="Times New Roman"/>
          <w:sz w:val="18"/>
          <w:szCs w:val="18"/>
          <w:color w:val="auto"/>
        </w:rPr>
        <w:t xml:space="preserve">Dealer; all calculations and determinations made by the Hedging Party shall be made in good faith and in a commercially 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receipt of written request from Counterparty, the Hedging Party shall promptly provide Counterparty with a written explanation describing in reasonable detail any calculation, adjustment or determination made by it (but not, for the avoidance of doubt, any discretionary act or election permitted to be made by Hedging Party) (including any quotations, market data or information from internal or external sources used in making such calculation, adjustment or determination, as the case may be, in a commonly used file format for the storage and manipulation of financial data, but without disclosing Hedging Party’s proprietary models or other information that may be proprietary or subject to contractual, legal or regulatory obligations to not disclose such information), and shall provide such written explanation within five (5) Exchange Business Days from the receipt of such request.</w:t>
      </w:r>
    </w:p>
    <w:p>
      <w:pPr>
        <w:spacing w:after="0" w:line="122" w:lineRule="exact"/>
        <w:rPr>
          <w:sz w:val="20"/>
          <w:szCs w:val="20"/>
          <w:color w:val="auto"/>
        </w:rPr>
      </w:pPr>
    </w:p>
    <w:p>
      <w:pPr>
        <w:ind w:left="122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2">
            <w:col w:w="3114" w:space="720"/>
            <w:col w:w="6806"/>
          </w:cols>
          <w:pgMar w:left="800" w:top="270" w:right="459" w:bottom="1440" w:gutter="0" w:footer="0" w:header="0"/>
        </w:sectPr>
      </w:pPr>
    </w:p>
    <w:bookmarkStart w:id="151" w:name="page152"/>
    <w:bookmarkEnd w:id="151"/>
    <w:p>
      <w:pPr>
        <w:ind w:left="360"/>
        <w:spacing w:after="0"/>
        <w:rPr>
          <w:sz w:val="20"/>
          <w:szCs w:val="20"/>
          <w:color w:val="auto"/>
        </w:rPr>
      </w:pPr>
      <w:r>
        <w:rPr>
          <w:rFonts w:ascii="Times New Roman" w:cs="Times New Roman" w:eastAsia="Times New Roman" w:hAnsi="Times New Roman"/>
          <w:sz w:val="17"/>
          <w:szCs w:val="17"/>
          <w:color w:val="auto"/>
        </w:rPr>
        <w:t>Determining Party:</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For all applicable Extraordinary Events, Dealer; all calculations and determinations made by the Determining Party shall be made in good faith and in a commercially reasonable manner;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upon receipt of written request from Counterparty, the Determining Party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promptly provide Counterparty with a written explanation describing in reasonable detail any calculation, adjustment or determination made by it (including any quotations, market data or information from internal or external sources used in making such calculation, adjustment or determination, as the case may be, in a commonly used file format for the storage and manipulation of financial data, but without disclosing Determining Party’s proprietary models or other information that may be proprietary or subject to contractual, legal or regulatory obligations to not disclose such information), and shall provide such written explanation within five (5) Exchange Business Days from the receipt of such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-1674495</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2">
            <w:col w:w="3480" w:space="720"/>
            <w:col w:w="6780"/>
          </w:cols>
          <w:pgMar w:left="440" w:top="378" w:right="479" w:bottom="1440" w:gutter="0" w:footer="0" w:header="0"/>
        </w:sectPr>
      </w:pPr>
    </w:p>
    <w:p>
      <w:pPr>
        <w:ind w:left="360"/>
        <w:spacing w:after="0"/>
        <w:rPr>
          <w:sz w:val="20"/>
          <w:szCs w:val="20"/>
          <w:color w:val="auto"/>
        </w:rPr>
      </w:pPr>
      <w:r>
        <w:rPr>
          <w:rFonts w:ascii="Times New Roman" w:cs="Times New Roman" w:eastAsia="Times New Roman" w:hAnsi="Times New Roman"/>
          <w:sz w:val="17"/>
          <w:szCs w:val="17"/>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9" w:lineRule="exact"/>
        <w:rPr>
          <w:sz w:val="20"/>
          <w:szCs w:val="20"/>
          <w:color w:val="auto"/>
        </w:rPr>
      </w:pPr>
    </w:p>
    <w:p>
      <w:pPr>
        <w:sectPr>
          <w:pgSz w:w="11900" w:h="16838" w:orient="portrait"/>
          <w:cols w:equalWidth="0" w:num="2">
            <w:col w:w="3480" w:space="720"/>
            <w:col w:w="6780"/>
          </w:cols>
          <w:pgMar w:left="440" w:top="378" w:right="479" w:bottom="1440" w:gutter="0" w:footer="0" w:header="0"/>
          <w:type w:val="continuous"/>
        </w:sectPr>
      </w:pPr>
    </w:p>
    <w:p>
      <w:pPr>
        <w:ind w:left="360"/>
        <w:spacing w:after="0" w:line="282" w:lineRule="auto"/>
        <w:rPr>
          <w:sz w:val="20"/>
          <w:szCs w:val="20"/>
          <w:color w:val="auto"/>
        </w:rPr>
      </w:pPr>
      <w:r>
        <w:rPr>
          <w:rFonts w:ascii="Times New Roman" w:cs="Times New Roman" w:eastAsia="Times New Roman" w:hAnsi="Times New Roman"/>
          <w:sz w:val="18"/>
          <w:szCs w:val="18"/>
          <w:color w:val="auto"/>
        </w:rPr>
        <w:t>Agreements and Acknowledgments Regarding Hedging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344" w:lineRule="exact"/>
        <w:rPr>
          <w:sz w:val="20"/>
          <w:szCs w:val="20"/>
          <w:color w:val="auto"/>
        </w:rPr>
      </w:pPr>
    </w:p>
    <w:p>
      <w:pPr>
        <w:sectPr>
          <w:pgSz w:w="11900" w:h="16838" w:orient="portrait"/>
          <w:cols w:equalWidth="0" w:num="2">
            <w:col w:w="3720" w:space="480"/>
            <w:col w:w="6780"/>
          </w:cols>
          <w:pgMar w:left="440" w:top="378" w:right="47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200" w:lineRule="exact"/>
        <w:rPr>
          <w:sz w:val="20"/>
          <w:szCs w:val="20"/>
          <w:color w:val="auto"/>
        </w:rPr>
      </w:pPr>
    </w:p>
    <w:p>
      <w:pPr>
        <w:sectPr>
          <w:pgSz w:w="11900" w:h="16838" w:orient="portrait"/>
          <w:cols w:equalWidth="0" w:num="2">
            <w:col w:w="3480" w:space="720"/>
            <w:col w:w="6780"/>
          </w:cols>
          <w:pgMar w:left="440" w:top="378" w:right="479" w:bottom="1440" w:gutter="0" w:footer="0" w:header="0"/>
          <w:type w:val="continuous"/>
        </w:sectPr>
      </w:pPr>
    </w:p>
    <w:p>
      <w:pPr>
        <w:spacing w:after="0" w:line="35" w:lineRule="exact"/>
        <w:rPr>
          <w:sz w:val="20"/>
          <w:szCs w:val="20"/>
          <w:color w:val="auto"/>
        </w:rPr>
      </w:pPr>
    </w:p>
    <w:p>
      <w:pPr>
        <w:ind w:firstLine="436"/>
        <w:spacing w:after="0" w:line="257" w:lineRule="auto"/>
        <w:tabs>
          <w:tab w:leader="none" w:pos="6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xml:space="preserve">: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occurrence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 of the Calculation Agent hereunder and such failure continues for five (5) Exchange Business Days following notice to the Calculation Agent by Counterparty of such failure, Counterparty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as the Calculation Agent.</w:t>
      </w:r>
    </w:p>
    <w:p>
      <w:pPr>
        <w:spacing w:after="0" w:line="184"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All calculations, adjustments and determinations made by the Calculation Agent shall be made in good faith and in a commercially 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receipt of written request from Counterparty, the Calculation Agent shall promptly provide Counterparty with a written explanation describing in reasonable detail any calculation, adjustment or determination made by it (including any quotations, market data or information from internal or external sources used in making such calculation, adjustment or determination, as the case may be, but without disclosing Dealer’s proprietary models or other information that may be proprietary or subject to contractual, legal or regulatory obligations to not disclose such information), and shall provide such written explanation within five (5) Exchange Business Days from the receipt of such request. Dealer, whether as Calculation Agent, Hedging Party, Determining Party or otherwise, shall use commercially reasonable efforts to notify Counterparty of any event giving rise to any adjustment required or, to the extent it makes any such adjustment, permitted to be made to the terms of the Transaction, the terms being adjusted and, for each term so adjusted, such term, in each case, as promptly as reasonably practicable after giving effect to such adjustment.</w:t>
      </w:r>
    </w:p>
    <w:p>
      <w:pPr>
        <w:spacing w:after="0" w:line="188" w:lineRule="exact"/>
        <w:rPr>
          <w:sz w:val="20"/>
          <w:szCs w:val="20"/>
          <w:color w:val="auto"/>
        </w:rPr>
      </w:pPr>
    </w:p>
    <w:p>
      <w:pPr>
        <w:ind w:left="620" w:hanging="184"/>
        <w:spacing w:after="0"/>
        <w:tabs>
          <w:tab w:leader="none" w:pos="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 Details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Dealer Payment Instructions: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Bank: [____________]</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378" w:right="479" w:bottom="1440" w:gutter="0" w:footer="0" w:header="0"/>
          <w:type w:val="continuous"/>
        </w:sectPr>
      </w:pPr>
    </w:p>
    <w:bookmarkStart w:id="152" w:name="page153"/>
    <w:bookmarkEnd w:id="152"/>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SWIFT: [____________]</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Bank Routing: [____________]</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Acct Name: [____________]</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Acct No.: [____________]</w:t>
      </w:r>
    </w:p>
    <w:p>
      <w:pPr>
        <w:spacing w:after="0" w:line="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Counterparty Payment Instructions: To be advised.</w:t>
      </w:r>
    </w:p>
    <w:p>
      <w:pPr>
        <w:spacing w:after="0" w:line="225" w:lineRule="exact"/>
        <w:rPr>
          <w:sz w:val="20"/>
          <w:szCs w:val="20"/>
          <w:color w:val="auto"/>
        </w:rPr>
      </w:pPr>
    </w:p>
    <w:p>
      <w:pPr>
        <w:ind w:left="600" w:hanging="184"/>
        <w:spacing w:after="0"/>
        <w:tabs>
          <w:tab w:leader="none" w:pos="6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Office of Dealer for the Transaction is: [____________].</w:t>
      </w:r>
    </w:p>
    <w:p>
      <w:pPr>
        <w:spacing w:after="0" w:line="1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The Office of Counterparty for the Transaction is: Inapplicable, Counterparty is not a Multibranch Party.</w:t>
      </w: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For purposes of this Confirmation: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Address for notices or communications to Counterparty:</w:t>
      </w:r>
    </w:p>
    <w:p>
      <w:pPr>
        <w:sectPr>
          <w:pgSz w:w="11900" w:h="16838" w:orient="portrait"/>
          <w:cols w:equalWidth="0" w:num="1">
            <w:col w:w="10960"/>
          </w:cols>
          <w:pgMar w:left="460" w:top="270" w:right="479" w:bottom="1440" w:gutter="0" w:footer="0" w:header="0"/>
        </w:sectPr>
      </w:pP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00" w:lineRule="exact"/>
        <w:rPr>
          <w:sz w:val="20"/>
          <w:szCs w:val="20"/>
          <w:color w:val="auto"/>
        </w:rPr>
      </w:pPr>
    </w:p>
    <w:p>
      <w:pPr>
        <w:sectPr>
          <w:pgSz w:w="11900" w:h="16838" w:orient="portrait"/>
          <w:cols w:equalWidth="0" w:num="2">
            <w:col w:w="1960" w:space="720"/>
            <w:col w:w="8280"/>
          </w:cols>
          <w:pgMar w:left="460" w:top="270" w:right="479" w:bottom="1440" w:gutter="0" w:footer="0" w:header="0"/>
          <w:type w:val="continuous"/>
        </w:sectPr>
      </w:pP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 Address for notices or communications to Dealer:</w:t>
      </w:r>
    </w:p>
    <w:p>
      <w:pPr>
        <w:spacing w:after="0" w:line="131" w:lineRule="exact"/>
        <w:rPr>
          <w:sz w:val="20"/>
          <w:szCs w:val="20"/>
          <w:color w:val="auto"/>
        </w:rPr>
      </w:pPr>
    </w:p>
    <w:p>
      <w:pPr>
        <w:ind w:left="1160"/>
        <w:spacing w:after="0"/>
        <w:tabs>
          <w:tab w:leader="none" w:pos="26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[__]</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[__]</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[__]</w:t>
      </w:r>
    </w:p>
    <w:p>
      <w:pPr>
        <w:spacing w:after="0" w:line="9" w:lineRule="exact"/>
        <w:rPr>
          <w:sz w:val="20"/>
          <w:szCs w:val="20"/>
          <w:color w:val="auto"/>
        </w:rPr>
      </w:pPr>
    </w:p>
    <w:p>
      <w:pPr>
        <w:ind w:left="1160"/>
        <w:spacing w:after="0"/>
        <w:tabs>
          <w:tab w:leader="none" w:pos="26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[__]</w:t>
      </w:r>
    </w:p>
    <w:p>
      <w:pPr>
        <w:spacing w:after="0" w:line="9" w:lineRule="exact"/>
        <w:rPr>
          <w:sz w:val="20"/>
          <w:szCs w:val="20"/>
          <w:color w:val="auto"/>
        </w:rPr>
      </w:pPr>
    </w:p>
    <w:p>
      <w:pPr>
        <w:ind w:left="1160"/>
        <w:spacing w:after="0"/>
        <w:tabs>
          <w:tab w:leader="none" w:pos="2660"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[__]</w:t>
      </w:r>
    </w:p>
    <w:p>
      <w:pPr>
        <w:spacing w:after="0" w:line="9" w:lineRule="exact"/>
        <w:rPr>
          <w:sz w:val="20"/>
          <w:szCs w:val="20"/>
          <w:color w:val="auto"/>
        </w:rPr>
      </w:pPr>
    </w:p>
    <w:p>
      <w:pPr>
        <w:ind w:left="1160"/>
        <w:spacing w:after="0"/>
        <w:tabs>
          <w:tab w:leader="none" w:pos="266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[__]</w:t>
      </w:r>
    </w:p>
    <w:p>
      <w:pPr>
        <w:spacing w:after="0" w:line="9" w:lineRule="exact"/>
        <w:rPr>
          <w:sz w:val="20"/>
          <w:szCs w:val="20"/>
          <w:color w:val="auto"/>
        </w:rPr>
      </w:pPr>
    </w:p>
    <w:p>
      <w:pPr>
        <w:ind w:left="1160"/>
        <w:spacing w:after="0"/>
        <w:tabs>
          <w:tab w:leader="none" w:pos="26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[__]</w:t>
      </w:r>
    </w:p>
    <w:p>
      <w:pPr>
        <w:spacing w:after="0" w:line="207" w:lineRule="exact"/>
        <w:rPr>
          <w:sz w:val="20"/>
          <w:szCs w:val="20"/>
          <w:color w:val="auto"/>
        </w:rPr>
      </w:pPr>
    </w:p>
    <w:p>
      <w:pPr>
        <w:ind w:left="600" w:hanging="184"/>
        <w:spacing w:after="0"/>
        <w:tabs>
          <w:tab w:leader="none" w:pos="6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Agreements:</w:t>
      </w:r>
    </w:p>
    <w:p>
      <w:pPr>
        <w:spacing w:after="0" w:line="117" w:lineRule="exact"/>
        <w:rPr>
          <w:sz w:val="20"/>
          <w:szCs w:val="20"/>
          <w:color w:val="auto"/>
        </w:rPr>
      </w:pPr>
    </w:p>
    <w:p>
      <w:pPr>
        <w:ind w:left="-20" w:right="20" w:firstLine="436"/>
        <w:spacing w:after="0" w:line="282" w:lineRule="auto"/>
        <w:tabs>
          <w:tab w:leader="none" w:pos="66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representations and warranties in the Agreement and those contained elsewhere herein, Counterparty represents and warrants to and for the benefit of, and agrees with, Dealer as follows:</w:t>
      </w:r>
    </w:p>
    <w:p>
      <w:pPr>
        <w:spacing w:after="0" w:line="53" w:lineRule="exact"/>
        <w:rPr>
          <w:rFonts w:ascii="Times New Roman" w:cs="Times New Roman" w:eastAsia="Times New Roman" w:hAnsi="Times New Roman"/>
          <w:sz w:val="18"/>
          <w:szCs w:val="18"/>
          <w:color w:val="auto"/>
        </w:rPr>
      </w:pPr>
    </w:p>
    <w:p>
      <w:pPr>
        <w:ind w:left="420" w:firstLine="419"/>
        <w:spacing w:after="0" w:line="256" w:lineRule="auto"/>
        <w:tabs>
          <w:tab w:leader="none" w:pos="105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Trade Date (A) none of Counterparty and its officers and directors is aware of any material non-public information regarding Counterparty or the Shares, and (B) all reports and other documents filed by Counterparty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79"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on the Trade Date engaged in a “distribution,” as such term is defined in Regulation M under the Exchange Act</w:t>
      </w:r>
    </w:p>
    <w:p>
      <w:pPr>
        <w:spacing w:after="0" w:line="27" w:lineRule="exact"/>
        <w:rPr>
          <w:sz w:val="20"/>
          <w:szCs w:val="20"/>
          <w:color w:val="auto"/>
        </w:rPr>
      </w:pPr>
    </w:p>
    <w:p>
      <w:pPr>
        <w:jc w:val="both"/>
        <w:ind w:left="4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of any securities of Counterparty, other than a distribution meeting the requirements of the exceptions set forth in Rules 101(b) (10), 102(b)(7) or 102(c)(1)(i) of Regulation M. Counterparty shall not, until the second Exchange Business Day immediately following the Trade Date, engage in any such distribution.</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(iii) [reserved].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60" w:top="270" w:right="479" w:bottom="1440" w:gutter="0" w:footer="0" w:header="0"/>
          <w:type w:val="continuous"/>
        </w:sectPr>
      </w:pPr>
    </w:p>
    <w:bookmarkStart w:id="153" w:name="page154"/>
    <w:bookmarkEnd w:id="153"/>
    <w:p>
      <w:pPr>
        <w:ind w:firstLine="419"/>
        <w:spacing w:after="0" w:line="258" w:lineRule="auto"/>
        <w:tabs>
          <w:tab w:leader="none" w:pos="72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ASC Topic 480,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Distinguishing Liabilities from Equity </w:t>
      </w:r>
      <w:r>
        <w:rPr>
          <w:rFonts w:ascii="Times New Roman" w:cs="Times New Roman" w:eastAsia="Times New Roman" w:hAnsi="Times New Roman"/>
          <w:sz w:val="18"/>
          <w:szCs w:val="18"/>
          <w:color w:val="auto"/>
        </w:rPr>
        <w:t>and ASC</w:t>
      </w:r>
      <w:r>
        <w:rPr>
          <w:rFonts w:ascii="Times New Roman" w:cs="Times New Roman" w:eastAsia="Times New Roman" w:hAnsi="Times New Roman"/>
          <w:sz w:val="18"/>
          <w:szCs w:val="18"/>
          <w:i w:val="1"/>
          <w:iCs w:val="1"/>
          <w:color w:val="auto"/>
        </w:rPr>
        <w:t xml:space="preserve"> 815-40, Derivatives and Hedging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Contracts in Entity’s Own Equity </w:t>
      </w:r>
      <w:r>
        <w:rPr>
          <w:rFonts w:ascii="Times New Roman" w:cs="Times New Roman" w:eastAsia="Times New Roman" w:hAnsi="Times New Roman"/>
          <w:sz w:val="18"/>
          <w:szCs w:val="18"/>
          <w:color w:val="auto"/>
        </w:rPr>
        <w:t>(or any successor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w:t>
      </w:r>
    </w:p>
    <w:p>
      <w:pPr>
        <w:spacing w:after="0" w:line="75" w:lineRule="exact"/>
        <w:rPr>
          <w:rFonts w:ascii="Times New Roman" w:cs="Times New Roman" w:eastAsia="Times New Roman" w:hAnsi="Times New Roman"/>
          <w:sz w:val="18"/>
          <w:szCs w:val="18"/>
          <w:color w:val="auto"/>
        </w:rPr>
      </w:pPr>
    </w:p>
    <w:p>
      <w:pPr>
        <w:ind w:right="40" w:firstLine="419"/>
        <w:spacing w:after="0" w:line="282" w:lineRule="auto"/>
        <w:tabs>
          <w:tab w:leader="none" w:pos="67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3(a)(iii) of the Agreement, the Transaction will not violate Rule 13e-1 or Rule 13e-4 under the Exchange Act.</w:t>
      </w:r>
    </w:p>
    <w:p>
      <w:pPr>
        <w:spacing w:after="0" w:line="53" w:lineRule="exact"/>
        <w:rPr>
          <w:rFonts w:ascii="Times New Roman" w:cs="Times New Roman" w:eastAsia="Times New Roman" w:hAnsi="Times New Roman"/>
          <w:sz w:val="18"/>
          <w:szCs w:val="18"/>
          <w:color w:val="auto"/>
        </w:rPr>
      </w:pPr>
    </w:p>
    <w:p>
      <w:pPr>
        <w:ind w:right="400" w:firstLine="419"/>
        <w:spacing w:after="0" w:line="282" w:lineRule="auto"/>
        <w:tabs>
          <w:tab w:leader="none" w:pos="72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Trade Date, Counterparty shall deliver to Dealer a resolution of Counterparty’s board of directors authorizing the Transaction and approving the Transaction and any related hedging activity.</w:t>
      </w:r>
    </w:p>
    <w:p>
      <w:pPr>
        <w:spacing w:after="0" w:line="53"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entering into this Confirmation to create actual or apparent trading activity in the Shares (or any security</w:t>
      </w:r>
    </w:p>
    <w:p>
      <w:pPr>
        <w:spacing w:after="0" w:line="27" w:lineRule="exact"/>
        <w:rPr>
          <w:rFonts w:ascii="Times New Roman" w:cs="Times New Roman" w:eastAsia="Times New Roman" w:hAnsi="Times New Roman"/>
          <w:sz w:val="18"/>
          <w:szCs w:val="18"/>
          <w:color w:val="auto"/>
        </w:rPr>
      </w:pPr>
    </w:p>
    <w:p>
      <w:pPr>
        <w:ind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into or exchangeable for Shares) or to manipulate the price of the Shares (or any security convertible into or exchangeable for Shares) or otherwise in violation of the Exchange Act.</w:t>
      </w:r>
    </w:p>
    <w:p>
      <w:pPr>
        <w:spacing w:after="0" w:line="73" w:lineRule="exact"/>
        <w:rPr>
          <w:rFonts w:ascii="Times New Roman" w:cs="Times New Roman" w:eastAsia="Times New Roman" w:hAnsi="Times New Roman"/>
          <w:sz w:val="18"/>
          <w:szCs w:val="18"/>
          <w:color w:val="auto"/>
        </w:rPr>
      </w:pPr>
    </w:p>
    <w:p>
      <w:pPr>
        <w:ind w:right="160" w:firstLine="419"/>
        <w:spacing w:after="0" w:line="282" w:lineRule="auto"/>
        <w:tabs>
          <w:tab w:leader="none" w:pos="82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53" w:lineRule="exact"/>
        <w:rPr>
          <w:rFonts w:ascii="Times New Roman" w:cs="Times New Roman" w:eastAsia="Times New Roman" w:hAnsi="Times New Roman"/>
          <w:sz w:val="18"/>
          <w:szCs w:val="18"/>
          <w:color w:val="auto"/>
        </w:rPr>
      </w:pPr>
    </w:p>
    <w:p>
      <w:pPr>
        <w:ind w:firstLine="419"/>
        <w:spacing w:after="0" w:line="253" w:lineRule="auto"/>
        <w:tabs>
          <w:tab w:leader="none" w:pos="72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immediately after the Trade Date and the Premium Payment Date, (A) Counterparty’s total assets would not be less than the sum of its total liabilities plus the amount that would be needed, if Counterparty were to be then dissolved, to satisfy the preferential rights upon such dissolution of holders of shares of any class or series of the capital stock of Counterparty having preferential rights superior to the Shares, (B) the capital of Counterparty is adequate to conduct the business of Counterparty, and Counterparty’s entry into the Transaction will not impair its capital, (C) Counterparty has the ability to pay its debts and obligations as such debts mature in the usual course of business and does not intend to, or does not believe that it will, incur debt beyond its ability to pay as such debts mature, (D) Counterparty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(E) Counterparty would be able to purchase the Number of Transaction Shares in compliance with the laws of the jurisdiction of Counterparty’s incorporation (including, if such purchase were to be deemed a distribution as defined in Nevada Revised Statutes 78.191, any applicable requirements of Nevada Revised Statutes 78.288(a)).</w:t>
      </w:r>
    </w:p>
    <w:p>
      <w:pPr>
        <w:spacing w:after="0" w:line="86" w:lineRule="exact"/>
        <w:rPr>
          <w:rFonts w:ascii="Times New Roman" w:cs="Times New Roman" w:eastAsia="Times New Roman" w:hAnsi="Times New Roman"/>
          <w:sz w:val="18"/>
          <w:szCs w:val="18"/>
          <w:color w:val="auto"/>
        </w:rPr>
      </w:pPr>
    </w:p>
    <w:p>
      <w:pPr>
        <w:ind w:right="60" w:firstLine="419"/>
        <w:spacing w:after="0" w:line="258" w:lineRule="auto"/>
        <w:tabs>
          <w:tab w:leader="none" w:pos="67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Counterparty’s knowledge, no U.S. state or local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representation shall be made by Counterparty with respect to any rules and regulations applicable to Dealer (including, if applicable, any such rules or regulations of the Financial Industry Regulatory Authority, Inc.) arising from Dealer’s status as a regulated entity under applicable law.</w:t>
      </w:r>
    </w:p>
    <w:p>
      <w:pPr>
        <w:spacing w:after="0" w:line="75" w:lineRule="exact"/>
        <w:rPr>
          <w:rFonts w:ascii="Times New Roman" w:cs="Times New Roman" w:eastAsia="Times New Roman" w:hAnsi="Times New Roman"/>
          <w:sz w:val="18"/>
          <w:szCs w:val="18"/>
          <w:color w:val="auto"/>
        </w:rPr>
      </w:pPr>
    </w:p>
    <w:p>
      <w:pPr>
        <w:ind w:right="80" w:firstLine="419"/>
        <w:spacing w:after="0" w:line="261" w:lineRule="auto"/>
        <w:tabs>
          <w:tab w:leader="none" w:pos="72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 on the date hereof.</w:t>
      </w:r>
    </w:p>
    <w:p>
      <w:pPr>
        <w:spacing w:after="0" w:line="71" w:lineRule="exact"/>
        <w:rPr>
          <w:rFonts w:ascii="Times New Roman" w:cs="Times New Roman" w:eastAsia="Times New Roman" w:hAnsi="Times New Roman"/>
          <w:sz w:val="18"/>
          <w:szCs w:val="18"/>
          <w:color w:val="auto"/>
        </w:rPr>
      </w:pPr>
    </w:p>
    <w:p>
      <w:pPr>
        <w:ind w:right="180" w:firstLine="419"/>
        <w:spacing w:after="0" w:line="282" w:lineRule="auto"/>
        <w:tabs>
          <w:tab w:leader="none" w:pos="77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of Counterparty do not constitute “plan assets” under the Employee Retirement Income Security Act of 1974, as amended, the Department of Labor Regulations promulgated thereunder or similar law.</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154" w:name="page155"/>
    <w:bookmarkEnd w:id="154"/>
    <w:p>
      <w:pPr>
        <w:ind w:left="4" w:right="440" w:firstLine="436"/>
        <w:spacing w:after="0" w:line="266" w:lineRule="auto"/>
        <w:tabs>
          <w:tab w:leader="none" w:pos="69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spacing w:after="0" w:line="175" w:lineRule="exact"/>
        <w:rPr>
          <w:rFonts w:ascii="Times New Roman" w:cs="Times New Roman" w:eastAsia="Times New Roman" w:hAnsi="Times New Roman"/>
          <w:sz w:val="18"/>
          <w:szCs w:val="18"/>
          <w:color w:val="auto"/>
        </w:rPr>
      </w:pPr>
    </w:p>
    <w:p>
      <w:pPr>
        <w:ind w:left="4" w:firstLine="436"/>
        <w:spacing w:after="0" w:line="253" w:lineRule="auto"/>
        <w:tabs>
          <w:tab w:leader="none" w:pos="68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Dealer and Counterparty acknowledges that the offer and sale of the Transaction to it is intended to be exempt from registration under the Securities Act,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191" w:lineRule="exact"/>
        <w:rPr>
          <w:rFonts w:ascii="Times New Roman" w:cs="Times New Roman" w:eastAsia="Times New Roman" w:hAnsi="Times New Roman"/>
          <w:sz w:val="18"/>
          <w:szCs w:val="18"/>
          <w:color w:val="auto"/>
        </w:rPr>
      </w:pPr>
    </w:p>
    <w:p>
      <w:pPr>
        <w:ind w:left="4" w:firstLine="436"/>
        <w:spacing w:after="0" w:line="276" w:lineRule="auto"/>
        <w:tabs>
          <w:tab w:leader="none" w:pos="699"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Dealer and Counterparty agrees and acknowledges that Dealer is a “financial institution,” “swap participant” and “financial participant” within the meaning of Sections 101(22), 101(53C) and 101(22A) of the Bankruptcy Code. The parties hereto further agree and acknowledge</w:t>
      </w:r>
    </w:p>
    <w:p>
      <w:pPr>
        <w:ind w:left="304" w:hanging="304"/>
        <w:spacing w:after="0"/>
        <w:tabs>
          <w:tab w:leader="none" w:pos="30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this Confirmation is (i) a “securities contract,” as such term is defined in Section 741(7) of the Bankruptcy Code, with respect to which each</w:t>
      </w:r>
    </w:p>
    <w:p>
      <w:pPr>
        <w:spacing w:after="0" w:line="9" w:lineRule="exact"/>
        <w:rPr>
          <w:rFonts w:ascii="Times New Roman" w:cs="Times New Roman" w:eastAsia="Times New Roman" w:hAnsi="Times New Roman"/>
          <w:sz w:val="18"/>
          <w:szCs w:val="18"/>
          <w:color w:val="auto"/>
        </w:rPr>
      </w:pPr>
    </w:p>
    <w:p>
      <w:pPr>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and delivery hereunder or in connection herewith is a “termination value,” “payment amount” or “other transfer obligation” within the meaning of Section 362 of the Bankruptcy Code and a “settlement payment” within the meaning of Section 546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within the meaning of Section 546 of the Bankruptcy Code, and (B) that Dealer is entitled to the protections afforded by, among other sections, Sections 362(b)(6), 362(b)(17), 362(b)(27), 362(o), 546(e), 546(g), 546(j), 548(d)(2), 555, 560 and 561 of the Bankruptcy Code.</w:t>
      </w:r>
    </w:p>
    <w:p>
      <w:pPr>
        <w:spacing w:after="0" w:line="189" w:lineRule="exact"/>
        <w:rPr>
          <w:rFonts w:ascii="Times New Roman" w:cs="Times New Roman" w:eastAsia="Times New Roman" w:hAnsi="Times New Roman"/>
          <w:sz w:val="18"/>
          <w:szCs w:val="18"/>
          <w:color w:val="auto"/>
        </w:rPr>
      </w:pPr>
    </w:p>
    <w:p>
      <w:pPr>
        <w:ind w:left="4" w:firstLine="436"/>
        <w:spacing w:after="0" w:line="261" w:lineRule="auto"/>
        <w:tabs>
          <w:tab w:leader="none" w:pos="689"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to the effectiveness of the Transaction, Counterparty shall deliver to Dealer an opinion of counsel, dated as of the Effective Date and reasonably acceptable to Dealer in form and substance, with respect to certain of the matters set forth in Section 3(a)(i), (ii), (iii) and (iv) of the Agreement and Section 7(a)(viii)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opinion of counsel may contain customary exceptions and qualifications, including, without limitation, exceptions and qualifications relating to indemnification provisions.</w:t>
      </w:r>
    </w:p>
    <w:p>
      <w:pPr>
        <w:spacing w:after="0" w:line="179" w:lineRule="exact"/>
        <w:rPr>
          <w:rFonts w:ascii="Times New Roman" w:cs="Times New Roman" w:eastAsia="Times New Roman" w:hAnsi="Times New Roman"/>
          <w:sz w:val="18"/>
          <w:szCs w:val="18"/>
          <w:color w:val="auto"/>
        </w:rPr>
      </w:pPr>
    </w:p>
    <w:p>
      <w:pPr>
        <w:ind w:left="4" w:firstLine="436"/>
        <w:spacing w:after="0" w:line="289" w:lineRule="auto"/>
        <w:tabs>
          <w:tab w:leader="none" w:pos="669"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Counterparty understands that notwithstanding any other relationship between Counterparty and Dealer and its affiliates, in connection with the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spacing w:after="0" w:line="157" w:lineRule="exact"/>
        <w:rPr>
          <w:rFonts w:ascii="Times New Roman" w:cs="Times New Roman" w:eastAsia="Times New Roman" w:hAnsi="Times New Roman"/>
          <w:sz w:val="17"/>
          <w:szCs w:val="17"/>
          <w:color w:val="auto"/>
        </w:rPr>
      </w:pPr>
    </w:p>
    <w:p>
      <w:pPr>
        <w:ind w:left="4" w:right="380" w:firstLine="436"/>
        <w:spacing w:after="0" w:line="282" w:lineRule="auto"/>
        <w:tabs>
          <w:tab w:leader="none" w:pos="699"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61"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699"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and warrants that it has received, read and understands the OTC Options Risk Disclosure Statement and a copy of the most recent disclosure pamphlet prepared by The Options Clearing Corporation entitled “Characteristics and Risks of Standardized Options”.]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55" w:name="page156"/>
    <w:bookmarkEnd w:id="155"/>
    <w:p>
      <w:pPr>
        <w:ind w:left="624" w:hanging="184"/>
        <w:spacing w:after="0"/>
        <w:tabs>
          <w:tab w:leader="none" w:pos="62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Provisions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 w:right="40" w:firstLine="436"/>
        <w:spacing w:after="0" w:line="254" w:lineRule="auto"/>
        <w:tabs>
          <w:tab w:leader="none" w:pos="689"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Extend</w:t>
      </w:r>
      <w:r>
        <w:rPr>
          <w:rFonts w:ascii="Times New Roman" w:cs="Times New Roman" w:eastAsia="Times New Roman" w:hAnsi="Times New Roman"/>
          <w:sz w:val="18"/>
          <w:szCs w:val="18"/>
          <w:color w:val="auto"/>
        </w:rPr>
        <w:t>. Dealer may divide any Component into additional Components and designate the Expiration Date and the Number of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each such Component if Dealer determines, (x) in good faith and a commercially reasonable manner, that such further division is necessary or advisable to preserve Dealer’s hedging or hedge unwind activity assuming Dealer maintains a commercially reasonable hedge position hereunder in light of existing liquidity conditions or (y) in good faith, based on the advice of counsel, that such further division is necessary or advisable to enable Dealer to effect transactions with respect to Shares in connection with its commercially reasonable hedging, hedge unwind or settlement activity hereunder in a manner that would, if Dealer were Counterparty or an affiliated purchaser of Counterparty, be compliant and consistent with applicable legal, regulatory or self-regulatory requirements, or with related policies and procedures that are generally applicable to transactions of the type of the Transaction and applied in a non-discriminatory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Expiration Date for any Component be postponed to a date later than the Final Termination Date.</w:t>
      </w:r>
    </w:p>
    <w:p>
      <w:pPr>
        <w:spacing w:after="0" w:line="188" w:lineRule="exact"/>
        <w:rPr>
          <w:rFonts w:ascii="Times New Roman" w:cs="Times New Roman" w:eastAsia="Times New Roman" w:hAnsi="Times New Roman"/>
          <w:sz w:val="18"/>
          <w:szCs w:val="18"/>
          <w:color w:val="auto"/>
        </w:rPr>
      </w:pPr>
    </w:p>
    <w:p>
      <w:pPr>
        <w:ind w:left="4" w:firstLine="436"/>
        <w:spacing w:after="0" w:line="267" w:lineRule="auto"/>
        <w:tabs>
          <w:tab w:leader="none" w:pos="699"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Additional Termination Events</w:t>
      </w:r>
      <w:r>
        <w:rPr>
          <w:rFonts w:ascii="Times New Roman" w:cs="Times New Roman" w:eastAsia="Times New Roman" w:hAnsi="Times New Roman"/>
          <w:sz w:val="17"/>
          <w:szCs w:val="17"/>
          <w:color w:val="auto"/>
        </w:rPr>
        <w:t>. Promptly (but in any event within ten (10) Scheduled Trading Days) following any repurchase, redemption,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exchange (other than an exchange pursuant to Section [14.12] of the Indenture (as defined below)) or conversion of any of Counterparty’s [__]% Convertible Senior Notes due 2032 (the “</w:t>
      </w:r>
      <w:r>
        <w:rPr>
          <w:rFonts w:ascii="Times New Roman" w:cs="Times New Roman" w:eastAsia="Times New Roman" w:hAnsi="Times New Roman"/>
          <w:sz w:val="17"/>
          <w:szCs w:val="17"/>
          <w:b w:val="1"/>
          <w:bCs w:val="1"/>
          <w:color w:val="auto"/>
        </w:rPr>
        <w:t>Convertible Notes</w:t>
      </w:r>
      <w:r>
        <w:rPr>
          <w:rFonts w:ascii="Times New Roman" w:cs="Times New Roman" w:eastAsia="Times New Roman" w:hAnsi="Times New Roman"/>
          <w:sz w:val="17"/>
          <w:szCs w:val="17"/>
          <w:color w:val="auto"/>
        </w:rPr>
        <w:t>”) issued pursuant to an Indenture [to be] dated May [____], 2026 between Counterparty and U.S. Bank Trust Company, National Association, as trustee (the “</w:t>
      </w:r>
      <w:r>
        <w:rPr>
          <w:rFonts w:ascii="Times New Roman" w:cs="Times New Roman" w:eastAsia="Times New Roman" w:hAnsi="Times New Roman"/>
          <w:sz w:val="17"/>
          <w:szCs w:val="17"/>
          <w:b w:val="1"/>
          <w:bCs w:val="1"/>
          <w:color w:val="auto"/>
        </w:rPr>
        <w:t>Indenture</w:t>
      </w:r>
      <w:r>
        <w:rPr>
          <w:rFonts w:ascii="Times New Roman" w:cs="Times New Roman" w:eastAsia="Times New Roman" w:hAnsi="Times New Roman"/>
          <w:sz w:val="17"/>
          <w:szCs w:val="17"/>
          <w:color w:val="auto"/>
        </w:rPr>
        <w:t>”), Counterparty may (but is not required to) notify Dealer in writing of such repurchase, redemption, exchange or conversion, the number of Convertible Notes (in the principal amount of USD 1,000) so repurchased, redeemed, exchanged or converted, the number of Shares underlying such Convertible Notes (excluding, for the avoidance of doubt, any Shares by which the “conversion rate” for such Convertible Notes may be increased as a result of a “make-whole fundamental change” or a notice of redemption) and the number of Options as to which Counterparty elects to exercise its termination rights under this Section 8(b) (any such notice, a “</w:t>
      </w:r>
      <w:r>
        <w:rPr>
          <w:rFonts w:ascii="Times New Roman" w:cs="Times New Roman" w:eastAsia="Times New Roman" w:hAnsi="Times New Roman"/>
          <w:sz w:val="17"/>
          <w:szCs w:val="17"/>
          <w:b w:val="1"/>
          <w:bCs w:val="1"/>
          <w:color w:val="auto"/>
        </w:rPr>
        <w:t>Note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Repurchase Notice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any “Note Repurchase Notice” delivered to Dealer pursuant to the Base Capped Call Transaction Confirmation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dated May [____], 2026 between Dealer and Counterparty (the “</w:t>
      </w:r>
      <w:r>
        <w:rPr>
          <w:rFonts w:ascii="Times New Roman" w:cs="Times New Roman" w:eastAsia="Times New Roman" w:hAnsi="Times New Roman"/>
          <w:sz w:val="17"/>
          <w:szCs w:val="17"/>
          <w:b w:val="1"/>
          <w:bCs w:val="1"/>
          <w:color w:val="auto"/>
        </w:rPr>
        <w:t>Base Capped Call Transaction Confirmation</w:t>
      </w:r>
      <w:r>
        <w:rPr>
          <w:rFonts w:ascii="Times New Roman" w:cs="Times New Roman" w:eastAsia="Times New Roman" w:hAnsi="Times New Roman"/>
          <w:sz w:val="17"/>
          <w:szCs w:val="17"/>
          <w:color w:val="auto"/>
        </w:rPr>
        <w:t xml:space="preserve">”) shall be deemed to be a Note Repurchase Notice pursuant to this Confirmation and the terms of such Note Repurchase Notice shall apply,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to this Confirmation]. Notwithstanding anything to the contrary in this Confirmation, the receipt by Dealer from Counterparty of (x) any Note Repurchase Notice, within the applicable time period set forth in the preceding sentence, (y) a written representation and warranty by Counterparty that, as of the date of such Note Repurchase Notice, Counterparty is not in possession of any material non-public information regarding Counterparty or the Shares, and (z) a written representation and warranty by Counterparty that the aggregate Repurchase Options (as defined below), together with any options being terminated concurrently under other capped call transactions entered into in connection with the issuance of the Convertible Notes, will not exceed the number of Shares underlying the Convertible Notes specified in such Note Repurchase Notice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the Option Entitlement, shall constitute an Additional Termination Event as provided in this paragraph. Upon receipt of any such Note Repurchase Notice and the related written representations and warranties, Dealer shall promptly designate an Exchange Business Day following receipt of such Note Repurchase Notice as an Early Termination Date with respect to the portion of the Transaction corresponding to a number of Options (the “</w:t>
      </w:r>
      <w:r>
        <w:rPr>
          <w:rFonts w:ascii="Times New Roman" w:cs="Times New Roman" w:eastAsia="Times New Roman" w:hAnsi="Times New Roman"/>
          <w:sz w:val="17"/>
          <w:szCs w:val="17"/>
          <w:b w:val="1"/>
          <w:bCs w:val="1"/>
          <w:color w:val="auto"/>
        </w:rPr>
        <w:t>Repurchase Options</w:t>
      </w:r>
      <w:r>
        <w:rPr>
          <w:rFonts w:ascii="Times New Roman" w:cs="Times New Roman" w:eastAsia="Times New Roman" w:hAnsi="Times New Roman"/>
          <w:sz w:val="17"/>
          <w:szCs w:val="17"/>
          <w:color w:val="auto"/>
        </w:rPr>
        <w:t>”) equal to the lesser of (A) the number of Options specified in such Note Repurchase Notice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the number of “Repurchase Options” (as defined in the Base Capped Call Transaction Confirmation), if any, that relate to such Convertible Notes (and for purposes of determining whether any Options under this Confirmation or under, and as defined in, the Base Capped Call Transaction Confirmation shall be among the Repurchase Options hereunder or under, and as defined in, the Base Capped Call Transaction Confirmation, the number of Options specified in such Note Repurchase Notice shall be allocated first to the Base Capped Call Transaction Confirmation until all Options thereunder are exercised or terminated)] and (B) the aggregate Number of Options as of the date Dealer designates such Early Termination Date and, as of such date, the aggregate Number of Options shall be reduced by the number of Repurchase Options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across all Components, as determined by the Calculation Agent in a commercially reasonable manner. Any payment hereunder with respect to such termination shall be calculated pursuant to Section 6 of the Agreement as if (1) an Early Termination Date had been designated in respect of a Transaction having terms identical to the Transaction and an aggregate Number of Options equal to the number of Repurchase Options,</w:t>
      </w:r>
    </w:p>
    <w:p>
      <w:pPr>
        <w:spacing w:after="0" w:line="195" w:lineRule="exact"/>
        <w:rPr>
          <w:rFonts w:ascii="Times New Roman" w:cs="Times New Roman" w:eastAsia="Times New Roman" w:hAnsi="Times New Roman"/>
          <w:sz w:val="17"/>
          <w:szCs w:val="17"/>
          <w:color w:val="auto"/>
        </w:rPr>
      </w:pPr>
    </w:p>
    <w:p>
      <w:pPr>
        <w:ind w:left="4" w:right="60" w:hanging="4"/>
        <w:spacing w:after="0" w:line="255" w:lineRule="auto"/>
        <w:tabs>
          <w:tab w:leader="none" w:pos="25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were the sole Affected Party with respect to such Additional Termination Event, (3) the terminated portion of the Transaction were the sole Affected Transaction and (4) Dealer were the party entitled to designate an Early Termination Date pursuant to Section 6(b) of the Agreement and to determine the amount payable pursuant to Section 6(e) of the Agreement.</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156" w:name="page157"/>
    <w:bookmarkEnd w:id="156"/>
    <w:p>
      <w:pPr>
        <w:ind w:left="4" w:right="160" w:firstLine="436"/>
        <w:spacing w:after="0" w:line="271" w:lineRule="auto"/>
        <w:tabs>
          <w:tab w:leader="none" w:pos="689"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Alternative Calculations and Payment on Early Termination and on Certain Extraordinary Events</w:t>
      </w:r>
      <w:r>
        <w:rPr>
          <w:rFonts w:ascii="Times New Roman" w:cs="Times New Roman" w:eastAsia="Times New Roman" w:hAnsi="Times New Roman"/>
          <w:sz w:val="17"/>
          <w:szCs w:val="17"/>
          <w:color w:val="auto"/>
        </w:rPr>
        <w:t>. If (a) an Early Termination Date (whether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 Merger Event or Tender Offer that is within Counterparty’s control, or</w:t>
      </w:r>
    </w:p>
    <w:p>
      <w:pPr>
        <w:spacing w:after="0" w:line="1" w:lineRule="exact"/>
        <w:rPr>
          <w:rFonts w:ascii="Times New Roman" w:cs="Times New Roman" w:eastAsia="Times New Roman" w:hAnsi="Times New Roman"/>
          <w:sz w:val="17"/>
          <w:szCs w:val="17"/>
          <w:color w:val="auto"/>
        </w:rPr>
      </w:pPr>
    </w:p>
    <w:p>
      <w:pPr>
        <w:ind w:left="4" w:right="60" w:hanging="4"/>
        <w:spacing w:after="0" w:line="265" w:lineRule="auto"/>
        <w:tabs>
          <w:tab w:leader="none" w:pos="319"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Event of Default in which Counterparty is the Defaulting Party or a Termination Event in which Counterparty is the Affected Party, which Event of Default or Termination Event resulted from an event or events within Counterparty’s control), and if Dealer would owe any amount to Counterparty pursuant to Section 6(d)(ii) and 6(e) of the Agreement or any Cancellation Amount pursuant to Article 12 of the Equity Definitions (any such amount, a “</w:t>
      </w:r>
      <w:r>
        <w:rPr>
          <w:rFonts w:ascii="Times New Roman" w:cs="Times New Roman" w:eastAsia="Times New Roman" w:hAnsi="Times New Roman"/>
          <w:sz w:val="17"/>
          <w:szCs w:val="17"/>
          <w:b w:val="1"/>
          <w:bCs w:val="1"/>
          <w:color w:val="auto"/>
        </w:rPr>
        <w:t>Payment Obligation</w:t>
      </w:r>
      <w:r>
        <w:rPr>
          <w:rFonts w:ascii="Times New Roman" w:cs="Times New Roman" w:eastAsia="Times New Roman" w:hAnsi="Times New Roman"/>
          <w:sz w:val="17"/>
          <w:szCs w:val="17"/>
          <w:color w:val="auto"/>
        </w:rPr>
        <w:t>”), then Dealer shall satisfy the Payment Obligation by the Share Termination Alternative (as defined below) unless</w:t>
      </w:r>
    </w:p>
    <w:p>
      <w:pPr>
        <w:ind w:left="4" w:hanging="4"/>
        <w:spacing w:after="0" w:line="252" w:lineRule="auto"/>
        <w:tabs>
          <w:tab w:leader="none" w:pos="24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gives irrevocable telephonic notice to Dealer, confirmed in writing within one Scheduled Trading Day, no later than 5:00 p.m. (New York City time) on the Merger Date, Tender Offer Date, Announcement Date (in the case of a Nationalization, Insolvency or Delisting), Early Termination Date or date of cancellation, as applicable, of its election that the Share Termination Alternative shall not apply, (b) as of the date of such election, Counterparty represents that it is not in possession of any material non-public information regarding Counterparty or the Shares, and that such election is being made in good faith and not as part of a plan or scheme to evade compliance with the federal securities laws, and (c) Dealer agrees, in its commercially reasonable discretion, to such election, in which case the provisions of Section 12.7 or Section 12.9 of the Equity Definitions, or the provisions of Section 6(d)(ii) and 6(e) of the Agreement, as the case may be, shall apply.</w:t>
      </w:r>
    </w:p>
    <w:p>
      <w:pPr>
        <w:sectPr>
          <w:pgSz w:w="11900" w:h="16838" w:orient="portrait"/>
          <w:cols w:equalWidth="0" w:num="1">
            <w:col w:w="11004"/>
          </w:cols>
          <w:pgMar w:left="436" w:top="268" w:right="459" w:bottom="1440" w:gutter="0" w:footer="0" w:header="0"/>
        </w:sectPr>
      </w:pPr>
    </w:p>
    <w:p>
      <w:pPr>
        <w:spacing w:after="0" w:line="2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Share Termination Alternative: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p>
      <w:pPr>
        <w:spacing w:after="0" w:line="60" w:lineRule="exact"/>
        <w:rPr>
          <w:sz w:val="20"/>
          <w:szCs w:val="20"/>
          <w:color w:val="auto"/>
        </w:rPr>
      </w:pPr>
    </w:p>
    <w:p>
      <w:pPr>
        <w:sectPr>
          <w:pgSz w:w="11900" w:h="16838" w:orient="portrait"/>
          <w:cols w:equalWidth="0" w:num="2">
            <w:col w:w="3484" w:space="720"/>
            <w:col w:w="6800"/>
          </w:cols>
          <w:pgMar w:left="436" w:top="268"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Share Termination Delivery Property:</w:t>
      </w:r>
    </w:p>
    <w:p>
      <w:pPr>
        <w:spacing w:after="0" w:line="20" w:lineRule="exact"/>
        <w:rPr>
          <w:sz w:val="20"/>
          <w:szCs w:val="20"/>
          <w:color w:val="auto"/>
        </w:rPr>
      </w:pPr>
      <w:r>
        <w:rPr>
          <w:sz w:val="20"/>
          <w:szCs w:val="20"/>
          <w:color w:val="auto"/>
        </w:rPr>
        <w:br w:type="column"/>
      </w: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A number of Share Termination Delivery Units, as calculated by the Calculation Agent, equal to the Payment Obligation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75" w:lineRule="exact"/>
        <w:rPr>
          <w:sz w:val="20"/>
          <w:szCs w:val="20"/>
          <w:color w:val="auto"/>
        </w:rPr>
      </w:pPr>
    </w:p>
    <w:p>
      <w:pPr>
        <w:sectPr>
          <w:pgSz w:w="11900" w:h="16838" w:orient="portrait"/>
          <w:cols w:equalWidth="0" w:num="2">
            <w:col w:w="3484" w:space="720"/>
            <w:col w:w="6800"/>
          </w:cols>
          <w:pgMar w:left="436" w:top="268"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Share Termination Unit Price:</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The value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Unit Price the Calculation Agent may consider a variety of factors, including the market price of the Share Termination Delivery Units and/or the purchase price paid in connection with the commercially reasonable purchase of Share Termination Delivery Property.</w:t>
      </w:r>
    </w:p>
    <w:p>
      <w:pPr>
        <w:spacing w:after="0" w:line="121" w:lineRule="exact"/>
        <w:rPr>
          <w:sz w:val="20"/>
          <w:szCs w:val="20"/>
          <w:color w:val="auto"/>
        </w:rPr>
      </w:pPr>
    </w:p>
    <w:p>
      <w:pPr>
        <w:sectPr>
          <w:pgSz w:w="11900" w:h="16838" w:orient="portrait"/>
          <w:cols w:equalWidth="0" w:num="2">
            <w:col w:w="3484" w:space="720"/>
            <w:col w:w="6800"/>
          </w:cols>
          <w:pgMar w:left="436" w:top="268" w:right="459" w:bottom="1440" w:gutter="0" w:footer="0" w:header="0"/>
          <w:type w:val="continuous"/>
        </w:sect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68" w:right="459" w:bottom="1440" w:gutter="0" w:footer="0" w:header="0"/>
          <w:type w:val="continuous"/>
        </w:sectPr>
      </w:pPr>
    </w:p>
    <w:bookmarkStart w:id="157" w:name="page158"/>
    <w:bookmarkEnd w:id="157"/>
    <w:p>
      <w:pPr>
        <w:ind w:left="4"/>
        <w:spacing w:after="0"/>
        <w:rPr>
          <w:sz w:val="20"/>
          <w:szCs w:val="20"/>
          <w:color w:val="auto"/>
        </w:rPr>
      </w:pPr>
      <w:r>
        <w:rPr>
          <w:rFonts w:ascii="Times New Roman" w:cs="Times New Roman" w:eastAsia="Times New Roman" w:hAnsi="Times New Roman"/>
          <w:sz w:val="17"/>
          <w:szCs w:val="17"/>
          <w:color w:val="auto"/>
        </w:rPr>
        <w:t>Share Termination Delivery Unit: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One Share or, if the Shares have changed into cash or any other property or the right to receive cash or any other property as the result of a Nationalization, Insolvency or Merger Event (any such cash or other property, the “</w:t>
      </w:r>
      <w:r>
        <w:rPr>
          <w:rFonts w:ascii="Times New Roman" w:cs="Times New Roman" w:eastAsia="Times New Roman" w:hAnsi="Times New Roman"/>
          <w:sz w:val="18"/>
          <w:szCs w:val="18"/>
          <w:b w:val="1"/>
          <w:bCs w:val="1"/>
          <w:color w:val="auto"/>
        </w:rPr>
        <w:t>Exchange Property</w:t>
      </w:r>
      <w:r>
        <w:rPr>
          <w:rFonts w:ascii="Times New Roman" w:cs="Times New Roman" w:eastAsia="Times New Roman" w:hAnsi="Times New Roman"/>
          <w:sz w:val="18"/>
          <w:szCs w:val="18"/>
          <w:color w:val="auto"/>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-1128395</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3484" w:space="720"/>
            <w:col w:w="6800"/>
          </w:cols>
          <w:pgMar w:left="436" w:top="378" w:right="459" w:bottom="1440" w:gutter="0" w:footer="0" w:header="0"/>
        </w:sectPr>
      </w:pPr>
    </w:p>
    <w:p>
      <w:pPr>
        <w:ind w:left="4"/>
        <w:spacing w:after="0"/>
        <w:rPr>
          <w:sz w:val="20"/>
          <w:szCs w:val="20"/>
          <w:color w:val="auto"/>
        </w:rPr>
      </w:pPr>
      <w:r>
        <w:rPr>
          <w:rFonts w:ascii="Times New Roman" w:cs="Times New Roman" w:eastAsia="Times New Roman" w:hAnsi="Times New Roman"/>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9" w:lineRule="exact"/>
        <w:rPr>
          <w:sz w:val="20"/>
          <w:szCs w:val="20"/>
          <w:color w:val="auto"/>
        </w:rPr>
      </w:pPr>
    </w:p>
    <w:p>
      <w:pPr>
        <w:sectPr>
          <w:pgSz w:w="11900" w:h="16838" w:orient="portrait"/>
          <w:cols w:equalWidth="0" w:num="2">
            <w:col w:w="3484" w:space="720"/>
            <w:col w:w="6800"/>
          </w:cols>
          <w:pgMar w:left="436" w:top="378"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Times New Roman" w:cs="Times New Roman" w:eastAsia="Times New Roman" w:hAnsi="Times New Roman"/>
          <w:sz w:val="18"/>
          <w:szCs w:val="18"/>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the Share Termination Alternative is applicable to the Transaction.</w:t>
      </w:r>
    </w:p>
    <w:p>
      <w:pPr>
        <w:spacing w:after="0" w:line="187" w:lineRule="exact"/>
        <w:rPr>
          <w:sz w:val="20"/>
          <w:szCs w:val="20"/>
          <w:color w:val="auto"/>
        </w:rPr>
      </w:pPr>
    </w:p>
    <w:p>
      <w:pPr>
        <w:sectPr>
          <w:pgSz w:w="11900" w:h="16838" w:orient="portrait"/>
          <w:cols w:equalWidth="0" w:num="2">
            <w:col w:w="3484" w:space="720"/>
            <w:col w:w="6800"/>
          </w:cols>
          <w:pgMar w:left="436" w:top="378" w:right="459" w:bottom="1440" w:gutter="0" w:footer="0" w:header="0"/>
          <w:type w:val="continuous"/>
        </w:sectPr>
      </w:pPr>
    </w:p>
    <w:p>
      <w:pPr>
        <w:ind w:left="4" w:right="80" w:firstLine="436"/>
        <w:spacing w:after="0" w:line="273" w:lineRule="auto"/>
        <w:tabs>
          <w:tab w:leader="none" w:pos="699"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Disposition of Hedge Shares</w:t>
      </w:r>
      <w:r>
        <w:rPr>
          <w:rFonts w:ascii="Times New Roman" w:cs="Times New Roman" w:eastAsia="Times New Roman" w:hAnsi="Times New Roman"/>
          <w:sz w:val="17"/>
          <w:szCs w:val="17"/>
          <w:color w:val="auto"/>
        </w:rPr>
        <w:t>. Counterparty hereby agrees that if, in the good faith reasonable judgment of Dealer, based on the advice of legal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counsel, the Shares acquired by Dealer for the purpose of effecting a commercially reasonable hedge of its obligations pursuant to the Transaction (the “</w:t>
      </w:r>
      <w:r>
        <w:rPr>
          <w:rFonts w:ascii="Times New Roman" w:cs="Times New Roman" w:eastAsia="Times New Roman" w:hAnsi="Times New Roman"/>
          <w:sz w:val="17"/>
          <w:szCs w:val="17"/>
          <w:b w:val="1"/>
          <w:bCs w:val="1"/>
          <w:color w:val="auto"/>
        </w:rPr>
        <w:t>Hedge Shares</w:t>
      </w:r>
      <w:r>
        <w:rPr>
          <w:rFonts w:ascii="Times New Roman" w:cs="Times New Roman" w:eastAsia="Times New Roman" w:hAnsi="Times New Roman"/>
          <w:sz w:val="17"/>
          <w:szCs w:val="17"/>
          <w:color w:val="auto"/>
        </w:rPr>
        <w:t>”) cannot be sold in the U.S. public market by Dealer without registration under the Securities Act, Counterparty shall, at its election:</w:t>
      </w:r>
    </w:p>
    <w:p>
      <w:pPr>
        <w:spacing w:after="0" w:line="1" w:lineRule="exact"/>
        <w:rPr>
          <w:rFonts w:ascii="Times New Roman" w:cs="Times New Roman" w:eastAsia="Times New Roman" w:hAnsi="Times New Roman"/>
          <w:sz w:val="17"/>
          <w:szCs w:val="17"/>
          <w:color w:val="auto"/>
        </w:rPr>
      </w:pPr>
    </w:p>
    <w:p>
      <w:pPr>
        <w:ind w:left="4" w:right="520" w:hanging="4"/>
        <w:spacing w:after="0" w:line="265" w:lineRule="auto"/>
        <w:tabs>
          <w:tab w:leader="none" w:pos="219"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for companies of a similar size in a similar industry, (B) provide accountant’s “comfort” letters in customary form for registered offerings of equity securities for companies of a similar size in a similar industry,</w:t>
      </w:r>
    </w:p>
    <w:p>
      <w:pPr>
        <w:ind w:left="4"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provide disclosure opinions of nationally recognized outside counsel to Counterparty in customary form for registered offerings of equity securities for companies of a similar size in a similar industry, (D) provide other customary opinions, certificates and closing documents customary in form for registered offerings of equity securities for companies of a similar size in a similar industry and (E) afford Dealer a reasonable opportunity to conduct a “due diligence” investigation with respect to Counterparty customary in scope for underwritten offerings of equity securities for companies of a similar size in a similar industry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Counterparty elects clause (i) above but Dealer, in its commercially reasonable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companies of a similar size in a similar industry, in form and substance commercially reasonably satisfactory to Dealer using best efforts to include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placements agreements of equity securities of companies of a similar size in a similar industry, as is reasonably acceptable to Dealer (in which case, the Calculation Agent shall make any adjustments to the terms of the Transaction that are necessary, in its good faith and commercially reasonable judgment, to compensate Dealer for any customary liquidity discount from the public market price of the Shares incurred on the sale of Hedge Shares in a private placement); or (iii) purchase the Hedge Shares from Dealer at the then-current market price on such Exchange Business Days, and in the amounts and at such time(s), commercially reasonably requested by Dealer. This Section 8(d) shall survive the termination, expiration or early unwind of the Transaction.</w:t>
      </w:r>
    </w:p>
    <w:p>
      <w:pPr>
        <w:spacing w:after="0" w:line="187" w:lineRule="exact"/>
        <w:rPr>
          <w:rFonts w:ascii="Times New Roman" w:cs="Times New Roman" w:eastAsia="Times New Roman" w:hAnsi="Times New Roman"/>
          <w:sz w:val="17"/>
          <w:szCs w:val="17"/>
          <w:color w:val="auto"/>
        </w:rPr>
      </w:pPr>
    </w:p>
    <w:p>
      <w:pPr>
        <w:ind w:left="4" w:right="480" w:firstLine="436"/>
        <w:spacing w:after="0" w:line="261" w:lineRule="auto"/>
        <w:tabs>
          <w:tab w:leader="none" w:pos="689"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Notices</w:t>
      </w:r>
      <w:r>
        <w:rPr>
          <w:rFonts w:ascii="Times New Roman" w:cs="Times New Roman" w:eastAsia="Times New Roman" w:hAnsi="Times New Roman"/>
          <w:sz w:val="18"/>
          <w:szCs w:val="18"/>
          <w:color w:val="auto"/>
        </w:rPr>
        <w:t>. Counterparty shall, on or prior to the date one Scheduled Valid Day immediately following any day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has effected any repurchase of Shares, give Dealer written notice of such repurchase (a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 if, following such repurchase, the Notice Percentage is (i) greater than [__]% (in the case of the first such notice) and (ii) thereafter greater by 0.5% or more than the Notice Percentage included</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378" w:right="459" w:bottom="1440" w:gutter="0" w:footer="0" w:header="0"/>
          <w:type w:val="continuous"/>
        </w:sectPr>
      </w:pPr>
    </w:p>
    <w:bookmarkStart w:id="158" w:name="page159"/>
    <w:bookmarkEnd w:id="15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immediately preceding Repurchase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repurchases of Shares pursuant to a plan under Rule 10b5-1 under the Exchange Act, Counterparty may elect to satisfy such requirement by promptly giving Dealer written notice of entry into such plan, the maximum number of Shares that may be purchased thereunder and the approximate dates or periods during which such repurchases may occur (with such maximum number of Shares deemed repurchased on the date of such notice for purposes of this Section 8(e)). The “</w:t>
      </w:r>
      <w:r>
        <w:rPr>
          <w:rFonts w:ascii="Times New Roman" w:cs="Times New Roman" w:eastAsia="Times New Roman" w:hAnsi="Times New Roman"/>
          <w:sz w:val="18"/>
          <w:szCs w:val="18"/>
          <w:b w:val="1"/>
          <w:bCs w:val="1"/>
          <w:color w:val="auto"/>
        </w:rPr>
        <w:t>Notice Percentage</w:t>
      </w:r>
      <w:r>
        <w:rPr>
          <w:rFonts w:ascii="Times New Roman" w:cs="Times New Roman" w:eastAsia="Times New Roman" w:hAnsi="Times New Roman"/>
          <w:sz w:val="18"/>
          <w:szCs w:val="18"/>
          <w:color w:val="auto"/>
        </w:rPr>
        <w:t xml:space="preserve">” as of any day is the fraction, expressed as a percentage, the numerator of which is the Number of Transaction Shares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number of Shares underlying any other capped call transactions sold by Dealer to Counterparty and the denominator of which is the number of Shares outstanding on such day. [If there exists any other agreement(s) relating to capped call transactions between Counterparty and Dealer entered into prior to [</w:t>
      </w:r>
      <w:r>
        <w:rPr>
          <w:rFonts w:ascii="Times New Roman" w:cs="Times New Roman" w:eastAsia="Times New Roman" w:hAnsi="Times New Roman"/>
          <w:sz w:val="18"/>
          <w:szCs w:val="18"/>
          <w:i w:val="1"/>
          <w:iCs w:val="1"/>
          <w:color w:val="auto"/>
        </w:rPr>
        <w:t>Insert Date of Base Capped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 Confirmation</w:t>
      </w:r>
      <w:r>
        <w:rPr>
          <w:rFonts w:ascii="Times New Roman" w:cs="Times New Roman" w:eastAsia="Times New Roman" w:hAnsi="Times New Roman"/>
          <w:sz w:val="18"/>
          <w:szCs w:val="18"/>
          <w:color w:val="auto"/>
        </w:rPr>
        <w:t>] under which (i) any “transaction” (as defined therein) is outstanding and (ii) Counterparty is required to deliver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notice” (each such agreement, an “</w:t>
      </w:r>
      <w:r>
        <w:rPr>
          <w:rFonts w:ascii="Times New Roman" w:cs="Times New Roman" w:eastAsia="Times New Roman" w:hAnsi="Times New Roman"/>
          <w:sz w:val="18"/>
          <w:szCs w:val="18"/>
          <w:b w:val="1"/>
          <w:bCs w:val="1"/>
          <w:color w:val="auto"/>
        </w:rPr>
        <w:t>Existing Capped Call Agreement</w:t>
      </w:r>
      <w:r>
        <w:rPr>
          <w:rFonts w:ascii="Times New Roman" w:cs="Times New Roman" w:eastAsia="Times New Roman" w:hAnsi="Times New Roman"/>
          <w:sz w:val="18"/>
          <w:szCs w:val="18"/>
          <w:color w:val="auto"/>
        </w:rPr>
        <w:t xml:space="preserve">”), then for so long as this Transaction remains outstanding, (x) the thresholds specified in each Existing Capped Call Agreement for the obligation of Counterparty to deliver a “repurchase notice” shall be replaced with the thresholds set forth above in this Section 8(e) and (y) any Repurchase Notice delivered to Dealer on the day and in the manner specified in this Section 8(e) shall be deemed to be a “repurchase notice” pursuant to each Existing Capped Call Agreement and the terms of this Section 8(e) and such Repurchase Notice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each Existing Capped Call Agreement.]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Times New Roman" w:cs="Times New Roman" w:eastAsia="Times New Roman" w:hAnsi="Times New Roman"/>
          <w:sz w:val="18"/>
          <w:szCs w:val="18"/>
          <w:b w:val="1"/>
          <w:bCs w:val="1"/>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from and against any and all losses (including losses relating to Dealer’s commercially reasonable hedging activities as a consequence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becoming, or of the risk of becoming, a Section 16 “insider”, including without limitation, any forbearance from hedging activities or cessation of hedging activities and any losses in connection therewith with respect to the Transaction), claims, damages and liabilities (or actions in respect thereof), joint or several, to which such Indemnified Party may become subject under applicable securities laws, including without limitation, Section 16 of the Exchange Act or under any U.S. state or federal law, regulation or regulatory order, in each case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commercially reasonable out-of-pocket expenses (including reasonable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in each case relating to or arising out of such failure. In addition, Counterparty shall not have liability for any settlement of any proceeding contemplated by this paragraph that is effected without its written consent, such consent not to be unreasonably withheld, but if settled with such consent or if there be a final judgment for the plaintiff, Counterparty agrees to indemnify any Indemnified Person from and against any loss or liability by reason of such settlement or judgment. This indemnity shall survive the completion of the Transaction contemplated by this Confirmation and any assignment and delegation of the Transaction made pursuant to this Confirmation or the Agreement and shall inure to the benefit of any permitted assignee of Dealer. Counterparty will not be liable under this indemnity provision to the extent any loss, claim, damage, liability or expense is found in a final and non-appealable judgment by a court of competent jurisdiction to have resulted from Dealer’s gross negligence or willful misconduct.</w:t>
      </w:r>
    </w:p>
    <w:p>
      <w:pPr>
        <w:spacing w:after="0" w:line="200" w:lineRule="exact"/>
        <w:rPr>
          <w:sz w:val="20"/>
          <w:szCs w:val="20"/>
          <w:color w:val="auto"/>
        </w:rPr>
      </w:pPr>
    </w:p>
    <w:p>
      <w:pPr>
        <w:ind w:right="20" w:firstLine="436"/>
        <w:spacing w:after="0" w:line="255" w:lineRule="auto"/>
        <w:tabs>
          <w:tab w:leader="none" w:pos="66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Assignment</w:t>
      </w:r>
      <w:r>
        <w:rPr>
          <w:rFonts w:ascii="Times New Roman" w:cs="Times New Roman" w:eastAsia="Times New Roman" w:hAnsi="Times New Roman"/>
          <w:sz w:val="18"/>
          <w:szCs w:val="18"/>
          <w:color w:val="auto"/>
        </w:rPr>
        <w:t>. (i) Dealer may transfer or assign any of its rights or obligations under the Transaction with the prior written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Counterparty, such consent not to be unreasonably withheld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Dealer may transfer or assign without any consent of Counterparty its rights and obligations hereunder, in whole or in part, to (A) any affiliate of Dealer whose obligations would be guaranteed by Dealer [or Dealer’s ultimate parent] or (B) any person (including any affiliate of Dealer whose obligations are not guaranteed in the manner described in clause (A)) or any person whose obligations would be guaranteed by a person (a “</w:t>
      </w:r>
      <w:r>
        <w:rPr>
          <w:rFonts w:ascii="Times New Roman" w:cs="Times New Roman" w:eastAsia="Times New Roman" w:hAnsi="Times New Roman"/>
          <w:sz w:val="18"/>
          <w:szCs w:val="18"/>
          <w:b w:val="1"/>
          <w:bCs w:val="1"/>
          <w:color w:val="auto"/>
        </w:rPr>
        <w:t>Designated Transferee</w:t>
      </w:r>
      <w:r>
        <w:rPr>
          <w:rFonts w:ascii="Times New Roman" w:cs="Times New Roman" w:eastAsia="Times New Roman" w:hAnsi="Times New Roman"/>
          <w:sz w:val="18"/>
          <w:szCs w:val="18"/>
          <w:color w:val="auto"/>
        </w:rPr>
        <w:t xml:space="preserve">”), in either case under this clause (B), with a rating for its long-term, unsecured and unsubordinated indebtedness at least equivalent to Dealer’s (or its guarantor’s) at the time of such transfer or assignment;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this clause (B), in no event shall the credit rating of the Designated Transferee or its guarantor (whichever is higher) be lower than A3 from Moody’s Investor Service, Inc.</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8" w:right="459" w:bottom="1440" w:gutter="0" w:footer="0" w:header="0"/>
        </w:sectPr>
      </w:pPr>
    </w:p>
    <w:bookmarkStart w:id="159" w:name="page160"/>
    <w:bookmarkEnd w:id="15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its successor or A- from Standard and Poor’s Rating Group, Inc. or its successor at the time of such transfer or assignment;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w:t>
      </w:r>
    </w:p>
    <w:p>
      <w:pPr>
        <w:spacing w:after="0" w:line="29" w:lineRule="exact"/>
        <w:rPr>
          <w:sz w:val="20"/>
          <w:szCs w:val="20"/>
          <w:color w:val="auto"/>
        </w:rPr>
      </w:pPr>
    </w:p>
    <w:p>
      <w:pPr>
        <w:jc w:val="both"/>
        <w:ind w:left="4" w:right="120" w:hanging="4"/>
        <w:spacing w:after="0" w:line="265" w:lineRule="auto"/>
        <w:tabs>
          <w:tab w:leader="none" w:pos="219"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Dealer will notify Counterparty in writing prior to any proposed transfer or assignment to a Designated Transferee, (ii) both Dealer and transferee in any such transfer or assignment are a “dealer in securities” within the meaning of Section 475(c)(1) of the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or the transfer or assignment does not result in a deemed exchange for Counterparty within the meaning of Section 1001 of the Code,</w:t>
      </w:r>
    </w:p>
    <w:p>
      <w:pPr>
        <w:ind w:left="4" w:right="60" w:hanging="4"/>
        <w:spacing w:after="0" w:line="250" w:lineRule="auto"/>
        <w:tabs>
          <w:tab w:leader="none" w:pos="31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any such transfer or assignment, except to the extent such different amount results from a change in law that occurred after the date of such transfer or assignment, Counterparty will not be required to (A) pay or deliver to the transferee or assignee of such rights or obligations on any payment date or delivery date an amount under Section 2(d)(i)(4) of the Agreement greater than the amount, if any, that Counterparty would have been required to pay or deliver to Dealer in the absence of such transfer or assignment or (B) receive from such transferee or assignee of such rights or obligations on any payment date or delivery date an amount or number of Shares, as applicable, less than the amount or number of Shares, as applicable, that Counterparty would have received (after taking into account any amounts paid or delivered under Section 2(d)(i)(4) of the Agreement, and any applicable withholding) from Dealer in the absence of such transfer or assignment, and (iv) Dealer shall cause the transferee or assignee to make such Payee Tax Representations and provide Counterparty with such tax documentation as may reasonably be requested by Counterparty, including a complete and accurate U.S. Internal Revenue Service Form W-9 or W-8 (as applicable), prior to becoming a party to the Transaction to permit Counterparty to make any necessary determinations pursuant to clauses (ii) and (iii) of this proviso. If, at any time at which (1) the Equity Percentage exceeds 8.0% or (2) Dealer, Dealer Group (as defined below) or any person whose ownership position would be aggregated with that of Dealer or Dealer Group (Dealer, Dealer Group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Nevada Revised Statutes 78.411 through 78.444, inclusive, or other federal, state or local law, rule, regulation or regulatory order or organizational documents or contracts of Counterparty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of a Dealer Person under Applicable Restrictions and with respect to which such requirements have not been met or the relevant approval has not been received, or could result in an adverse effect on a Dealer Person, under any Applicable Restriction, as determined by Dealer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1% of the number of Shares outstanding on the date of determination (either such condition described in clause (1) or (2), an “</w:t>
      </w:r>
      <w:r>
        <w:rPr>
          <w:rFonts w:ascii="Times New Roman" w:cs="Times New Roman" w:eastAsia="Times New Roman" w:hAnsi="Times New Roman"/>
          <w:sz w:val="18"/>
          <w:szCs w:val="18"/>
          <w:b w:val="1"/>
          <w:bCs w:val="1"/>
          <w:color w:val="auto"/>
        </w:rPr>
        <w:t>Excess Ownership Position</w:t>
      </w:r>
      <w:r>
        <w:rPr>
          <w:rFonts w:ascii="Times New Roman" w:cs="Times New Roman" w:eastAsia="Times New Roman" w:hAnsi="Times New Roman"/>
          <w:sz w:val="18"/>
          <w:szCs w:val="18"/>
          <w:color w:val="auto"/>
        </w:rPr>
        <w:t>”), Dealer, in its reasonable discretion, is unable to effect a transfer or assignment to a third party in accordance with the requirements set forth above after its commercially reasonable efforts on pricing and terms and within a time period reasonably acceptable to Dealer such that an Excess Ownership Position no longer exists, Dealer may designate any Scheduled Valid Day as an Early Termination Date with respect to a portion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of the Transaction, such that an Excess Ownership Position no longer exists following such partial termination. In the event that Dealer so designates an Early Termination Date with respect to a portion of the Transaction, a payment or delivery shall be made pursuant to Section 6 of the Agreement and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Terminated Transaction and (iv) Dealer were the party entitled to designate an Early Termination Date pursuant to</w:t>
      </w:r>
    </w:p>
    <w:p>
      <w:pPr>
        <w:spacing w:after="0" w:line="10" w:lineRule="exact"/>
        <w:rPr>
          <w:rFonts w:ascii="Times New Roman" w:cs="Times New Roman" w:eastAsia="Times New Roman" w:hAnsi="Times New Roman"/>
          <w:sz w:val="18"/>
          <w:szCs w:val="18"/>
          <w:color w:val="auto"/>
        </w:rPr>
      </w:pPr>
    </w:p>
    <w:p>
      <w:pPr>
        <w:ind w:left="4"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6(b) of the Agreement and to determine the amount payable pursuant to Section 6(e) of the Agreement. The “</w:t>
      </w:r>
      <w:r>
        <w:rPr>
          <w:rFonts w:ascii="Times New Roman" w:cs="Times New Roman" w:eastAsia="Times New Roman" w:hAnsi="Times New Roman"/>
          <w:sz w:val="18"/>
          <w:szCs w:val="18"/>
          <w:b w:val="1"/>
          <w:bCs w:val="1"/>
          <w:color w:val="auto"/>
        </w:rPr>
        <w:t>Equity 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(collectively, “</w:t>
      </w:r>
      <w:r>
        <w:rPr>
          <w:rFonts w:ascii="Times New Roman" w:cs="Times New Roman" w:eastAsia="Times New Roman" w:hAnsi="Times New Roman"/>
          <w:sz w:val="18"/>
          <w:szCs w:val="18"/>
          <w:b w:val="1"/>
          <w:bCs w:val="1"/>
          <w:color w:val="auto"/>
        </w:rPr>
        <w:t>Dealer Group</w:t>
      </w:r>
      <w:r>
        <w:rPr>
          <w:rFonts w:ascii="Times New Roman" w:cs="Times New Roman" w:eastAsia="Times New Roman" w:hAnsi="Times New Roman"/>
          <w:sz w:val="18"/>
          <w:szCs w:val="18"/>
          <w:color w:val="auto"/>
        </w:rPr>
        <w: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w:t>
      </w:r>
    </w:p>
    <w:p>
      <w:pPr>
        <w:spacing w:after="0" w:line="188" w:lineRule="exact"/>
        <w:rPr>
          <w:rFonts w:ascii="Times New Roman" w:cs="Times New Roman" w:eastAsia="Times New Roman" w:hAnsi="Times New Roman"/>
          <w:sz w:val="18"/>
          <w:szCs w:val="18"/>
          <w:color w:val="auto"/>
        </w:rPr>
      </w:pPr>
    </w:p>
    <w:p>
      <w:pPr>
        <w:ind w:left="4" w:firstLine="436"/>
        <w:spacing w:after="0" w:line="258" w:lineRule="auto"/>
        <w:tabs>
          <w:tab w:leader="none" w:pos="709"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may transfer or assign any of its rights or obligations under the Transaction with the prior written consent of Dealer, such consent not to be unreasonably withheld or delayed. In the case of a transfer or assignment by Counterparty of its rights and obligations hereunder and under the Agreement, in whole or in part (any such Options so transferred or assigned, the “</w:t>
      </w:r>
      <w:r>
        <w:rPr>
          <w:rFonts w:ascii="Times New Roman" w:cs="Times New Roman" w:eastAsia="Times New Roman" w:hAnsi="Times New Roman"/>
          <w:sz w:val="18"/>
          <w:szCs w:val="18"/>
          <w:b w:val="1"/>
          <w:bCs w:val="1"/>
          <w:color w:val="auto"/>
        </w:rPr>
        <w:t>Transfer Options</w:t>
      </w:r>
      <w:r>
        <w:rPr>
          <w:rFonts w:ascii="Times New Roman" w:cs="Times New Roman" w:eastAsia="Times New Roman" w:hAnsi="Times New Roman"/>
          <w:sz w:val="18"/>
          <w:szCs w:val="18"/>
          <w:color w:val="auto"/>
        </w:rPr>
        <w:t>”), to any party, withholding of such consent by Dealer shall not be considered unreasonable if such transfer or assignment does not meet the reasonable conditions that Dealer may impose including, but not limited to, the following conditions: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68" w:right="459" w:bottom="1440" w:gutter="0" w:footer="0" w:header="0"/>
        </w:sectPr>
      </w:pPr>
    </w:p>
    <w:bookmarkStart w:id="160" w:name="page161"/>
    <w:bookmarkEnd w:id="160"/>
    <w:p>
      <w:pPr>
        <w:ind w:left="440" w:right="360" w:firstLine="419"/>
        <w:spacing w:after="0" w:line="282" w:lineRule="auto"/>
        <w:tabs>
          <w:tab w:leader="none" w:pos="1158"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Transfer Options, Counterparty shall not be released from its notice and indemnification obligations pursuant to Section 8(e) or any obligations under Section 2 (regarding Extraordinary Events) or Section 8(d) of this Confirmation;</w:t>
      </w:r>
    </w:p>
    <w:p>
      <w:pPr>
        <w:spacing w:after="0" w:line="53" w:lineRule="exact"/>
        <w:rPr>
          <w:rFonts w:ascii="Times New Roman" w:cs="Times New Roman" w:eastAsia="Times New Roman" w:hAnsi="Times New Roman"/>
          <w:sz w:val="18"/>
          <w:szCs w:val="18"/>
          <w:color w:val="auto"/>
        </w:rPr>
      </w:pPr>
    </w:p>
    <w:p>
      <w:pPr>
        <w:ind w:left="1140" w:hanging="281"/>
        <w:spacing w:after="0"/>
        <w:tabs>
          <w:tab w:leader="none" w:pos="11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Options shall only be transferred or assigned to a third party that is a United States person (as defined in Section 7701(a)</w:t>
      </w:r>
    </w:p>
    <w:p>
      <w:pPr>
        <w:spacing w:after="0" w:line="27" w:lineRule="exact"/>
        <w:rPr>
          <w:rFonts w:ascii="Times New Roman" w:cs="Times New Roman" w:eastAsia="Times New Roman" w:hAnsi="Times New Roman"/>
          <w:sz w:val="18"/>
          <w:szCs w:val="18"/>
          <w:color w:val="auto"/>
        </w:rPr>
      </w:pPr>
    </w:p>
    <w:p>
      <w:pPr>
        <w:ind w:left="440" w:right="260" w:hanging="4"/>
        <w:spacing w:after="0" w:line="260" w:lineRule="auto"/>
        <w:tabs>
          <w:tab w:leader="none" w:pos="78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and the transferee or assignee shall provide Dealer with a valid, duly executed, complete and accurate IRS Form W-9 prior to becoming a party to the Transaction;</w:t>
      </w:r>
    </w:p>
    <w:p>
      <w:pPr>
        <w:spacing w:after="0" w:line="73"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4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customary legal opinions with respect to securities laws and other matters by such third party and Counterparty as are reasonably requested by and reasonably satisfactory to Dealer;</w:t>
      </w:r>
    </w:p>
    <w:p>
      <w:pPr>
        <w:spacing w:after="0" w:line="75"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5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will not, after such transfer or assignment, be required to (i) pay or deliver to the transferee or assignee on any payment or delivery date an amount under Section 2(d)(i)(4) of the Agreement greater than an amount that Dealer would have been required to pay or deliver to Counterparty in the absence of such transfer or assignment or (ii) receive from the transferee or assignee an amount (after taking into account any amounts paid by the transferee or assignee under Section 2(d)(i)(4) of the Agreement, reduced by any withholding) less than the amount that Dealer would have received from the Counterparty in the absence of such transfer or assignment (except to the extent such different amount results from a change in law that occurred after the date of such transfer or assignment);</w:t>
      </w:r>
    </w:p>
    <w:p>
      <w:pPr>
        <w:spacing w:after="0" w:line="79" w:lineRule="exact"/>
        <w:rPr>
          <w:rFonts w:ascii="Times New Roman" w:cs="Times New Roman" w:eastAsia="Times New Roman" w:hAnsi="Times New Roman"/>
          <w:sz w:val="18"/>
          <w:szCs w:val="18"/>
          <w:color w:val="auto"/>
        </w:rPr>
      </w:pPr>
    </w:p>
    <w:p>
      <w:pPr>
        <w:ind w:left="1140" w:hanging="281"/>
        <w:spacing w:after="0"/>
        <w:tabs>
          <w:tab w:leader="none" w:pos="11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Potential Event of Default or Termination Event will not occur as a result of such transfer or assignment;</w:t>
      </w:r>
    </w:p>
    <w:p>
      <w:pPr>
        <w:spacing w:after="0" w:line="117" w:lineRule="exact"/>
        <w:rPr>
          <w:rFonts w:ascii="Times New Roman" w:cs="Times New Roman" w:eastAsia="Times New Roman" w:hAnsi="Times New Roman"/>
          <w:sz w:val="18"/>
          <w:szCs w:val="18"/>
          <w:color w:val="auto"/>
        </w:rPr>
      </w:pPr>
    </w:p>
    <w:p>
      <w:pPr>
        <w:ind w:left="440" w:right="680" w:firstLine="419"/>
        <w:spacing w:after="0" w:line="261" w:lineRule="auto"/>
        <w:tabs>
          <w:tab w:leader="none" w:pos="112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clause (B), Counterparty shall have caused the transferee or assignee to make such Payee Tax Representations and to provide such tax documentation as may be reasonably requested by Dealer to permit Dealer to determine that the requirement described in clause (B) has been satisfied and the results described in clause (D) will not occur upon or after such transfer or assignment; and</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5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be responsible for all commercially reasonable out-of-pocket costs and expenses, including reasonable counsel fees, incurred by Dealer in connection with such transfer or assignment.</w:t>
      </w:r>
    </w:p>
    <w:p>
      <w:pPr>
        <w:spacing w:after="0" w:line="162" w:lineRule="exact"/>
        <w:rPr>
          <w:sz w:val="20"/>
          <w:szCs w:val="20"/>
          <w:color w:val="auto"/>
        </w:rPr>
      </w:pPr>
    </w:p>
    <w:p>
      <w:pPr>
        <w:ind w:right="40" w:firstLine="436"/>
        <w:spacing w:after="0" w:line="258" w:lineRule="auto"/>
        <w:tabs>
          <w:tab w:leader="none" w:pos="7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181" w:lineRule="exact"/>
        <w:rPr>
          <w:sz w:val="20"/>
          <w:szCs w:val="20"/>
          <w:color w:val="auto"/>
        </w:rPr>
      </w:pPr>
    </w:p>
    <w:p>
      <w:pPr>
        <w:ind w:firstLine="436"/>
        <w:spacing w:after="0" w:line="261" w:lineRule="auto"/>
        <w:tabs>
          <w:tab w:leader="none" w:pos="6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Staggered Settlement</w:t>
      </w:r>
      <w:r>
        <w:rPr>
          <w:rFonts w:ascii="Times New Roman" w:cs="Times New Roman" w:eastAsia="Times New Roman" w:hAnsi="Times New Roman"/>
          <w:sz w:val="18"/>
          <w:szCs w:val="18"/>
          <w:color w:val="auto"/>
        </w:rPr>
        <w:t>. If Dealer determines reasonably and in good faith that the number of Shares required to be delivered to Counterparty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on the Settlement Date would result in an Excess Ownership Position, then Dealer may, by notice to Counterparty prior to the Settlement Date (a “</w:t>
      </w:r>
      <w:r>
        <w:rPr>
          <w:rFonts w:ascii="Times New Roman" w:cs="Times New Roman" w:eastAsia="Times New Roman" w:hAnsi="Times New Roman"/>
          <w:sz w:val="18"/>
          <w:szCs w:val="18"/>
          <w:b w:val="1"/>
          <w:bCs w:val="1"/>
          <w:color w:val="auto"/>
        </w:rPr>
        <w:t>Nominal Settlement Date</w:t>
      </w:r>
      <w:r>
        <w:rPr>
          <w:rFonts w:ascii="Times New Roman" w:cs="Times New Roman" w:eastAsia="Times New Roman" w:hAnsi="Times New Roman"/>
          <w:sz w:val="18"/>
          <w:szCs w:val="18"/>
          <w:color w:val="auto"/>
        </w:rPr>
        <w:t>”), elect to deliver any Shares due to be delivered on two or more dates (each, a “</w:t>
      </w:r>
      <w:r>
        <w:rPr>
          <w:rFonts w:ascii="Times New Roman" w:cs="Times New Roman" w:eastAsia="Times New Roman" w:hAnsi="Times New Roman"/>
          <w:sz w:val="18"/>
          <w:szCs w:val="18"/>
          <w:b w:val="1"/>
          <w:bCs w:val="1"/>
          <w:color w:val="auto"/>
        </w:rPr>
        <w:t>Staggered Settlement Date</w:t>
      </w:r>
      <w:r>
        <w:rPr>
          <w:rFonts w:ascii="Times New Roman" w:cs="Times New Roman" w:eastAsia="Times New Roman" w:hAnsi="Times New Roman"/>
          <w:sz w:val="18"/>
          <w:szCs w:val="18"/>
          <w:color w:val="auto"/>
        </w:rPr>
        <w:t>”) or at two or more times on the Nominal Settlement Date as follows: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61" w:name="page162"/>
    <w:bookmarkEnd w:id="161"/>
    <w:p>
      <w:pPr>
        <w:ind w:left="440" w:right="200" w:firstLine="419"/>
        <w:spacing w:after="0" w:line="224" w:lineRule="auto"/>
        <w:tabs>
          <w:tab w:leader="none" w:pos="107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such notice, Dealer will specify to Counterparty the related Staggered Settlement Dates (each of which will be on or prior to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Exchange Business Day after such Nominal Settlement Date) or delivery times and how it will allocate the Shares it is required to deliver hereunder on the Settlement Date among the Staggered Settlement Dates or delivery times; and</w:t>
      </w:r>
    </w:p>
    <w:p>
      <w:pPr>
        <w:spacing w:after="0" w:line="90"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2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number of Shares that Dealer will deliver to Counterparty hereunder on all such Staggered Settlement Dates and delivery times will equal the number of Shares that Dealer would otherwise be required to deliver on such Nominal Settlement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Staggered Settlement Date be a date later than the Final Termination Date.</w:t>
      </w:r>
    </w:p>
    <w:p>
      <w:pPr>
        <w:spacing w:after="0" w:line="173" w:lineRule="exact"/>
        <w:rPr>
          <w:rFonts w:ascii="Times New Roman" w:cs="Times New Roman" w:eastAsia="Times New Roman" w:hAnsi="Times New Roman"/>
          <w:sz w:val="18"/>
          <w:szCs w:val="18"/>
          <w:color w:val="auto"/>
        </w:rPr>
      </w:pPr>
    </w:p>
    <w:p>
      <w:pPr>
        <w:ind w:right="40" w:firstLine="436"/>
        <w:spacing w:after="0" w:line="290" w:lineRule="auto"/>
        <w:tabs>
          <w:tab w:leader="none" w:pos="695"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Disclosure</w:t>
      </w:r>
      <w:r>
        <w:rPr>
          <w:rFonts w:ascii="Times New Roman" w:cs="Times New Roman" w:eastAsia="Times New Roman" w:hAnsi="Times New Roman"/>
          <w:sz w:val="17"/>
          <w:szCs w:val="17"/>
          <w:color w:val="auto"/>
        </w:rPr>
        <w:t>. Effective from the date of commencement of discussions concerning the Transaction, Counterparty and each of its employees,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55" w:lineRule="exact"/>
        <w:rPr>
          <w:rFonts w:ascii="Times New Roman" w:cs="Times New Roman" w:eastAsia="Times New Roman" w:hAnsi="Times New Roman"/>
          <w:sz w:val="17"/>
          <w:szCs w:val="17"/>
          <w:color w:val="auto"/>
        </w:rPr>
      </w:pPr>
    </w:p>
    <w:p>
      <w:pPr>
        <w:ind w:firstLine="436"/>
        <w:spacing w:after="0" w:line="261"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Netting and Set-off. </w:t>
      </w:r>
      <w:r>
        <w:rPr>
          <w:rFonts w:ascii="Times New Roman" w:cs="Times New Roman" w:eastAsia="Times New Roman" w:hAnsi="Times New Roman"/>
          <w:sz w:val="18"/>
          <w:szCs w:val="18"/>
          <w:color w:val="auto"/>
        </w:rPr>
        <w:t>The provisions of Sections 2(c) and 6(f) of the Agreement shall not apply to the Transaction. Each party waives 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spacing w:after="0" w:line="179" w:lineRule="exact"/>
        <w:rPr>
          <w:rFonts w:ascii="Times New Roman" w:cs="Times New Roman" w:eastAsia="Times New Roman" w:hAnsi="Times New Roman"/>
          <w:sz w:val="18"/>
          <w:szCs w:val="18"/>
          <w:color w:val="auto"/>
        </w:rPr>
      </w:pPr>
    </w:p>
    <w:p>
      <w:pPr>
        <w:ind w:right="100" w:firstLine="436"/>
        <w:spacing w:after="0" w:line="257"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Rights</w:t>
      </w:r>
      <w:r>
        <w:rPr>
          <w:rFonts w:ascii="Times New Roman" w:cs="Times New Roman" w:eastAsia="Times New Roman" w:hAnsi="Times New Roman"/>
          <w:sz w:val="18"/>
          <w:szCs w:val="18"/>
          <w:color w:val="auto"/>
        </w:rPr>
        <w:t>. Dealer acknowledges and agrees that this Confirmation is not intended to convey to it rights with respect to the Transaction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spacing w:after="0" w:line="182"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Early Unwind</w:t>
      </w:r>
      <w:r>
        <w:rPr>
          <w:rFonts w:ascii="Times New Roman" w:cs="Times New Roman" w:eastAsia="Times New Roman" w:hAnsi="Times New Roman"/>
          <w:sz w:val="18"/>
          <w:szCs w:val="18"/>
          <w:color w:val="auto"/>
        </w:rPr>
        <w:t>. In the event the sale of the [Firm Securities] [Additional Securities] (as defined in the Purchase Agreement, dated as of May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 2026, among Morgan Stanley &amp; Co. LLC and Goldman Sachs &amp; Co. LLC, as representatives of the several initial purchasers thereto, and</w:t>
      </w:r>
    </w:p>
    <w:p>
      <w:pPr>
        <w:spacing w:after="0" w:line="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Counterparty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is not consummated pursuant to the Purchase Agreement for any reason by the close of business in New York on the Premium Payment Date (or such later date as agreed upon by the parties which in no event shall be later than the second Scheduled Valid Day following the Premium Payment Date) (such date or such later date as agreed upon being the “</w:t>
      </w:r>
      <w:r>
        <w:rPr>
          <w:rFonts w:ascii="Times New Roman" w:cs="Times New Roman" w:eastAsia="Times New Roman" w:hAnsi="Times New Roman"/>
          <w:sz w:val="18"/>
          <w:szCs w:val="18"/>
          <w:b w:val="1"/>
          <w:bCs w:val="1"/>
          <w:color w:val="auto"/>
        </w:rPr>
        <w:t>Accelerated Unwind Date</w:t>
      </w:r>
      <w:r>
        <w:rPr>
          <w:rFonts w:ascii="Times New Roman" w:cs="Times New Roman" w:eastAsia="Times New Roman" w:hAnsi="Times New Roman"/>
          <w:sz w:val="18"/>
          <w:szCs w:val="18"/>
          <w:color w:val="auto"/>
        </w:rPr>
        <w:t>”), the Transaction shall automatically terminate on the Accelerated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Accelerated Unwind Date.</w:t>
      </w:r>
    </w:p>
    <w:p>
      <w:pPr>
        <w:spacing w:after="0" w:line="186" w:lineRule="exact"/>
        <w:rPr>
          <w:sz w:val="20"/>
          <w:szCs w:val="20"/>
          <w:color w:val="auto"/>
        </w:rPr>
      </w:pPr>
    </w:p>
    <w:p>
      <w:pPr>
        <w:ind w:right="180" w:firstLine="436"/>
        <w:spacing w:after="0" w:line="257"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The parties agree that, for the avoidance of doubt, for purposes of Section 5(b)(i) of the Agreement, “any applicable law”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the Dodd-Frank Wall Street Reform and Consumer Protection Act of 2010, any rules and regulations promulgated thereunder and any similar law or regulation, without regard to Section 739 of the Dodd-Frank Wall Street Reform and Consumer Protection Act of 2010 or any similar legal certainty provision in any legislation enacted, or rule or regulation promulgated, on or after the Trade Date, and the consequences specified in the Agreement, including without limitation, the consequences specified in Section 6 of the Agreement, shall apply to any Illegality arising from any such act, rule or regulation.</w:t>
      </w:r>
    </w:p>
    <w:p>
      <w:pPr>
        <w:spacing w:after="0" w:line="182"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to Equity Definitions. </w:t>
      </w:r>
      <w:r>
        <w:rPr>
          <w:rFonts w:ascii="Times New Roman" w:cs="Times New Roman" w:eastAsia="Times New Roman" w:hAnsi="Times New Roman"/>
          <w:sz w:val="18"/>
          <w:szCs w:val="18"/>
          <w:color w:val="auto"/>
        </w:rPr>
        <w:t>The following amendments shall be made to the Equity Definitions:</w:t>
      </w:r>
    </w:p>
    <w:p>
      <w:pPr>
        <w:spacing w:after="0" w:line="119"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07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applying the Equity Definitions and for purposes of this Confirmation, any reference in the Equity Definitions to a Strike Price shall be deemed to be a reference to either of the Strike Price or the Cap Price, or both, as appropriate;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62" w:name="page163"/>
    <w:bookmarkEnd w:id="162"/>
    <w:p>
      <w:pPr>
        <w:ind w:left="4" w:right="40" w:firstLine="419"/>
        <w:spacing w:after="0" w:line="253" w:lineRule="auto"/>
        <w:tabs>
          <w:tab w:leader="none" w:pos="69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 of any adjustment under Section 11.2(c) of the Equity Definitions, the first sentence of Section 11.2(c) of the Equity Definitions, prior to clause (A) thereof, is hereby amended to read as follows: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in the commercially reasonable judgment of the Calculation Agent, a material economic effect on the theoretical value of the relevant Shares or options on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event is not based on (x) an observable market, other than the market for Counterparty’s own stock or (y) an observable index, other than an index calculated and measured solely by reference to Counterparty’s own operations) and, if so, will (i) make appropriate adjustment(s), if any, determined in a commercially reasonable manner, to any one or more of:”, and the portion of such sentence immediately preceding clause</w:t>
      </w:r>
    </w:p>
    <w:p>
      <w:pPr>
        <w:ind w:left="4" w:right="120" w:hanging="4"/>
        <w:spacing w:after="0" w:line="252" w:lineRule="auto"/>
        <w:tabs>
          <w:tab w:leader="none" w:pos="26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is hereby amended by deleting the words “diluting or concentrative” and the words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adjustments will be made to account solely for changes in volatility, expected dividends, stock loan rate or liquidity relative to the relevant Shares)” and replacing such latter phrase with the words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in the case of Sections 11.2(e)(i), (ii)(A) and (iv), no adjustments will be made to account solely for changes in volatility, expected dividends, stock loan rate or liquidity relative to the relevant Shares but, for the avoidance of doubt, solely in the case of Sections 11.2(e)(ii)(B) through (D), (iii), (v), (vi) and (vii), adjustments may be made to account solely for changes in volatility, expected dividends, stock loan rate or liquidity relative to the relevant Shares)”;</w:t>
      </w:r>
    </w:p>
    <w:p>
      <w:pPr>
        <w:spacing w:after="0" w:line="81" w:lineRule="exact"/>
        <w:rPr>
          <w:rFonts w:ascii="Times New Roman" w:cs="Times New Roman" w:eastAsia="Times New Roman" w:hAnsi="Times New Roman"/>
          <w:sz w:val="18"/>
          <w:szCs w:val="18"/>
          <w:color w:val="auto"/>
        </w:rPr>
      </w:pPr>
    </w:p>
    <w:p>
      <w:pPr>
        <w:ind w:left="4" w:right="80" w:firstLine="419"/>
        <w:spacing w:after="0" w:line="258" w:lineRule="auto"/>
        <w:tabs>
          <w:tab w:leader="none" w:pos="74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11.2(a) of the Equity Definitions is hereby amended by (1) deleting the words “in the determination of the Calculation Agent, a diluting or concentrative effect” and replacing these words with “in the commercially reasonable judgment of the Calculation Agent, a material economic effect”; and (2) adding at the end thereof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event is not based on (i) an observable market, other than the market for Counterparty’s own stock or (ii) an observable index, other than an index calculated and measured solely by reference to Counterparty’s own operations”;</w:t>
      </w:r>
    </w:p>
    <w:p>
      <w:pPr>
        <w:spacing w:after="0" w:line="75" w:lineRule="exact"/>
        <w:rPr>
          <w:rFonts w:ascii="Times New Roman" w:cs="Times New Roman" w:eastAsia="Times New Roman" w:hAnsi="Times New Roman"/>
          <w:sz w:val="18"/>
          <w:szCs w:val="18"/>
          <w:color w:val="auto"/>
        </w:rPr>
      </w:pPr>
    </w:p>
    <w:p>
      <w:pPr>
        <w:ind w:left="4" w:right="20" w:firstLine="419"/>
        <w:spacing w:after="0" w:line="258" w:lineRule="auto"/>
        <w:tabs>
          <w:tab w:leader="none" w:pos="73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11.2(e)(vii) of the Equity Definitions is hereby amended and restated as follows: “any other corporate event involving the Issuer that in the commercially reasonable judgment of the Calculation Agent has a material economic effect on the theoretical value of the Shares or options on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corporate event involving the Issuer is not based on (a) an observable market, other than the market for Counterparty’s own stock or (b) an observable index, other than an index calculated and measured solely by reference to Counterparty’s own operations.”;</w:t>
      </w:r>
    </w:p>
    <w:p>
      <w:pPr>
        <w:spacing w:after="0" w:line="75" w:lineRule="exact"/>
        <w:rPr>
          <w:rFonts w:ascii="Times New Roman" w:cs="Times New Roman" w:eastAsia="Times New Roman" w:hAnsi="Times New Roman"/>
          <w:sz w:val="18"/>
          <w:szCs w:val="18"/>
          <w:color w:val="auto"/>
        </w:rPr>
      </w:pPr>
    </w:p>
    <w:p>
      <w:pPr>
        <w:jc w:val="both"/>
        <w:ind w:left="4" w:right="100" w:firstLine="419"/>
        <w:spacing w:after="0" w:line="266" w:lineRule="auto"/>
        <w:tabs>
          <w:tab w:leader="none" w:pos="68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12.7(b) of the Equity Definitions is hereby amended by inserting, prior to the period at the end thereof, the following phrase: “; provided that in the case of a Merger Event or Tender Offer, the parties shall use commercially reasonable efforts to agree on such amount on or prior to the Merger Event Date or Tender Offer Date, as the case may be”;</w:t>
      </w:r>
    </w:p>
    <w:p>
      <w:pPr>
        <w:spacing w:after="0" w:line="67" w:lineRule="exact"/>
        <w:rPr>
          <w:rFonts w:ascii="Times New Roman" w:cs="Times New Roman" w:eastAsia="Times New Roman" w:hAnsi="Times New Roman"/>
          <w:sz w:val="18"/>
          <w:szCs w:val="18"/>
          <w:color w:val="auto"/>
        </w:rPr>
      </w:pPr>
    </w:p>
    <w:p>
      <w:pPr>
        <w:ind w:left="4" w:right="340" w:firstLine="419"/>
        <w:spacing w:after="0" w:line="266" w:lineRule="auto"/>
        <w:tabs>
          <w:tab w:leader="none" w:pos="73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12.9(b)(vi) of the Equity Definitions is hereby amended by (1) adding the word “or” immediately before subsection (B), (2) deleting the comma at the end of subsection (A), (3) deleting subsection (C) in its entirety, (4) deleting the word “or” immediately preceding subsection (C) and (5) replacing the words “either party” in the last sentence of such Section with “Dealer”; and</w:t>
      </w:r>
    </w:p>
    <w:p>
      <w:pPr>
        <w:spacing w:after="0" w:line="67" w:lineRule="exact"/>
        <w:rPr>
          <w:rFonts w:ascii="Times New Roman" w:cs="Times New Roman" w:eastAsia="Times New Roman" w:hAnsi="Times New Roman"/>
          <w:sz w:val="18"/>
          <w:szCs w:val="18"/>
          <w:color w:val="auto"/>
        </w:rPr>
      </w:pPr>
    </w:p>
    <w:p>
      <w:pPr>
        <w:ind w:left="784" w:hanging="361"/>
        <w:spacing w:after="0"/>
        <w:tabs>
          <w:tab w:leader="none" w:pos="784"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Dividend” (as such term is used in the Equity Definitions) means any cash dividend on the Shares.</w:t>
      </w:r>
    </w:p>
    <w:p>
      <w:pPr>
        <w:spacing w:after="0" w:line="223" w:lineRule="exact"/>
        <w:rPr>
          <w:sz w:val="20"/>
          <w:szCs w:val="20"/>
          <w:color w:val="auto"/>
        </w:rPr>
      </w:pPr>
    </w:p>
    <w:p>
      <w:pPr>
        <w:ind w:left="264" w:hanging="264"/>
        <w:spacing w:after="0"/>
        <w:tabs>
          <w:tab w:leader="none" w:pos="26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 Exclusive Jurisdiction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4" w:firstLine="419"/>
        <w:spacing w:after="0" w:line="262" w:lineRule="auto"/>
        <w:tabs>
          <w:tab w:leader="none" w:pos="641"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spacing w:after="0" w:line="113"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4"/>
          </w:cols>
          <w:pgMar w:left="876" w:top="270" w:right="459" w:bottom="1440" w:gutter="0" w:footer="0" w:header="0"/>
        </w:sectPr>
      </w:pPr>
    </w:p>
    <w:bookmarkStart w:id="163" w:name="page164"/>
    <w:bookmarkEnd w:id="163"/>
    <w:p>
      <w:pPr>
        <w:ind w:left="8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Section 13(b) of the Agreement is deleted in its entirety and replaced by the following:</w:t>
      </w:r>
    </w:p>
    <w:p>
      <w:pPr>
        <w:spacing w:after="0" w:line="117"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t>“Each party hereby irrevocably and unconditionally submits for itself and its property in any suit, legal action or proceeding relating to this Confirmation or the Agreement, or for recognition and enforcement of any judgment in respect thereof, (each, “Proceedings”) to the exclusive jurisdiction of the Supreme Court of the State of New York, sitting in New York County, the courts of the United States of America for the Southern District of New York and appellate courts from any thereof. Nothing in this Confirmation or the Agreement precludes either party from bringing Proceedings in any other jurisdiction if (A) the courts of the State of New York or the United States of America for the Southern District of New York lack jurisdiction over the parties or the subject matter of the Proceedings or decline to accept the Proceedings on the grounds of lacking such jurisdiction; (B) the Proceedings are commenced by a party for the purpose of enforcing against the other party’s property, assets or estate any decision or judgment rendered by any court in which Proceedings may be brought as provided hereunder; (C) the Proceedings are commenced to appeal any such court’s decision or judgment to any higher court with competent appellate jurisdiction over that court’s decisions or judgments if that higher court is located outside the State of New York or Borough of Manhattan, such as a federal court of appeals or the U.S. Supreme Court; or (D) any suit, action or proceeding has been commenced in another jurisdiction by or against the other party or against its property, assets or estate and, in order to exercise or protect its rights, interests or remedies under this Confirmation or the Agreement, the party (1) joins, files a claim, or takes any other action, in any such suit, action or proceeding, or (2) otherwise commences any Proceeding in that other jurisdiction as the result of that other suit, action or proceeding having commenced in that other jurisdiction.”</w:t>
      </w:r>
    </w:p>
    <w:p>
      <w:pPr>
        <w:spacing w:after="0" w:line="185" w:lineRule="exact"/>
        <w:rPr>
          <w:sz w:val="20"/>
          <w:szCs w:val="20"/>
          <w:color w:val="auto"/>
        </w:rPr>
      </w:pPr>
    </w:p>
    <w:p>
      <w:pPr>
        <w:ind w:right="120" w:firstLine="436"/>
        <w:spacing w:after="0" w:line="261" w:lineRule="auto"/>
        <w:tabs>
          <w:tab w:leader="none" w:pos="69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For the avoidance of doubt, whenever the Calculation Agent, Hedging Party or Determining Party is called upon to make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calculation, determination or adjustment pursuant to the terms of this Confirmation or the Equity Definitions to take into account the effect of an event, the Calculation Agent, Hedging Party or Determining Party shall make such calculation, determination or adjustment by reference to the effect of such event on Dealer, assuming that the Dealer maintains a commercially reasonable hedge position.</w:t>
      </w:r>
    </w:p>
    <w:p>
      <w:pPr>
        <w:spacing w:after="0" w:line="179" w:lineRule="exact"/>
        <w:rPr>
          <w:rFonts w:ascii="Times New Roman" w:cs="Times New Roman" w:eastAsia="Times New Roman" w:hAnsi="Times New Roman"/>
          <w:sz w:val="18"/>
          <w:szCs w:val="18"/>
          <w:color w:val="auto"/>
        </w:rPr>
      </w:pPr>
    </w:p>
    <w:p>
      <w:pPr>
        <w:ind w:right="280" w:firstLine="436"/>
        <w:spacing w:after="0" w:line="261" w:lineRule="auto"/>
        <w:tabs>
          <w:tab w:leader="none" w:pos="69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or Receipt of Cash</w:t>
      </w:r>
      <w:r>
        <w:rPr>
          <w:rFonts w:ascii="Times New Roman" w:cs="Times New Roman" w:eastAsia="Times New Roman" w:hAnsi="Times New Roman"/>
          <w:sz w:val="18"/>
          <w:szCs w:val="18"/>
          <w:color w:val="auto"/>
        </w:rPr>
        <w:t>. For the avoidance of doubt, other than payment of the Premium by Counterparty, nothing in this Confirmation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interpreted as requiring Counterparty to cash settle the Transaction, except in circumstances where cash settlement is within Counterparty’s control (including, without limitation, where Counterparty elects to deliver or receive cash) or in those circumstances in which all holders of Shares would also receive cash.</w:t>
      </w:r>
    </w:p>
    <w:p>
      <w:pPr>
        <w:spacing w:after="0" w:line="17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EACH PARTY HEREBY IRREVOCABLY WAIVES ANY AND ALL RIGHTS TO TRIAL BY JURY WITH</w:t>
      </w:r>
    </w:p>
    <w:p>
      <w:pPr>
        <w:spacing w:after="0" w:line="31" w:lineRule="exact"/>
        <w:rPr>
          <w:rFonts w:ascii="Times New Roman" w:cs="Times New Roman" w:eastAsia="Times New Roman" w:hAnsi="Times New Roman"/>
          <w:sz w:val="18"/>
          <w:szCs w:val="18"/>
          <w:color w:val="auto"/>
        </w:rPr>
      </w:pPr>
    </w:p>
    <w:p>
      <w:pPr>
        <w:ind w:right="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RESPECT TO ANY LEGAL PROCEEDING ARISING OUT OF OR RELATING TO THE AGREEMENT, THIS CONFIRMATION OR ANY TRANSACTIONS CONTEMPLATED HEREBY.</w:t>
      </w:r>
    </w:p>
    <w:p>
      <w:pPr>
        <w:spacing w:after="0" w:line="179" w:lineRule="exact"/>
        <w:rPr>
          <w:rFonts w:ascii="Times New Roman" w:cs="Times New Roman" w:eastAsia="Times New Roman" w:hAnsi="Times New Roman"/>
          <w:sz w:val="18"/>
          <w:szCs w:val="18"/>
          <w:color w:val="auto"/>
        </w:rPr>
      </w:pPr>
    </w:p>
    <w:p>
      <w:pPr>
        <w:ind w:right="160" w:firstLine="436"/>
        <w:spacing w:after="0" w:line="284" w:lineRule="auto"/>
        <w:tabs>
          <w:tab w:leader="none" w:pos="66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w:t>
      </w:r>
      <w:r>
        <w:rPr>
          <w:rFonts w:ascii="Times New Roman" w:cs="Times New Roman" w:eastAsia="Times New Roman" w:hAnsi="Times New Roman"/>
          <w:sz w:val="18"/>
          <w:szCs w:val="18"/>
          <w:color w:val="auto"/>
        </w:rPr>
        <w:t>This Confirmation and the Agreement may not be modified, amended or supplemented, except in a written instrument signed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and Dealer.</w:t>
      </w:r>
    </w:p>
    <w:p>
      <w:pPr>
        <w:spacing w:after="0" w:line="158" w:lineRule="exact"/>
        <w:rPr>
          <w:rFonts w:ascii="Times New Roman" w:cs="Times New Roman" w:eastAsia="Times New Roman" w:hAnsi="Times New Roman"/>
          <w:sz w:val="18"/>
          <w:szCs w:val="18"/>
          <w:color w:val="auto"/>
        </w:rPr>
      </w:pPr>
    </w:p>
    <w:p>
      <w:pPr>
        <w:ind w:right="80" w:firstLine="436"/>
        <w:spacing w:after="0" w:line="261" w:lineRule="auto"/>
        <w:tabs>
          <w:tab w:leader="none" w:pos="67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Confirmation may be executed in several counterparts, each of which shall be deemed an original but all of which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constitute one and the same instrument. Delivery of an executed signature page by electronic transmission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“pdf” or “tif”), or any electronic signature complying with the U.S. federal ESIGN Act of 2000, Uniform Electronic Transactions Act or other applicable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shall be effective as delivery of a manually executed counterpart hereof.</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164" w:name="page165"/>
    <w:bookmarkEnd w:id="164"/>
    <w:p>
      <w:pPr>
        <w:ind w:left="664" w:hanging="224"/>
        <w:spacing w:after="0"/>
        <w:tabs>
          <w:tab w:leader="none" w:pos="66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Payee Tax Representations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(i) For the purpose of Section 3(f) of the Agreement, Counterparty makes the following representation to Dealer:</w:t>
      </w:r>
    </w:p>
    <w:p>
      <w:pPr>
        <w:spacing w:after="0" w:line="117" w:lineRule="exact"/>
        <w:rPr>
          <w:sz w:val="20"/>
          <w:szCs w:val="20"/>
          <w:color w:val="auto"/>
        </w:rPr>
      </w:pPr>
    </w:p>
    <w:p>
      <w:pPr>
        <w:ind w:left="444" w:right="100"/>
        <w:spacing w:after="0" w:line="266" w:lineRule="auto"/>
        <w:rPr>
          <w:sz w:val="20"/>
          <w:szCs w:val="20"/>
          <w:color w:val="auto"/>
        </w:rPr>
      </w:pPr>
      <w:r>
        <w:rPr>
          <w:rFonts w:ascii="Times New Roman" w:cs="Times New Roman" w:eastAsia="Times New Roman" w:hAnsi="Times New Roman"/>
          <w:sz w:val="18"/>
          <w:szCs w:val="18"/>
          <w:color w:val="auto"/>
        </w:rPr>
        <w:t>Counterparty is a “U.S. person” (as that term is used in section 1.1441-4(a)(3)(ii) of the U.S. Treasury Regulations) for U.S. federal income tax purposes and “exempt” within the meaning of sections 1.6041-3(p) and 1.6049-4(c) of the U.S. Treasury Regulations from information reporting on U.S. Internal Revenue Service Form 1099 and backup withholding.</w:t>
      </w:r>
    </w:p>
    <w:p>
      <w:pPr>
        <w:spacing w:after="0" w:line="68" w:lineRule="exact"/>
        <w:rPr>
          <w:sz w:val="20"/>
          <w:szCs w:val="20"/>
          <w:color w:val="auto"/>
        </w:rPr>
      </w:pPr>
    </w:p>
    <w:p>
      <w:pPr>
        <w:ind w:left="444" w:right="1860" w:firstLine="419"/>
        <w:spacing w:after="0" w:line="407" w:lineRule="auto"/>
        <w:tabs>
          <w:tab w:leader="none" w:pos="1132"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Section 3(f) of the Agreement, Dealer makes the following representations to Counterparty: [To come]</w:t>
      </w:r>
    </w:p>
    <w:p>
      <w:pPr>
        <w:spacing w:after="0" w:line="51" w:lineRule="exact"/>
        <w:rPr>
          <w:rFonts w:ascii="Times New Roman" w:cs="Times New Roman" w:eastAsia="Times New Roman" w:hAnsi="Times New Roman"/>
          <w:sz w:val="18"/>
          <w:szCs w:val="18"/>
          <w:color w:val="auto"/>
        </w:rPr>
      </w:pPr>
    </w:p>
    <w:p>
      <w:pPr>
        <w:ind w:left="4" w:right="20" w:firstLine="436"/>
        <w:spacing w:after="0" w:line="273" w:lineRule="auto"/>
        <w:tabs>
          <w:tab w:leader="none" w:pos="699"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Tax Matters. </w:t>
      </w:r>
      <w:r>
        <w:rPr>
          <w:rFonts w:ascii="Times New Roman" w:cs="Times New Roman" w:eastAsia="Times New Roman" w:hAnsi="Times New Roman"/>
          <w:sz w:val="17"/>
          <w:szCs w:val="17"/>
          <w:color w:val="auto"/>
        </w:rPr>
        <w:t>For the purpose of Sections 4(a)(i) and (ii) of the Agreement, Counterparty agrees to deliver to Dealer one duly executed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completed U.S. Internal Revenue Service Form W-9 (or successor thereto) and Dealer agrees to deliver to Counterparty one duly executed and completed U.S. Internal Revenue Service [ ] (or successor thereto). Such forms or documents shall be delivered upon (i) execution of this Confirmation,</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request of the other party and (iii) Counterparty or Dealer, as applicable, learning that any such form has become obsolete or incorrect.</w:t>
      </w:r>
    </w:p>
    <w:p>
      <w:pPr>
        <w:spacing w:after="0" w:line="204" w:lineRule="exact"/>
        <w:rPr>
          <w:rFonts w:ascii="Times New Roman" w:cs="Times New Roman" w:eastAsia="Times New Roman" w:hAnsi="Times New Roman"/>
          <w:sz w:val="18"/>
          <w:szCs w:val="18"/>
          <w:color w:val="auto"/>
        </w:rPr>
      </w:pPr>
    </w:p>
    <w:p>
      <w:pPr>
        <w:ind w:left="4" w:right="20" w:firstLine="436"/>
        <w:spacing w:after="0" w:line="257" w:lineRule="auto"/>
        <w:tabs>
          <w:tab w:leader="none" w:pos="69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 Tax Imposed on Payments to Non-US Counterparties Under the United States Foreign Account Tax Compliance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“Indemnifiable Tax”,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For the avoidance of doubt, a FATCA Withholding Tax is a Tax the deduction or withholding of which is required by applicable law for the purposes of Section 2(d) of the Agreement.</w:t>
      </w:r>
    </w:p>
    <w:p>
      <w:pPr>
        <w:spacing w:after="0" w:line="182"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73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HIRE Act. </w:t>
      </w:r>
      <w:r>
        <w:rPr>
          <w:rFonts w:ascii="Times New Roman" w:cs="Times New Roman" w:eastAsia="Times New Roman" w:hAnsi="Times New Roman"/>
          <w:sz w:val="18"/>
          <w:szCs w:val="18"/>
          <w:color w:val="auto"/>
        </w:rPr>
        <w:t>“Indemnifiable Tax”, as defined in Section 14 of the Agreement, shall not include any tax imposed on payments treated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from sources within the United States under Section 871(m) of the Code or any regulations issued thereunder (a “</w:t>
      </w:r>
      <w:r>
        <w:rPr>
          <w:rFonts w:ascii="Times New Roman" w:cs="Times New Roman" w:eastAsia="Times New Roman" w:hAnsi="Times New Roman"/>
          <w:sz w:val="18"/>
          <w:szCs w:val="18"/>
          <w:b w:val="1"/>
          <w:bCs w:val="1"/>
          <w:color w:val="auto"/>
        </w:rPr>
        <w:t>Section 871(m) Tax</w:t>
      </w:r>
      <w:r>
        <w:rPr>
          <w:rFonts w:ascii="Times New Roman" w:cs="Times New Roman" w:eastAsia="Times New Roman" w:hAnsi="Times New Roman"/>
          <w:sz w:val="18"/>
          <w:szCs w:val="18"/>
          <w:color w:val="auto"/>
        </w:rPr>
        <w:t>”). For the avoidance of doubt, a Section 871(m) Tax is a Tax the deduction or withholding of which is required by applicable law for the purposes of Section 2(d) of the Agreement</w:t>
      </w:r>
      <w:r>
        <w:rPr>
          <w:rFonts w:ascii="Times New Roman" w:cs="Times New Roman" w:eastAsia="Times New Roman" w:hAnsi="Times New Roman"/>
          <w:sz w:val="18"/>
          <w:szCs w:val="18"/>
          <w:i w:val="1"/>
          <w:iCs w:val="1"/>
          <w:color w:val="auto"/>
        </w:rPr>
        <w:t>.</w:t>
      </w:r>
    </w:p>
    <w:p>
      <w:pPr>
        <w:spacing w:after="0" w:line="179"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CARES Act. </w:t>
      </w:r>
      <w:r>
        <w:rPr>
          <w:rFonts w:ascii="Times New Roman" w:cs="Times New Roman" w:eastAsia="Times New Roman" w:hAnsi="Times New Roman"/>
          <w:sz w:val="18"/>
          <w:szCs w:val="18"/>
          <w:color w:val="auto"/>
        </w:rPr>
        <w:t>Counterparty represents and warrants that it and any of its subsidiaries has not applied, and shall not, until after the first date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no portion of the Transaction remains outstanding following any final exercise and settlement, cancellation or early termination of the Transaction, apply, for a loan, loan guarantee, direct loan (as that term is defined in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or other investment, or to receive any financial assistance or relief under any program or facility (collectively “</w:t>
      </w:r>
      <w:r>
        <w:rPr>
          <w:rFonts w:ascii="Times New Roman" w:cs="Times New Roman" w:eastAsia="Times New Roman" w:hAnsi="Times New Roman"/>
          <w:sz w:val="18"/>
          <w:szCs w:val="18"/>
          <w:b w:val="1"/>
          <w:bCs w:val="1"/>
          <w:color w:val="auto"/>
        </w:rPr>
        <w:t>Financial Assistance</w:t>
      </w:r>
      <w:r>
        <w:rPr>
          <w:rFonts w:ascii="Times New Roman" w:cs="Times New Roman" w:eastAsia="Times New Roman" w:hAnsi="Times New Roman"/>
          <w:sz w:val="18"/>
          <w:szCs w:val="18"/>
          <w:color w:val="auto"/>
        </w:rPr>
        <w:t>”) that (a) is established under applicable law (whether in existence as of the Trade Date or subsequently enacted, adopted or amended), including without limitation the CARES Act and the Federal Reserve Act, as amended, and (b) (i) requires under applicable law (or any regulation, guidance, interpretation or other pronouncement of a governmental authority with jurisdiction for such program or facility) as a condition of such Financial Assistance, that Counterparty comply with any requirement not to, or otherwise agree, attest, certify or warrant that it has not, as of the date specified in such condition, repurchased, or will not repurchase, any equity security of Counterparty, and that Counterparty has not, as of the date specified in the condition, made a capital distribution or will not make a capital distribution, or (ii) where the terms of the Transaction would cause Counterparty to fail to satisfy any condition for application for or receipt or retention of the Financial Assistance (collectively “</w:t>
      </w:r>
      <w:r>
        <w:rPr>
          <w:rFonts w:ascii="Times New Roman" w:cs="Times New Roman" w:eastAsia="Times New Roman" w:hAnsi="Times New Roman"/>
          <w:sz w:val="18"/>
          <w:szCs w:val="18"/>
          <w:b w:val="1"/>
          <w:bCs w:val="1"/>
          <w:color w:val="auto"/>
        </w:rPr>
        <w:t>Restricted Financial Assistance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or any of its subsidiaries may apply for Restricted Financial Assistance if Counterparty either (a) determines based on the advice of outside counsel of national standing that the terms of the Transaction would not cause Counterparty or any of its subsidiaries to fail to satisfy any condition for application for or receipt or retention of such Financial Assistance based on the terms of the program or facility as of the date of such advice or (b) delivers to Dealer evidence or other guidance from a governmental authority with jurisdiction for such program or facility that the Transaction is permitted under such program or facility (either by specific reference to the Transaction or by general reference to transactions with the attributes of the Transaction in all relevant respects). Counterparty further represents and warrants that the Premium is not being paid, in whole or in part, directly or indirectly, with funds received under or pursuant to any program or</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4"/>
          </w:cols>
          <w:pgMar w:left="436" w:top="268" w:right="499" w:bottom="1440" w:gutter="0" w:footer="0" w:header="0"/>
        </w:sectPr>
      </w:pPr>
    </w:p>
    <w:bookmarkStart w:id="165" w:name="page166"/>
    <w:bookmarkEnd w:id="16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facility, including the U.S. Small Business Administration’s “Paycheck Protection Program”, that (a) is established under applicable law,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spacing w:after="0" w:line="181" w:lineRule="exact"/>
        <w:rPr>
          <w:sz w:val="20"/>
          <w:szCs w:val="20"/>
          <w:color w:val="auto"/>
        </w:rPr>
      </w:pPr>
    </w:p>
    <w:p>
      <w:pPr>
        <w:ind w:left="5420" w:right="3060" w:hanging="4984"/>
        <w:spacing w:after="0" w:line="456" w:lineRule="auto"/>
        <w:tabs>
          <w:tab w:leader="none" w:pos="69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[Insert additional Dealer boilerplate, including QFC language and agency language, if applicable.] </w:t>
      </w: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166" w:name="page167"/>
    <w:bookmarkEnd w:id="166"/>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confirm that the foregoing correctly sets forth the terms of our agreement by executing this Confirmation and returning it to Dealer.</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[DEALER]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400"/>
          </w:cols>
          <w:pgMar w:left="440" w:top="270" w:right="105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[Form of Guarantee]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020"/>
          </w:cols>
          <w:pgMar w:left="1440" w:top="270" w:right="439" w:bottom="1440" w:gutter="0" w:footer="0" w:header="0"/>
        </w:sectPr>
      </w:pPr>
    </w:p>
    <w:bookmarkStart w:id="168" w:name="page169"/>
    <w:bookmarkEnd w:id="168"/>
    <w:p>
      <w:pPr>
        <w:ind w:left="51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Component of the Transaction, the Number of Options and Expiration Date is set forth below.</w:t>
      </w:r>
    </w:p>
    <w:p>
      <w:pPr>
        <w:spacing w:after="0" w:line="248"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Component Number</w:t>
            </w:r>
          </w:p>
        </w:tc>
        <w:tc>
          <w:tcPr>
            <w:tcW w:w="26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Number of Options</w:t>
            </w:r>
          </w:p>
        </w:tc>
        <w:tc>
          <w:tcPr>
            <w:tcW w:w="3580" w:type="dxa"/>
            <w:vAlign w:val="bottom"/>
            <w:gridSpan w:val="3"/>
          </w:tcPr>
          <w:p>
            <w:pPr>
              <w:ind w:left="2620"/>
              <w:spacing w:after="0"/>
              <w:rPr>
                <w:sz w:val="20"/>
                <w:szCs w:val="20"/>
                <w:color w:val="auto"/>
              </w:rPr>
            </w:pPr>
            <w:r>
              <w:rPr>
                <w:rFonts w:ascii="Times New Roman" w:cs="Times New Roman" w:eastAsia="Times New Roman" w:hAnsi="Times New Roman"/>
                <w:sz w:val="14"/>
                <w:szCs w:val="14"/>
                <w:color w:val="auto"/>
              </w:rPr>
              <w:t>Expiration Date</w:t>
            </w:r>
          </w:p>
        </w:tc>
      </w:tr>
      <w:tr>
        <w:trPr>
          <w:trHeight w:val="191"/>
        </w:trPr>
        <w:tc>
          <w:tcPr>
            <w:tcW w:w="20" w:type="dxa"/>
            <w:vAlign w:val="bottom"/>
          </w:tcPr>
          <w:p>
            <w:pPr>
              <w:spacing w:after="0"/>
              <w:rPr>
                <w:sz w:val="16"/>
                <w:szCs w:val="16"/>
                <w:color w:val="auto"/>
              </w:rPr>
            </w:pPr>
          </w:p>
        </w:tc>
        <w:tc>
          <w:tcPr>
            <w:tcW w:w="11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6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20" w:type="dxa"/>
            <w:vAlign w:val="bottom"/>
          </w:tcPr>
          <w:p>
            <w:pPr>
              <w:ind w:left="256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3"/>
              </w:rPr>
              <w:t>_____], 2032</w:t>
            </w:r>
          </w:p>
        </w:tc>
        <w:tc>
          <w:tcPr>
            <w:tcW w:w="40" w:type="dxa"/>
            <w:vAlign w:val="bottom"/>
          </w:tcPr>
          <w:p>
            <w:pPr>
              <w:spacing w:after="0"/>
              <w:rPr>
                <w:sz w:val="16"/>
                <w:szCs w:val="16"/>
                <w:color w:val="auto"/>
              </w:rPr>
            </w:pP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16"/>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234"/>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8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w w:val="98"/>
              </w:rPr>
              <w:t>[_____], 2032</w:t>
            </w:r>
          </w:p>
        </w:tc>
      </w:tr>
      <w:tr>
        <w:trPr>
          <w:trHeight w:val="36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28</w:t>
            </w:r>
          </w:p>
        </w:tc>
        <w:tc>
          <w:tcPr>
            <w:tcW w:w="2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019"/>
          </w:cols>
          <w:pgMar w:left="440" w:top="270" w:right="1440"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AI, Inc. Announces Proposed Convertible Senior Notes Offering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 Capital Structure and Reduce Interest Expense</w:t>
      </w:r>
    </w:p>
    <w:p>
      <w:pPr>
        <w:spacing w:after="0" w:line="232" w:lineRule="exact"/>
        <w:rPr>
          <w:sz w:val="20"/>
          <w:szCs w:val="20"/>
          <w:color w:val="auto"/>
        </w:rPr>
      </w:pPr>
    </w:p>
    <w:p>
      <w:pPr>
        <w:ind w:left="960" w:right="40" w:hanging="532"/>
        <w:spacing w:after="0" w:line="267" w:lineRule="auto"/>
        <w:tabs>
          <w:tab w:leader="none" w:pos="9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Proceeds expected to be used to repay in full outstanding loans under the senior secured credit facilities, reducing interest expense and enhancing financial flexibility. Additional proceeds expected to be used to pay for capped call transactions to reduce potential dilution and for general corporate purposes.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CHICAGO—(BUSINESS WIRE)-May 7, 2026— Tempus AI, Inc. (“Tempus”) (NASDAQ: TEM), a technology company leading the adoption of AI to advance precision medicine and patient care, today announced its intent to offer, subject to market conditions and other factors, $350.0 million aggregate principal amount of Convertible Senior Notes due in 2032 (the “Notes”) in a private placement (the “Offering”) to persons reasonably believed to be qualified institutional buyers pursuant to Rule 144A under the Securities Act of 1933, as amended (the “Securities Act”). Tempus also intends to grant the initial purchasers of the Notes an option to purchase, within a 13-day period beginning on, and including, the date on which the Notes are first issued, up to an additional $52.5 million aggregate principal amount of Notes.</w:t>
      </w:r>
    </w:p>
    <w:p>
      <w:pPr>
        <w:spacing w:after="0" w:line="18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Notes will be general unsecured obligations of Tempus, will accrue interest payable semiannually in arrears and will mature on May 15, 2032, unless earlier converted, redeemed or repurchased. Upon conversion, Tempus will pay or deliver, as the case may be, cash, shares of Tempus’ Class A common stock, par value $0.0001 per share (the “Class A common stock”), or a combination of cash and shares of Class A common stock, at its election. The interest rate, initial conversion rate and other terms of the Notes will be determined at the time of pricing of the Offering.</w:t>
      </w:r>
    </w:p>
    <w:p>
      <w:pPr>
        <w:spacing w:after="0" w:line="18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Tempus expects to use the net proceeds from the Offering to repay in full $307.7 million of outstanding loans under its senior secured credit facilities, plus accrued and unpaid interest and other fees, to pay the cost of the capped call transactions described below and for general corporate purposes, which may include acquisitions or strategic investments in complementary businesses or technologies, working capital, operating expenses, capital expenditures and repayment of additional indebtedness. If the initial purchasers exercise their option to purchase additional Notes, Tempus expects to use a portion of the net proceeds from the sale of the additional Notes to enter into additional capped call transactions and for the general corporate purposes described above.</w:t>
      </w:r>
    </w:p>
    <w:p>
      <w:pPr>
        <w:spacing w:after="0" w:line="187"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color w:val="auto"/>
        </w:rPr>
        <w:t>In connection with the pricing of the Notes, Tempus expects to enter into privately negotiated capped call transactions with one or more of the initial purchasers or affiliates thereof and/or other financial institutions (the “Option Counterparties”). The capped call transactions will cover, subject to customary adjustments, the number of shares of Class A common stock initially underlying the Notes. The capped call transactions are expected generally to reduce the potential dilution to the Class A common stock upon any conversion of Notes and/or offset any cash payments Tempus is required to make in excess of the principal amount of converted Notes, as the case may be, with such reduction and/or offset subject to a cap.</w:t>
      </w:r>
    </w:p>
    <w:p>
      <w:pPr>
        <w:spacing w:after="0" w:line="1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Tempus expects the Option Counterparties or their respective affiliates will enter into various derivative transactions with respect to the Class A common stock and/or purchase shares of Class A common stock concurrently with or shortly after the pricing of the Notes, including with, or from, as the case may be, certain investors in the Notes. This activity could increase (or reduce the size of any decrease in) the market price of the Class A common stock or the Notes at that time.</w:t>
      </w:r>
    </w:p>
    <w:p>
      <w:pPr>
        <w:sectPr>
          <w:pgSz w:w="11900" w:h="16838" w:orient="portrait"/>
          <w:cols w:equalWidth="0" w:num="1">
            <w:col w:w="11020"/>
          </w:cols>
          <w:pgMar w:left="440" w:top="117" w:right="439" w:bottom="1440" w:gutter="0" w:footer="0" w:header="0"/>
        </w:sectPr>
      </w:pPr>
    </w:p>
    <w:bookmarkStart w:id="170" w:name="page171"/>
    <w:bookmarkEnd w:id="170"/>
    <w:p>
      <w:pPr>
        <w:ind w:right="100"/>
        <w:spacing w:after="0" w:line="23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 Option Counterparties or their respective affiliates may modify their hedge positions by entering into or unwinding various derivatives with respect to the Class A common stock and/or purchasing or selling Class A common stock or other securities of Tempus in secondary market transactions following the pricing of the Notes and prior to the maturity of the Notes (and are likely to do so during the 20 trading day period beginning on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scheduled trading day prior to the maturity date of the Notes, or, to the extent Tempus exercises the relevant election under the capped call transactions, following any repurchase, redemption or conversion of the Notes). This activity could also cause or avoid an increase or a decrease in the market price of the Class A common stock or the Notes which could affect a noteholder’s ability to convert the Notes and, to the extent the activity occurs during any observation period related to a conversion of Notes, it could affect the number of shares, if any, and value of the consideration that a noteholder will receive upon conversion of its Notes.</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Notes and any shares of Class A common stock issuable upon conversion of the Notes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Tempus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 others who came before by providing physicians with tools that learn as the company gathers more data.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and Section 21E of the Securities Exchange Act of 1934, as amended, regarding, among other things, the proposed Offering, including statements concerning the proposed terms of the Notes and the capped call transactions, the anticipated completion, timing and size of the proposed Offering of the Notes and the capped call transactions, the anticipated use of proceeds from the Offering, the impact of the Offering on Tempus’ future interest expense and financial flexibility, and the potential impact of the foregoing or related transactions on dilution to holders of the Class A common stock and the market price of the Class A common stock or the Notes or the conversion price of the Notes. These forward-looking statements are based on Tempus’ current assumptions, expectations and beliefs and are subject to substantial risks, uncertainties, assumptions and changes in circumstances that may cause Tempus’ actual results, performance or achievements to differ materially from those expressed or implied in any forward-looking</w:t>
      </w:r>
    </w:p>
    <w:p>
      <w:pPr>
        <w:sectPr>
          <w:pgSz w:w="11900" w:h="16838" w:orient="portrait"/>
          <w:cols w:equalWidth="0" w:num="1">
            <w:col w:w="11000"/>
          </w:cols>
          <w:pgMar w:left="440" w:top="270" w:right="459" w:bottom="1440" w:gutter="0" w:footer="0" w:header="0"/>
        </w:sectPr>
      </w:pPr>
    </w:p>
    <w:bookmarkStart w:id="171" w:name="page172"/>
    <w:bookmarkEnd w:id="17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These risks include, but are not limited to market risks, trends and conditions. These and other risks are more fully described in Tempus’ filings with the Securities and Exchange Commission (“SEC”), including in the section entitled “Risk Factors” in its Annual Report on Form 10-K for the year ended December 31, 2025, filed with the SEC on February 24, 2026, as well as other filings Tempus may make with the SEC in the future. Tempus undertakes no obligation to update any forward-looking statements to reflect events or circumstances after the date of this press release or to reflect new information or the occurrence of unanticipated events,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View source version on businesswire.com: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https://www.businesswire.com/news/home/20260506244818/en/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Hanah Heintzelman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media@tempus.com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Krutoholow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Elizabeth.krutoholow@tempus.com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Tempus AI, Inc.</w:t>
      </w:r>
    </w:p>
    <w:p>
      <w:pPr>
        <w:sectPr>
          <w:pgSz w:w="11900" w:h="16838" w:orient="portrait"/>
          <w:cols w:equalWidth="0" w:num="1">
            <w:col w:w="10820"/>
          </w:cols>
          <w:pgMar w:left="440" w:top="270" w:right="6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Announces Pricing of Upsized Offering of $400.0 Million of Convertible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CHICAGO—(BUSINESS WIRE)-May 8, 2026— Tempus AI, Inc. (“Tempus”) (NASDAQ: TEM), a technology company leading the adoption of AI to advance precision medicine and patient care, today announced the pricing of $400.0 million aggregate principal amount of 0.00% Convertible Senior Notes due 2032 (the “Notes”) in a private placement (the “Offering”) to persons reasonably believed to be qualified institutional buyers pursuant to Rule 144A under the Securities Act of 1933, as amended (the “Securities Act”). The aggregate principal amount of the Offering was increased from the previously announced offering size of $350.0 million.</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Tempus also granted the initial purchasers of the Notes an option to purchase, within a 13-day period beginning on, and including, the date on which the Notes are first issued, up to an additional $60.0 million aggregate principal amount of Notes. The sale of the Notes to the initial purchasers is expected to close on May 12, 2026, subject to customary closing conditions.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Notes will be general unsecured obligations of Tempus and will not bear regular interest and the principal amount of the notes will not accrete. The Notes will mature on May 15, 2032, unless earlier converted, redeemed or repurchased.</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Tempus estimates that the net proceeds from the Offering will be approximately $384.1 million (or approximately $441.9 million if the initial purchasers exercise their option to purchase additional Notes in full), after deducting the initial purchasers’ discounts and commissions and estimated Offering expenses payable by Tempus.</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Tempus expects to use the net proceeds from the Offering to repay in full $307.7 million of outstanding loans under its senior secured credit facilities, plus accrued and unpaid interest and other fees, to pay the approximately $27.2 million cost of the capped call transactions described below, and for general corporate purposes, which may include acquisitions or strategic investments in complementary businesses or technologies, working capital, operating expenses, capital expenditures and repayment of additional indebtedness. If the initial purchasers exercise their option to purchase additional Notes, Tempus expects to use a portion of the net proceeds from the sale of the additional Notes to enter into additional capped call transactions and for the general corporate purposes described above.</w:t>
      </w:r>
    </w:p>
    <w:p>
      <w:pPr>
        <w:spacing w:after="0" w:line="18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Noteholders may convert all or any portion of their Notes at their option at any time prior to the close of business on the business day immediately preceding February 15, 2032 only if one or more specific conditions are met. On or after February 15, 2032 until the close of business on the second scheduled trading day immediately preceding the maturity date, the Notes will be convertible in integral multiples of $1,000 principal amount at the option of the noteholders at any time regardless of these conditions. Upon conversion, Tempus will pay or deliver, as the case may be, cash, shares of Tempus’ Class A common stock, par value $0.0001 per share (the “Class A common stock”) or a combination of cash and shares of Class A common stock, at its election.</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conversion rate will initially be 14.4388 shares of Class A common stock per $1,000 principal amount of Notes (equivalent to an initial conversion price of approximately $69.26 per share of Class A common stock, which represents a conversion premium of approximately 40% to the last reported sale price of the Class A common stock on the Nasdaq Global Select Market on May 7, 2026). The conversion rate will be subject to adjustment in some events but will not be adjusted for any accrued and unpaid special interest, if any. In addition, following certain corporate events</w:t>
      </w:r>
    </w:p>
    <w:p>
      <w:pPr>
        <w:sectPr>
          <w:pgSz w:w="11900" w:h="16838" w:orient="portrait"/>
          <w:cols w:equalWidth="0" w:num="1">
            <w:col w:w="11020"/>
          </w:cols>
          <w:pgMar w:left="440" w:top="117" w:right="439" w:bottom="1440" w:gutter="0" w:footer="0" w:header="0"/>
        </w:sectPr>
      </w:pPr>
    </w:p>
    <w:bookmarkStart w:id="173" w:name="page174"/>
    <w:bookmarkEnd w:id="173"/>
    <w:p>
      <w:pPr>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occur prior to the maturity date of the Notes or if Tempus delivers a notice of redemption, Tempus will, in certain circumstances, increase the conversion rate of the Notes for a noteholder who elects to convert its Notes in connection with such a corporate event or convert its Notes called (or deemed called) for redemption during the related redemption period, as the case may be.</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Tempus may not redeem the Notes prior to May 21, 2029. Tempus may redeem for cash all or any portion of the Notes (subject to the partial redemption limitation described below), at its option, on a redemption date on or after May 21, 2029 if the last reported sale price of the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Tempus provides notice of redemption at a redemption price equal to 100% of the principal amount of the Notes to be redeemed, plus accrued and unpaid special interest, if any, to, but excluding, the redemption date. If Tempus redeems fewer than all of the outstanding Notes, at least $75 million aggregate principal amount of Notes must be outstanding and not subject to redemption as of, and after giving effect to, delivery of the relevant notice of redemption.</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Tempus undergoes a “fundamental change” (as defined in the indenture that will govern the Notes), then, subject to certain conditions and limited exceptions, noteholders may require Tempus to repurchase for cash all or any portion of their Notes in principal amounts of $1,000 or an integral multiple thereof at a repurchase price equal to 100% of the principal amount of the Notes to be repurchased, plus accrued and unpaid special interest, if any, to, but excluding, the fundamental change repurchase date.</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Notes, Tempus entered into privately negotiated capped call transactions with one of the initial purchasers or its affiliate and other financial institutions (the “Option Counterparties”). The capped call transactions cover, subject to customary adjustments, the number of shares of Class A common stock initially underlying the Notes. The capped call transactions are expected generally to reduce the potential dilution to the Class A common stock upon any conversion of Notes and/or offset any cash payments Tempus is required to make in excess of the principal amount of converted Notes, as the case may be, with such reduction and/or offset subject to a cap.</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cap price of the capped call transactions relating to the Notes will initially be $98.94, which represents a premium of 100% over the last reported sale price of the Class A common stock on the Nasdaq Global Select Market on May 7, 2026, and is subject to certain adjustments under the terms of the capped call transactions.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Tempus expects the Option Counterparties or their respective affiliates will enter into various derivative transactions with respect to the Class A common stock and/or purchase shares of Class A common stock concurrently with or shortly after the pricing of the Notes, including with, or from, as the case may be, certain investors in the Notes. This activity could increase (or reduce the size of any decrease in) the market price of the Class A common stock or the Notes at that time.</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the Class A common stock and/or purchasing or selling Class A common stock or other securities of Tempus in secondary market transactions following the pricing of the Notes and prior to the maturity of the</w:t>
      </w:r>
    </w:p>
    <w:p>
      <w:pPr>
        <w:sectPr>
          <w:pgSz w:w="11900" w:h="16838" w:orient="portrait"/>
          <w:cols w:equalWidth="0" w:num="1">
            <w:col w:w="11000"/>
          </w:cols>
          <w:pgMar w:left="440" w:top="270" w:right="459" w:bottom="1440" w:gutter="0" w:footer="0" w:header="0"/>
        </w:sectPr>
      </w:pPr>
    </w:p>
    <w:bookmarkStart w:id="174" w:name="page175"/>
    <w:bookmarkEnd w:id="174"/>
    <w:p>
      <w:pPr>
        <w:ind w:right="100"/>
        <w:spacing w:after="0" w:line="23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(and are likely to do so during the 20 trading day period beginning on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scheduled trading day prior to the maturity date of the Notes, or, to the extent Tempus exercises the relevant election under the capped call transactions, following any repurchase, redemption or conversion of the Notes). This activity could also cause or avoid an increase or a decrease in the market price of the Class A common stock or the Notes which could affect a noteholder’s ability to convert the Notes and, to the extent the activity occurs during any observation period related to a conversion of Notes, it could affect the number of shares, if any, and value of the consideration that a noteholder will receive upon conversion of its Notes.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Notes and any shares of Class A common stock issuable upon conversion of the Notes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Tempus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 others who came before by providing physicians with tools that learn as the company gathers more data.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and Section 21E of the Securities Exchange Act of 1934, as amended, regarding, among other things, the proposed Offering, including statements concerning the proposed terms of the Notes and the capped call transactions, the anticipated completion, timing and size of the proposed Offering of the Notes and the capped call transactions, the anticipated use of proceeds from the Offering, and the potential impact of the foregoing or related transactions on dilution to holders of the Class A common stock and the market price of the Class A common stock or the Notes or the conversion price of the Notes. These forward-looking statements are based on Tempus’ current assumptions, expectations and beliefs and are subject to substantial risks, uncertainties, assumptions and changes in circumstances that may cause Tempus’ actual results, performance or achievements to differ materially from those expressed or implied in any forward-looking statement. These risks include, but are not limited to market risks, trends and conditions. These and other risks are more fully described in Tempus’ filings with the Securities and Exchange Commission (“SEC”), including in the section entitled “Risk Factors” in its Annual Report on Form 10-K for the year ended December 31, 2025, filed with the SEC on February 24, 2026, as well as other filings Tempus may make with the SEC in the future. Tempus undertakes no obligation to update any forward-looking statements to reflect events or circumstances after the date of this press release or to reflect new information or the occurrence of unanticipated events, except as required by law.</w:t>
      </w:r>
    </w:p>
    <w:p>
      <w:pPr>
        <w:sectPr>
          <w:pgSz w:w="11900" w:h="16838" w:orient="portrait"/>
          <w:cols w:equalWidth="0" w:num="1">
            <w:col w:w="11000"/>
          </w:cols>
          <w:pgMar w:left="440" w:top="270"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View source version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businesswire.com: https://www.businesswire.com/news/home/20260507350635/en/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Hanah Heintzelman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media@tempus.com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Krutoholow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Elizabeth.krutoholow@tempus.com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Tempus AI, Inc.</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1"/>
      <w:numFmt w:val="decimal"/>
      <w:start w:val="104"/>
    </w:lvl>
  </w:abstractNum>
  <w:abstractNum w:abstractNumId="3">
    <w:nsid w:val="14330624"/>
    <w:multiLevelType w:val="hybridMultilevel"/>
    <w:lvl w:ilvl="0">
      <w:lvlJc w:val="left"/>
      <w:lvlText w:val="(%1)"/>
      <w:numFmt w:val="lowerLetter"/>
      <w:start w:val="1"/>
    </w:lvl>
  </w:abstractNum>
  <w:abstractNum w:abstractNumId="4">
    <w:nsid w:val="7FFFCA11"/>
    <w:multiLevelType w:val="hybridMultilevel"/>
    <w:lvl w:ilvl="0">
      <w:lvlJc w:val="left"/>
      <w:lvlText w:val="(%1)"/>
      <w:numFmt w:val="lowerLetter"/>
      <w:start w:val="1"/>
    </w:lvl>
  </w:abstractNum>
  <w:abstractNum w:abstractNumId="5">
    <w:nsid w:val="1A27709E"/>
    <w:multiLevelType w:val="hybridMultilevel"/>
    <w:lvl w:ilvl="0">
      <w:lvlJc w:val="left"/>
      <w:lvlText w:val="(%1)"/>
      <w:numFmt w:val="lowerLetter"/>
      <w:start w:val="4"/>
    </w:lvl>
  </w:abstractNum>
  <w:abstractNum w:abstractNumId="6">
    <w:nsid w:val="71EA1109"/>
    <w:multiLevelType w:val="hybridMultilevel"/>
    <w:lvl w:ilvl="0">
      <w:lvlJc w:val="left"/>
      <w:lvlText w:val="(%1)"/>
      <w:numFmt w:val="lowerRoman"/>
      <w:start w:val="10"/>
    </w:lvl>
  </w:abstractNum>
  <w:abstractNum w:abstractNumId="7">
    <w:nsid w:val="100F59DC"/>
    <w:multiLevelType w:val="hybridMultilevel"/>
    <w:lvl w:ilvl="0">
      <w:lvlJc w:val="left"/>
      <w:lvlText w:val="(%1)"/>
      <w:numFmt w:val="lowerLetter"/>
      <w:start w:val="1"/>
    </w:lvl>
  </w:abstractNum>
  <w:abstractNum w:abstractNumId="8">
    <w:nsid w:val="7FB7E0AA"/>
    <w:multiLevelType w:val="hybridMultilevel"/>
    <w:lvl w:ilvl="0">
      <w:lvlJc w:val="left"/>
      <w:lvlText w:val="(%1)"/>
      <w:numFmt w:val="decimal"/>
      <w:start w:val="2"/>
    </w:lvl>
  </w:abstractNum>
  <w:abstractNum w:abstractNumId="9">
    <w:nsid w:val="6EB5BD4"/>
    <w:multiLevelType w:val="hybridMultilevel"/>
    <w:lvl w:ilvl="0">
      <w:lvlJc w:val="left"/>
      <w:lvlText w:val="(%1)"/>
      <w:numFmt w:val="lowerRoman"/>
      <w:start w:val="3"/>
    </w:lvl>
  </w:abstractNum>
  <w:abstractNum w:abstractNumId="10">
    <w:nsid w:val="6F6DD9AC"/>
    <w:multiLevelType w:val="hybridMultilevel"/>
    <w:lvl w:ilvl="0">
      <w:lvlJc w:val="left"/>
      <w:lvlText w:val="(%1)"/>
      <w:numFmt w:val="lowerRoman"/>
      <w:start w:val="2"/>
    </w:lvl>
  </w:abstractNum>
  <w:abstractNum w:abstractNumId="11">
    <w:nsid w:val="94211F2"/>
    <w:multiLevelType w:val="hybridMultilevel"/>
    <w:lvl w:ilvl="0">
      <w:lvlJc w:val="left"/>
      <w:lvlText w:val="(%1)"/>
      <w:numFmt w:val="lowerLetter"/>
      <w:start w:val="2"/>
    </w:lvl>
    <w:lvl w:ilvl="1">
      <w:lvlJc w:val="left"/>
      <w:lvlText w:val="(%2)"/>
      <w:numFmt w:val="lowerLetter"/>
      <w:start w:val="9"/>
    </w:lvl>
  </w:abstractNum>
  <w:abstractNum w:abstractNumId="12">
    <w:nsid w:val="885E1B"/>
    <w:multiLevelType w:val="hybridMultilevel"/>
    <w:lvl w:ilvl="0">
      <w:lvlJc w:val="left"/>
      <w:lvlText w:val="(%1)"/>
      <w:numFmt w:val="lowerRoman"/>
      <w:start w:val="2"/>
    </w:lvl>
  </w:abstractNum>
  <w:abstractNum w:abstractNumId="13">
    <w:nsid w:val="76272110"/>
    <w:multiLevelType w:val="hybridMultilevel"/>
    <w:lvl w:ilvl="0">
      <w:lvlJc w:val="left"/>
      <w:lvlText w:val="(%1)"/>
      <w:numFmt w:val="lowerLetter"/>
      <w:start w:val="1"/>
    </w:lvl>
  </w:abstractNum>
  <w:abstractNum w:abstractNumId="14">
    <w:nsid w:val="4C04A8AF"/>
    <w:multiLevelType w:val="hybridMultilevel"/>
    <w:lvl w:ilvl="0">
      <w:lvlJc w:val="left"/>
      <w:lvlText w:val="(%1)"/>
      <w:numFmt w:val="lowerRoman"/>
      <w:start w:val="2"/>
    </w:lvl>
  </w:abstractNum>
  <w:abstractNum w:abstractNumId="15">
    <w:nsid w:val="1716703B"/>
    <w:multiLevelType w:val="hybridMultilevel"/>
    <w:lvl w:ilvl="0">
      <w:lvlJc w:val="left"/>
      <w:lvlText w:val="(%1)"/>
      <w:numFmt w:val="lowerLetter"/>
      <w:start w:val="2"/>
    </w:lvl>
  </w:abstractNum>
  <w:abstractNum w:abstractNumId="16">
    <w:nsid w:val="14E17E33"/>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17">
    <w:nsid w:val="3222E7CD"/>
    <w:multiLevelType w:val="hybridMultilevel"/>
    <w:lvl w:ilvl="0">
      <w:lvlJc w:val="left"/>
      <w:lvlText w:val="(%1)"/>
      <w:numFmt w:val="upperLetter"/>
      <w:start w:val="24"/>
    </w:lvl>
    <w:lvl w:ilvl="1">
      <w:lvlJc w:val="left"/>
      <w:lvlText w:val="%2"/>
      <w:numFmt w:val="decimal"/>
      <w:start w:val="1"/>
    </w:lvl>
    <w:lvl w:ilvl="2">
      <w:lvlJc w:val="left"/>
      <w:lvlText w:val="(%3)"/>
      <w:numFmt w:val="upperLetter"/>
      <w:start w:val="1"/>
    </w:lvl>
  </w:abstractNum>
  <w:abstractNum w:abstractNumId="18">
    <w:nsid w:val="74DE0EE3"/>
    <w:multiLevelType w:val="hybridMultilevel"/>
    <w:lvl w:ilvl="0">
      <w:lvlJc w:val="left"/>
      <w:lvlText w:val="(%1)"/>
      <w:numFmt w:val="lowerRoman"/>
      <w:start w:val="2"/>
    </w:lvl>
  </w:abstractNum>
  <w:abstractNum w:abstractNumId="19">
    <w:nsid w:val="68EBC550"/>
    <w:multiLevelType w:val="hybridMultilevel"/>
    <w:lvl w:ilvl="0">
      <w:lvlJc w:val="left"/>
      <w:lvlText w:val="(%1)"/>
      <w:numFmt w:val="lowerLetter"/>
      <w:start w:val="4"/>
    </w:lvl>
  </w:abstractNum>
  <w:abstractNum w:abstractNumId="20">
    <w:nsid w:val="2DF6D648"/>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21">
    <w:nsid w:val="46B7D447"/>
    <w:multiLevelType w:val="hybridMultilevel"/>
    <w:lvl w:ilvl="0">
      <w:lvlJc w:val="left"/>
      <w:lvlText w:val="(%1)"/>
      <w:numFmt w:val="upperLetter"/>
      <w:start w:val="24"/>
    </w:lvl>
    <w:lvl w:ilvl="1">
      <w:lvlJc w:val="left"/>
      <w:lvlText w:val="%2"/>
      <w:numFmt w:val="decimal"/>
      <w:start w:val="1"/>
    </w:lvl>
    <w:lvl w:ilvl="2">
      <w:lvlJc w:val="left"/>
      <w:lvlText w:val="(%3)"/>
      <w:numFmt w:val="upperLetter"/>
      <w:start w:val="1"/>
    </w:lvl>
  </w:abstractNum>
  <w:abstractNum w:abstractNumId="22">
    <w:nsid w:val="4A2AC315"/>
    <w:multiLevelType w:val="hybridMultilevel"/>
    <w:lvl w:ilvl="0">
      <w:lvlJc w:val="left"/>
      <w:lvlText w:val="(%1)"/>
      <w:numFmt w:val="upperLetter"/>
      <w:start w:val="4"/>
    </w:lvl>
  </w:abstractNum>
  <w:abstractNum w:abstractNumId="23">
    <w:nsid w:val="39EE015C"/>
    <w:multiLevelType w:val="hybridMultilevel"/>
    <w:lvl w:ilvl="0">
      <w:lvlJc w:val="left"/>
      <w:lvlText w:val="(%1)"/>
      <w:numFmt w:val="lowerLetter"/>
      <w:start w:val="5"/>
    </w:lvl>
  </w:abstractNum>
  <w:abstractNum w:abstractNumId="24">
    <w:nsid w:val="57FC4FBB"/>
    <w:multiLevelType w:val="hybridMultilevel"/>
    <w:lvl w:ilvl="0">
      <w:lvlJc w:val="left"/>
      <w:lvlText w:val="(%1)"/>
      <w:numFmt w:val="lowerRoman"/>
      <w:start w:val="2"/>
    </w:lvl>
  </w:abstractNum>
  <w:abstractNum w:abstractNumId="25">
    <w:nsid w:val="CC1016F"/>
    <w:multiLevelType w:val="hybridMultilevel"/>
    <w:lvl w:ilvl="0">
      <w:lvlJc w:val="left"/>
      <w:lvlText w:val="(%1)"/>
      <w:numFmt w:val="lowerRoman"/>
      <w:start w:val="1"/>
    </w:lvl>
  </w:abstractNum>
  <w:abstractNum w:abstractNumId="26">
    <w:nsid w:val="43F18422"/>
    <w:multiLevelType w:val="hybridMultilevel"/>
    <w:lvl w:ilvl="0">
      <w:lvlJc w:val="left"/>
      <w:lvlText w:val="(%1)"/>
      <w:numFmt w:val="lowerLetter"/>
      <w:start w:val="2"/>
    </w:lvl>
  </w:abstractNum>
  <w:abstractNum w:abstractNumId="27">
    <w:nsid w:val="60EF0119"/>
    <w:multiLevelType w:val="hybridMultilevel"/>
    <w:lvl w:ilvl="0">
      <w:lvlJc w:val="left"/>
      <w:lvlText w:val="(%1)"/>
      <w:numFmt w:val="lowerLetter"/>
      <w:start w:val="3"/>
    </w:lvl>
  </w:abstractNum>
  <w:abstractNum w:abstractNumId="28">
    <w:nsid w:val="26F324BA"/>
    <w:multiLevelType w:val="hybridMultilevel"/>
    <w:lvl w:ilvl="0">
      <w:lvlJc w:val="left"/>
      <w:lvlText w:val="(%1)"/>
      <w:numFmt w:val="lowerLetter"/>
      <w:start w:val="2"/>
    </w:lvl>
  </w:abstractNum>
  <w:abstractNum w:abstractNumId="29">
    <w:nsid w:val="7F01579B"/>
    <w:multiLevelType w:val="hybridMultilevel"/>
    <w:lvl w:ilvl="0">
      <w:lvlJc w:val="left"/>
      <w:lvlText w:val="(%1)"/>
      <w:numFmt w:val="lowerLetter"/>
      <w:start w:val="3"/>
    </w:lvl>
  </w:abstractNum>
  <w:abstractNum w:abstractNumId="30">
    <w:nsid w:val="49DA307D"/>
    <w:multiLevelType w:val="hybridMultilevel"/>
    <w:lvl w:ilvl="0">
      <w:lvlJc w:val="left"/>
      <w:lvlText w:val="(%1)"/>
      <w:numFmt w:val="lowerLetter"/>
      <w:start w:val="5"/>
    </w:lvl>
  </w:abstractNum>
  <w:abstractNum w:abstractNumId="31">
    <w:nsid w:val="7055A5F5"/>
    <w:multiLevelType w:val="hybridMultilevel"/>
    <w:lvl w:ilvl="0">
      <w:lvlJc w:val="left"/>
      <w:lvlText w:val="(%1)"/>
      <w:numFmt w:val="lowerLetter"/>
      <w:start w:val="1"/>
    </w:lvl>
  </w:abstractNum>
  <w:abstractNum w:abstractNumId="32">
    <w:nsid w:val="5FB8370B"/>
    <w:multiLevelType w:val="hybridMultilevel"/>
    <w:lvl w:ilvl="0">
      <w:lvlJc w:val="left"/>
      <w:lvlText w:val="(%1)"/>
      <w:numFmt w:val="lowerLetter"/>
      <w:start w:val="8"/>
    </w:lvl>
  </w:abstractNum>
  <w:abstractNum w:abstractNumId="33">
    <w:nsid w:val="50801EE1"/>
    <w:multiLevelType w:val="hybridMultilevel"/>
    <w:lvl w:ilvl="0">
      <w:lvlJc w:val="left"/>
      <w:lvlText w:val="(%1)"/>
      <w:numFmt w:val="lowerLetter"/>
      <w:start w:val="1"/>
    </w:lvl>
  </w:abstractNum>
  <w:abstractNum w:abstractNumId="34">
    <w:nsid w:val="488AC1A"/>
    <w:multiLevelType w:val="hybridMultilevel"/>
    <w:lvl w:ilvl="0">
      <w:lvlJc w:val="left"/>
      <w:lvlText w:val="(%1)"/>
      <w:numFmt w:val="lowerLetter"/>
      <w:start w:val="25"/>
    </w:lvl>
  </w:abstractNum>
  <w:abstractNum w:abstractNumId="35">
    <w:nsid w:val="5FB8011C"/>
    <w:multiLevelType w:val="hybridMultilevel"/>
    <w:lvl w:ilvl="0">
      <w:lvlJc w:val="left"/>
      <w:lvlText w:val="(%1)"/>
      <w:numFmt w:val="lowerRoman"/>
      <w:start w:val="3"/>
    </w:lvl>
  </w:abstractNum>
  <w:abstractNum w:abstractNumId="36">
    <w:nsid w:val="6AA78F7F"/>
    <w:multiLevelType w:val="hybridMultilevel"/>
    <w:lvl w:ilvl="0">
      <w:lvlJc w:val="left"/>
      <w:lvlText w:val="(%1)"/>
      <w:numFmt w:val="lowerLetter"/>
      <w:start w:val="1"/>
    </w:lvl>
    <w:lvl w:ilvl="1">
      <w:lvlJc w:val="left"/>
      <w:lvlText w:val="(%2)"/>
      <w:numFmt w:val="lowerRoman"/>
      <w:start w:val="1"/>
    </w:lvl>
  </w:abstractNum>
  <w:abstractNum w:abstractNumId="37">
    <w:nsid w:val="7672BD23"/>
    <w:multiLevelType w:val="hybridMultilevel"/>
    <w:lvl w:ilvl="0">
      <w:lvlJc w:val="left"/>
      <w:lvlText w:val="(%1)"/>
      <w:numFmt w:val="lowerLetter"/>
      <w:start w:val="6"/>
    </w:lvl>
  </w:abstractNum>
  <w:abstractNum w:abstractNumId="38">
    <w:nsid w:val="6FC75AF8"/>
    <w:multiLevelType w:val="hybridMultilevel"/>
    <w:lvl w:ilvl="0">
      <w:lvlJc w:val="left"/>
      <w:lvlText w:val="(%1)"/>
      <w:numFmt w:val="lowerLetter"/>
      <w:start w:val="1"/>
    </w:lvl>
  </w:abstractNum>
  <w:abstractNum w:abstractNumId="39">
    <w:nsid w:val="6A5F7029"/>
    <w:multiLevelType w:val="hybridMultilevel"/>
    <w:lvl w:ilvl="0">
      <w:lvlJc w:val="left"/>
      <w:lvlText w:val="(%1)"/>
      <w:numFmt w:val="lowerLetter"/>
      <w:start w:val="3"/>
    </w:lvl>
  </w:abstractNum>
  <w:abstractNum w:abstractNumId="40">
    <w:nsid w:val="7D5E18F8"/>
    <w:multiLevelType w:val="hybridMultilevel"/>
    <w:lvl w:ilvl="0">
      <w:lvlJc w:val="left"/>
      <w:lvlText w:val="(%1)"/>
      <w:numFmt w:val="lowerLetter"/>
      <w:start w:val="2"/>
    </w:lvl>
    <w:lvl w:ilvl="1">
      <w:lvlJc w:val="left"/>
      <w:lvlText w:val="(%2)"/>
      <w:numFmt w:val="lowerRoman"/>
      <w:start w:val="1"/>
    </w:lvl>
  </w:abstractNum>
  <w:abstractNum w:abstractNumId="41">
    <w:nsid w:val="5F3534A4"/>
    <w:multiLevelType w:val="hybridMultilevel"/>
    <w:lvl w:ilvl="0">
      <w:lvlJc w:val="left"/>
      <w:lvlText w:val="(%1)"/>
      <w:numFmt w:val="lowerLetter"/>
      <w:start w:val="3"/>
    </w:lvl>
  </w:abstractNum>
  <w:abstractNum w:abstractNumId="42">
    <w:nsid w:val="73A1821B"/>
    <w:multiLevelType w:val="hybridMultilevel"/>
    <w:lvl w:ilvl="0">
      <w:lvlJc w:val="left"/>
      <w:lvlText w:val="(%1)"/>
      <w:numFmt w:val="lowerLetter"/>
      <w:start w:val="1"/>
    </w:lvl>
  </w:abstractNum>
  <w:abstractNum w:abstractNumId="43">
    <w:nsid w:val="7DE67713"/>
    <w:multiLevelType w:val="hybridMultilevel"/>
    <w:lvl w:ilvl="0">
      <w:lvlJc w:val="left"/>
      <w:lvlText w:val="(%1)"/>
      <w:numFmt w:val="lowerLetter"/>
      <w:start w:val="1"/>
    </w:lvl>
  </w:abstractNum>
  <w:abstractNum w:abstractNumId="44">
    <w:nsid w:val="555C55B5"/>
    <w:multiLevelType w:val="hybridMultilevel"/>
    <w:lvl w:ilvl="0">
      <w:lvlJc w:val="left"/>
      <w:lvlText w:val="(%1)"/>
      <w:numFmt w:val="lowerLetter"/>
      <w:start w:val="1"/>
    </w:lvl>
  </w:abstractNum>
  <w:abstractNum w:abstractNumId="45">
    <w:nsid w:val="3FA62ACA"/>
    <w:multiLevelType w:val="hybridMultilevel"/>
    <w:lvl w:ilvl="0">
      <w:lvlJc w:val="left"/>
      <w:lvlText w:val="(%1)"/>
      <w:numFmt w:val="lowerLetter"/>
      <w:start w:val="6"/>
    </w:lvl>
  </w:abstractNum>
  <w:abstractNum w:abstractNumId="46">
    <w:nsid w:val="14FCE74E"/>
    <w:multiLevelType w:val="hybridMultilevel"/>
    <w:lvl w:ilvl="0">
      <w:lvlJc w:val="left"/>
      <w:lvlText w:val="(%1)"/>
      <w:numFmt w:val="lowerLetter"/>
      <w:start w:val="1"/>
    </w:lvl>
  </w:abstractNum>
  <w:abstractNum w:abstractNumId="47">
    <w:nsid w:val="6A3DD3E8"/>
    <w:multiLevelType w:val="hybridMultilevel"/>
    <w:lvl w:ilvl="0">
      <w:lvlJc w:val="left"/>
      <w:lvlText w:val="(%1)"/>
      <w:numFmt w:val="lowerLetter"/>
      <w:start w:val="2"/>
    </w:lvl>
  </w:abstractNum>
  <w:abstractNum w:abstractNumId="48">
    <w:nsid w:val="71C91298"/>
    <w:multiLevelType w:val="hybridMultilevel"/>
    <w:lvl w:ilvl="0">
      <w:lvlJc w:val="left"/>
      <w:lvlText w:val="(%1)"/>
      <w:numFmt w:val="lowerLetter"/>
      <w:start w:val="1"/>
    </w:lvl>
  </w:abstractNum>
  <w:abstractNum w:abstractNumId="49">
    <w:nsid w:val="9DAF632"/>
    <w:multiLevelType w:val="hybridMultilevel"/>
    <w:lvl w:ilvl="0">
      <w:lvlJc w:val="left"/>
      <w:lvlText w:val="(%1)"/>
      <w:numFmt w:val="lowerLetter"/>
      <w:start w:val="1"/>
    </w:lvl>
  </w:abstractNum>
  <w:abstractNum w:abstractNumId="50">
    <w:nsid w:val="53299938"/>
    <w:multiLevelType w:val="hybridMultilevel"/>
    <w:lvl w:ilvl="0">
      <w:lvlJc w:val="left"/>
      <w:lvlText w:val="(%1)"/>
      <w:numFmt w:val="lowerRoman"/>
      <w:start w:val="1"/>
    </w:lvl>
  </w:abstractNum>
  <w:abstractNum w:abstractNumId="51">
    <w:nsid w:val="1FBFE8E0"/>
    <w:multiLevelType w:val="hybridMultilevel"/>
    <w:lvl w:ilvl="0">
      <w:lvlJc w:val="left"/>
      <w:lvlText w:val="(%1)"/>
      <w:numFmt w:val="lowerRoman"/>
      <w:start w:val="2"/>
    </w:lvl>
    <w:lvl w:ilvl="1">
      <w:lvlJc w:val="left"/>
      <w:lvlText w:val="(%2)"/>
      <w:numFmt w:val="upperLetter"/>
      <w:start w:val="1"/>
    </w:lvl>
  </w:abstractNum>
  <w:abstractNum w:abstractNumId="52">
    <w:nsid w:val="5092CA79"/>
    <w:multiLevelType w:val="hybridMultilevel"/>
    <w:lvl w:ilvl="0">
      <w:lvlJc w:val="left"/>
      <w:lvlText w:val="(%1)"/>
      <w:numFmt w:val="upperLetter"/>
      <w:start w:val="2"/>
    </w:lvl>
  </w:abstractNum>
  <w:abstractNum w:abstractNumId="53">
    <w:nsid w:val="1D545C4D"/>
    <w:multiLevelType w:val="hybridMultilevel"/>
    <w:lvl w:ilvl="0">
      <w:lvlJc w:val="left"/>
      <w:lvlText w:val="(%1)"/>
      <w:numFmt w:val="lowerRoman"/>
      <w:start w:val="3"/>
    </w:lvl>
  </w:abstractNum>
  <w:abstractNum w:abstractNumId="54">
    <w:nsid w:val="59ADEA3D"/>
    <w:multiLevelType w:val="hybridMultilevel"/>
    <w:lvl w:ilvl="0">
      <w:lvlJc w:val="left"/>
      <w:lvlText w:val="(%1)"/>
      <w:numFmt w:val="lowerRoman"/>
      <w:start w:val="10"/>
    </w:lvl>
    <w:lvl w:ilvl="1">
      <w:lvlJc w:val="left"/>
      <w:lvlText w:val="%2"/>
      <w:numFmt w:val="lowerRoman"/>
      <w:start w:val="1"/>
    </w:lvl>
  </w:abstractNum>
  <w:abstractNum w:abstractNumId="55">
    <w:nsid w:val="288F1A34"/>
    <w:multiLevelType w:val="hybridMultilevel"/>
    <w:lvl w:ilvl="0">
      <w:lvlJc w:val="left"/>
      <w:lvlText w:val="(%1)"/>
      <w:numFmt w:val="lowerRoman"/>
      <w:start w:val="10"/>
    </w:lvl>
    <w:lvl w:ilvl="1">
      <w:lvlJc w:val="left"/>
      <w:lvlText w:val="(%2)"/>
      <w:numFmt w:val="lowerRoman"/>
      <w:start w:val="4"/>
    </w:lvl>
  </w:abstractNum>
  <w:abstractNum w:abstractNumId="56">
    <w:nsid w:val="2A155DB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7">
    <w:nsid w:val="1D9F6E5F"/>
    <w:multiLevelType w:val="hybridMultilevel"/>
    <w:lvl w:ilvl="0">
      <w:lvlJc w:val="left"/>
      <w:lvlText w:val="(%1)"/>
      <w:numFmt w:val="lowerLetter"/>
      <w:start w:val="10"/>
    </w:lvl>
    <w:lvl w:ilvl="1">
      <w:lvlJc w:val="left"/>
      <w:lvlText w:val="%2"/>
      <w:numFmt w:val="lowerLetter"/>
      <w:start w:val="1"/>
    </w:lvl>
    <w:lvl w:ilvl="2">
      <w:lvlJc w:val="left"/>
      <w:lvlText w:val="(%3)"/>
      <w:numFmt w:val="lowerRoman"/>
      <w:start w:val="1"/>
    </w:lvl>
  </w:abstractNum>
  <w:abstractNum w:abstractNumId="58">
    <w:nsid w:val="97E1B4E"/>
    <w:multiLevelType w:val="hybridMultilevel"/>
    <w:lvl w:ilvl="0">
      <w:lvlJc w:val="left"/>
      <w:lvlText w:val="(%1)"/>
      <w:numFmt w:val="lowerRoman"/>
      <w:start w:val="3"/>
    </w:lvl>
  </w:abstractNum>
  <w:abstractNum w:abstractNumId="59">
    <w:nsid w:val="51088277"/>
    <w:multiLevelType w:val="hybridMultilevel"/>
    <w:lvl w:ilvl="0">
      <w:lvlJc w:val="left"/>
      <w:lvlText w:val="(%1)"/>
      <w:numFmt w:val="lowerRoman"/>
      <w:start w:val="4"/>
    </w:lvl>
    <w:lvl w:ilvl="1">
      <w:lvlJc w:val="left"/>
      <w:lvlText w:val="(%2)"/>
      <w:numFmt w:val="upperLetter"/>
      <w:start w:val="1"/>
    </w:lvl>
  </w:abstractNum>
  <w:abstractNum w:abstractNumId="60">
    <w:nsid w:val="1CA0C5F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61">
    <w:nsid w:val="53584BCB"/>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62">
    <w:nsid w:val="415E286C"/>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63">
    <w:nsid w:val="7C58FD05"/>
    <w:multiLevelType w:val="hybridMultilevel"/>
    <w:lvl w:ilvl="0">
      <w:lvlJc w:val="left"/>
      <w:lvlText w:val="(%1)"/>
      <w:numFmt w:val="lowerLetter"/>
      <w:start w:val="3"/>
    </w:lvl>
  </w:abstractNum>
  <w:abstractNum w:abstractNumId="64">
    <w:nsid w:val="23D86AAC"/>
    <w:multiLevelType w:val="hybridMultilevel"/>
    <w:lvl w:ilvl="0">
      <w:lvlJc w:val="left"/>
      <w:lvlText w:val="(%1)"/>
      <w:numFmt w:val="lowerLetter"/>
      <w:start w:val="8"/>
    </w:lvl>
  </w:abstractNum>
  <w:abstractNum w:abstractNumId="65">
    <w:nsid w:val="45E6D486"/>
    <w:multiLevelType w:val="hybridMultilevel"/>
    <w:lvl w:ilvl="0">
      <w:lvlJc w:val="left"/>
      <w:lvlText w:val="%1"/>
      <w:numFmt w:val="lowerLetter"/>
      <w:start w:val="1"/>
    </w:lvl>
    <w:lvl w:ilvl="1">
      <w:lvlJc w:val="left"/>
      <w:lvlText w:val="(%2)"/>
      <w:numFmt w:val="lowerLetter"/>
      <w:start w:val="1"/>
    </w:lvl>
  </w:abstractNum>
  <w:abstractNum w:abstractNumId="66">
    <w:nsid w:val="5C10FE21"/>
    <w:multiLevelType w:val="hybridMultilevel"/>
    <w:lvl w:ilvl="0">
      <w:lvlJc w:val="left"/>
      <w:lvlText w:val="(%1)"/>
      <w:numFmt w:val="lowerLetter"/>
      <w:start w:val="2"/>
    </w:lvl>
    <w:lvl w:ilvl="1">
      <w:lvlJc w:val="left"/>
      <w:lvlText w:val="(%2)"/>
      <w:numFmt w:val="lowerLetter"/>
      <w:start w:val="2"/>
    </w:lvl>
  </w:abstractNum>
  <w:abstractNum w:abstractNumId="67">
    <w:nsid w:val="E7FFA2B"/>
    <w:multiLevelType w:val="hybridMultilevel"/>
    <w:lvl w:ilvl="0">
      <w:lvlJc w:val="left"/>
      <w:lvlText w:val="(%1)"/>
      <w:numFmt w:val="lowerLetter"/>
      <w:start w:val="3"/>
    </w:lvl>
  </w:abstractNum>
  <w:abstractNum w:abstractNumId="68">
    <w:nsid w:val="3C5991AA"/>
    <w:multiLevelType w:val="hybridMultilevel"/>
    <w:lvl w:ilvl="0">
      <w:lvlJc w:val="left"/>
      <w:lvlText w:val="(%1)"/>
      <w:numFmt w:val="lowerRoman"/>
      <w:start w:val="1"/>
    </w:lvl>
  </w:abstractNum>
  <w:abstractNum w:abstractNumId="69">
    <w:nsid w:val="4BD8591A"/>
    <w:multiLevelType w:val="hybridMultilevel"/>
    <w:lvl w:ilvl="0">
      <w:lvlJc w:val="left"/>
      <w:lvlText w:val="(%1)"/>
      <w:numFmt w:val="lowerLetter"/>
      <w:start w:val="6"/>
    </w:lvl>
  </w:abstractNum>
  <w:abstractNum w:abstractNumId="70">
    <w:nsid w:val="78DF6A55"/>
    <w:multiLevelType w:val="hybridMultilevel"/>
    <w:lvl w:ilvl="0">
      <w:lvlJc w:val="left"/>
      <w:lvlText w:val="(%1)"/>
      <w:numFmt w:val="lowerLetter"/>
      <w:start w:val="1"/>
    </w:lvl>
  </w:abstractNum>
  <w:abstractNum w:abstractNumId="71">
    <w:nsid w:val="39B7AAA2"/>
    <w:multiLevelType w:val="hybridMultilevel"/>
    <w:lvl w:ilvl="0">
      <w:lvlJc w:val="left"/>
      <w:lvlText w:val="(%1)"/>
      <w:numFmt w:val="lowerLetter"/>
      <w:start w:val="2"/>
    </w:lvl>
  </w:abstractNum>
  <w:abstractNum w:abstractNumId="72">
    <w:nsid w:val="2B0D8DBE"/>
    <w:multiLevelType w:val="hybridMultilevel"/>
    <w:lvl w:ilvl="0">
      <w:lvlJc w:val="left"/>
      <w:lvlText w:val="X"/>
      <w:numFmt w:val="bullet"/>
      <w:start w:val="1"/>
    </w:lvl>
  </w:abstractNum>
  <w:abstractNum w:abstractNumId="73">
    <w:nsid w:val="6C80EC70"/>
    <w:multiLevelType w:val="hybridMultilevel"/>
    <w:lvl w:ilvl="0">
      <w:lvlJc w:val="left"/>
      <w:lvlText w:val="Y"/>
      <w:numFmt w:val="bullet"/>
      <w:start w:val="1"/>
    </w:lvl>
  </w:abstractNum>
  <w:abstractNum w:abstractNumId="74">
    <w:nsid w:val="379E21B5"/>
    <w:multiLevelType w:val="hybridMultilevel"/>
    <w:lvl w:ilvl="0">
      <w:lvlJc w:val="left"/>
      <w:lvlText w:val="%1"/>
      <w:numFmt w:val="lowerLetter"/>
      <w:start w:val="1"/>
    </w:lvl>
    <w:lvl w:ilvl="1">
      <w:lvlJc w:val="left"/>
      <w:lvlText w:val="(%2)"/>
      <w:numFmt w:val="lowerLetter"/>
      <w:start w:val="3"/>
    </w:lvl>
  </w:abstractNum>
  <w:abstractNum w:abstractNumId="75">
    <w:nsid w:val="69E373"/>
    <w:multiLevelType w:val="hybridMultilevel"/>
    <w:lvl w:ilvl="0">
      <w:lvlJc w:val="left"/>
      <w:lvlText w:val="(%1)"/>
      <w:numFmt w:val="lowerLetter"/>
      <w:start w:val="22"/>
    </w:lvl>
    <w:lvl w:ilvl="1">
      <w:lvlJc w:val="left"/>
      <w:lvlText w:val="%2"/>
      <w:numFmt w:val="lowerLetter"/>
      <w:start w:val="1"/>
    </w:lvl>
  </w:abstractNum>
  <w:abstractNum w:abstractNumId="76">
    <w:nsid w:val="2C27173B"/>
    <w:multiLevelType w:val="hybridMultilevel"/>
    <w:lvl w:ilvl="0">
      <w:lvlJc w:val="left"/>
      <w:lvlText w:val="(%1)"/>
      <w:numFmt w:val="upperLetter"/>
      <w:start w:val="1"/>
    </w:lvl>
  </w:abstractNum>
  <w:abstractNum w:abstractNumId="77">
    <w:nsid w:val="4C9B0904"/>
    <w:multiLevelType w:val="hybridMultilevel"/>
    <w:lvl w:ilvl="0">
      <w:lvlJc w:val="left"/>
      <w:lvlText w:val="(%1)"/>
      <w:numFmt w:val="lowerLetter"/>
      <w:start w:val="4"/>
    </w:lvl>
  </w:abstractNum>
  <w:abstractNum w:abstractNumId="78">
    <w:nsid w:val="6AA7B75C"/>
    <w:multiLevelType w:val="hybridMultilevel"/>
    <w:lvl w:ilvl="0">
      <w:lvlJc w:val="left"/>
      <w:lvlText w:val="C"/>
      <w:numFmt w:val="bullet"/>
      <w:start w:val="1"/>
    </w:lvl>
  </w:abstractNum>
  <w:abstractNum w:abstractNumId="79">
    <w:nsid w:val="1DF029D3"/>
    <w:multiLevelType w:val="hybridMultilevel"/>
    <w:lvl w:ilvl="0">
      <w:lvlJc w:val="left"/>
      <w:lvlText w:val="(%1)"/>
      <w:numFmt w:val="lowerLetter"/>
      <w:start w:val="5"/>
    </w:lvl>
  </w:abstractNum>
  <w:abstractNum w:abstractNumId="80">
    <w:nsid w:val="5675FF36"/>
    <w:multiLevelType w:val="hybridMultilevel"/>
    <w:lvl w:ilvl="0">
      <w:lvlJc w:val="left"/>
      <w:lvlText w:val="(%1)"/>
      <w:numFmt w:val="lowerLetter"/>
      <w:start w:val="6"/>
    </w:lvl>
    <w:lvl w:ilvl="1">
      <w:lvlJc w:val="left"/>
      <w:lvlText w:val="(%2)"/>
      <w:numFmt w:val="lowerRoman"/>
      <w:start w:val="1"/>
    </w:lvl>
  </w:abstractNum>
  <w:abstractNum w:abstractNumId="81">
    <w:nsid w:val="3DD15094"/>
    <w:multiLevelType w:val="hybridMultilevel"/>
    <w:lvl w:ilvl="0">
      <w:lvlJc w:val="left"/>
      <w:lvlText w:val="%1"/>
      <w:numFmt w:val="lowerLetter"/>
      <w:start w:val="1"/>
    </w:lvl>
    <w:lvl w:ilvl="1">
      <w:lvlJc w:val="left"/>
      <w:lvlText w:val="(%2)"/>
      <w:numFmt w:val="lowerLetter"/>
      <w:start w:val="22"/>
    </w:lvl>
  </w:abstractNum>
  <w:abstractNum w:abstractNumId="82">
    <w:nsid w:val="3DB012B3"/>
    <w:multiLevelType w:val="hybridMultilevel"/>
    <w:lvl w:ilvl="0">
      <w:lvlJc w:val="left"/>
      <w:lvlText w:val="(%1)"/>
      <w:numFmt w:val="lowerLetter"/>
      <w:start w:val="5"/>
    </w:lvl>
    <w:lvl w:ilvl="1">
      <w:lvlJc w:val="left"/>
      <w:lvlText w:val="%2"/>
      <w:numFmt w:val="lowerLetter"/>
      <w:start w:val="1"/>
    </w:lvl>
  </w:abstractNum>
  <w:abstractNum w:abstractNumId="83">
    <w:nsid w:val="2708C9AF"/>
    <w:multiLevelType w:val="hybridMultilevel"/>
    <w:lvl w:ilvl="0">
      <w:lvlJc w:val="left"/>
      <w:lvlText w:val="%1"/>
      <w:numFmt w:val="lowerLetter"/>
      <w:start w:val="1"/>
    </w:lvl>
    <w:lvl w:ilvl="1">
      <w:lvlJc w:val="left"/>
      <w:lvlText w:val="(%2)"/>
      <w:numFmt w:val="lowerRoman"/>
      <w:start w:val="6"/>
    </w:lvl>
  </w:abstractNum>
  <w:abstractNum w:abstractNumId="84">
    <w:nsid w:val="5B25ACE2"/>
    <w:multiLevelType w:val="hybridMultilevel"/>
    <w:lvl w:ilvl="0">
      <w:lvlJc w:val="left"/>
      <w:lvlText w:val="(%1)"/>
      <w:numFmt w:val="lowerLetter"/>
      <w:start w:val="10"/>
    </w:lvl>
    <w:lvl w:ilvl="1">
      <w:lvlJc w:val="left"/>
      <w:lvlText w:val="%2"/>
      <w:numFmt w:val="lowerRoman"/>
      <w:start w:val="1"/>
    </w:lvl>
  </w:abstractNum>
  <w:abstractNum w:abstractNumId="85">
    <w:nsid w:val="175DFCF0"/>
    <w:multiLevelType w:val="hybridMultilevel"/>
    <w:lvl w:ilvl="0">
      <w:lvlJc w:val="left"/>
      <w:lvlText w:val="(%1)"/>
      <w:numFmt w:val="lowerLetter"/>
      <w:start w:val="1"/>
    </w:lvl>
    <w:lvl w:ilvl="1">
      <w:lvlJc w:val="left"/>
      <w:lvlText w:val="(%2)"/>
      <w:numFmt w:val="lowerRoman"/>
      <w:start w:val="1"/>
    </w:lvl>
  </w:abstractNum>
  <w:abstractNum w:abstractNumId="86">
    <w:nsid w:val="4F97E3E4"/>
    <w:multiLevelType w:val="hybridMultilevel"/>
    <w:lvl w:ilvl="0">
      <w:lvlJc w:val="left"/>
      <w:lvlText w:val="(%1)"/>
      <w:numFmt w:val="lowerRoman"/>
      <w:start w:val="1"/>
    </w:lvl>
  </w:abstractNum>
  <w:abstractNum w:abstractNumId="87">
    <w:nsid w:val="53B0A9E"/>
    <w:multiLevelType w:val="hybridMultilevel"/>
    <w:lvl w:ilvl="0">
      <w:lvlJc w:val="left"/>
      <w:lvlText w:val="(%1)"/>
      <w:numFmt w:val="lowerLetter"/>
      <w:start w:val="2"/>
    </w:lvl>
  </w:abstractNum>
  <w:abstractNum w:abstractNumId="88">
    <w:nsid w:val="34FD6B4F"/>
    <w:multiLevelType w:val="hybridMultilevel"/>
    <w:lvl w:ilvl="0">
      <w:lvlJc w:val="left"/>
      <w:lvlText w:val="(%1)"/>
      <w:numFmt w:val="lowerLetter"/>
      <w:start w:val="2"/>
    </w:lvl>
  </w:abstractNum>
  <w:abstractNum w:abstractNumId="89">
    <w:nsid w:val="5915FF32"/>
    <w:multiLevelType w:val="hybridMultilevel"/>
    <w:lvl w:ilvl="0">
      <w:lvlJc w:val="left"/>
      <w:lvlText w:val="(%1)"/>
      <w:numFmt w:val="lowerLetter"/>
      <w:start w:val="1"/>
    </w:lvl>
  </w:abstractNum>
  <w:abstractNum w:abstractNumId="90">
    <w:nsid w:val="56438D15"/>
    <w:multiLevelType w:val="hybridMultilevel"/>
    <w:lvl w:ilvl="0">
      <w:lvlJc w:val="left"/>
      <w:lvlText w:val="(%1)"/>
      <w:numFmt w:val="lowerLetter"/>
      <w:start w:val="1"/>
    </w:lvl>
  </w:abstractNum>
  <w:abstractNum w:abstractNumId="91">
    <w:nsid w:val="519E3149"/>
    <w:multiLevelType w:val="hybridMultilevel"/>
    <w:lvl w:ilvl="0">
      <w:lvlJc w:val="left"/>
      <w:lvlText w:val="(%1)"/>
      <w:numFmt w:val="lowerLetter"/>
      <w:start w:val="2"/>
    </w:lvl>
    <w:lvl w:ilvl="1">
      <w:lvlJc w:val="left"/>
      <w:lvlText w:val="(%2)"/>
      <w:numFmt w:val="lowerRoman"/>
      <w:start w:val="1"/>
    </w:lvl>
  </w:abstractNum>
  <w:abstractNum w:abstractNumId="92">
    <w:nsid w:val="2C6E4AFD"/>
    <w:multiLevelType w:val="hybridMultilevel"/>
    <w:lvl w:ilvl="0">
      <w:lvlJc w:val="left"/>
      <w:lvlText w:val="(%1)"/>
      <w:numFmt w:val="lowerRoman"/>
      <w:start w:val="1"/>
    </w:lvl>
  </w:abstractNum>
  <w:abstractNum w:abstractNumId="93">
    <w:nsid w:val="17A1B582"/>
    <w:multiLevelType w:val="hybridMultilevel"/>
    <w:lvl w:ilvl="0">
      <w:lvlJc w:val="left"/>
      <w:lvlText w:val="(%1)"/>
      <w:numFmt w:val="lowerLetter"/>
      <w:start w:val="3"/>
    </w:lvl>
    <w:lvl w:ilvl="1">
      <w:lvlJc w:val="left"/>
      <w:lvlText w:val="(%2)"/>
      <w:numFmt w:val="lowerRoman"/>
      <w:start w:val="1"/>
    </w:lvl>
  </w:abstractNum>
  <w:abstractNum w:abstractNumId="94">
    <w:nsid w:val="4DF72E4E"/>
    <w:multiLevelType w:val="hybridMultilevel"/>
    <w:lvl w:ilvl="0">
      <w:lvlJc w:val="left"/>
      <w:lvlText w:val="(%1)"/>
      <w:numFmt w:val="lowerLetter"/>
      <w:start w:val="4"/>
    </w:lvl>
  </w:abstractNum>
  <w:abstractNum w:abstractNumId="95">
    <w:nsid w:val="5046B5A9"/>
    <w:multiLevelType w:val="hybridMultilevel"/>
    <w:lvl w:ilvl="0">
      <w:lvlJc w:val="left"/>
      <w:lvlText w:val="(%1)"/>
      <w:numFmt w:val="lowerRoman"/>
      <w:start w:val="1"/>
    </w:lvl>
  </w:abstractNum>
  <w:abstractNum w:abstractNumId="96">
    <w:nsid w:val="5D888A08"/>
    <w:multiLevelType w:val="hybridMultilevel"/>
    <w:lvl w:ilvl="0">
      <w:lvlJc w:val="left"/>
      <w:lvlText w:val="(%1)"/>
      <w:numFmt w:val="lowerLetter"/>
      <w:start w:val="2"/>
    </w:lvl>
  </w:abstractNum>
  <w:abstractNum w:abstractNumId="97">
    <w:nsid w:val="2A082C70"/>
    <w:multiLevelType w:val="hybridMultilevel"/>
    <w:lvl w:ilvl="0">
      <w:lvlJc w:val="left"/>
      <w:lvlText w:val="(%1)"/>
      <w:numFmt w:val="lowerLetter"/>
      <w:start w:val="1"/>
    </w:lvl>
  </w:abstractNum>
  <w:abstractNum w:abstractNumId="98">
    <w:nsid w:val="5EC6AFD4"/>
    <w:multiLevelType w:val="hybridMultilevel"/>
    <w:lvl w:ilvl="0">
      <w:lvlJc w:val="left"/>
      <w:lvlText w:val="(%1)"/>
      <w:numFmt w:val="lowerLetter"/>
      <w:start w:val="2"/>
    </w:lvl>
    <w:lvl w:ilvl="1">
      <w:lvlJc w:val="left"/>
      <w:lvlText w:val="(%2)"/>
      <w:numFmt w:val="lowerRoman"/>
      <w:start w:val="1"/>
    </w:lvl>
  </w:abstractNum>
  <w:abstractNum w:abstractNumId="99">
    <w:nsid w:val="19E21BB2"/>
    <w:multiLevelType w:val="hybridMultilevel"/>
    <w:lvl w:ilvl="0">
      <w:lvlJc w:val="left"/>
      <w:lvlText w:val="(%1)"/>
      <w:numFmt w:val="lowerRoman"/>
      <w:start w:val="3"/>
    </w:lvl>
  </w:abstractNum>
  <w:abstractNum w:abstractNumId="100">
    <w:nsid w:val="75E0858A"/>
    <w:multiLevelType w:val="hybridMultilevel"/>
    <w:lvl w:ilvl="0">
      <w:lvlJc w:val="left"/>
      <w:lvlText w:val="(%1)"/>
      <w:numFmt w:val="lowerRoman"/>
      <w:start w:val="8"/>
    </w:lvl>
  </w:abstractNum>
  <w:abstractNum w:abstractNumId="101">
    <w:nsid w:val="57A61A29"/>
    <w:multiLevelType w:val="hybridMultilevel"/>
    <w:lvl w:ilvl="0">
      <w:lvlJc w:val="left"/>
      <w:lvlText w:val="(%1)"/>
      <w:numFmt w:val="lowerLetter"/>
      <w:start w:val="4"/>
    </w:lvl>
  </w:abstractNum>
  <w:abstractNum w:abstractNumId="102">
    <w:nsid w:val="5399C654"/>
    <w:multiLevelType w:val="hybridMultilevel"/>
    <w:lvl w:ilvl="0">
      <w:lvlJc w:val="left"/>
      <w:lvlText w:val="(%1)"/>
      <w:numFmt w:val="lowerLetter"/>
      <w:start w:val="1"/>
    </w:lvl>
  </w:abstractNum>
  <w:abstractNum w:abstractNumId="103">
    <w:nsid w:val="20EE1348"/>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104">
    <w:nsid w:val="4427069A"/>
    <w:multiLevelType w:val="hybridMultilevel"/>
    <w:lvl w:ilvl="0">
      <w:lvlJc w:val="left"/>
      <w:lvlText w:val="(%1)"/>
      <w:numFmt w:val="upperLetter"/>
      <w:start w:val="24"/>
    </w:lvl>
    <w:lvl w:ilvl="1">
      <w:lvlJc w:val="left"/>
      <w:lvlText w:val="%2"/>
      <w:numFmt w:val="decimal"/>
      <w:start w:val="1"/>
    </w:lvl>
    <w:lvl w:ilvl="2">
      <w:lvlJc w:val="left"/>
      <w:lvlText w:val="(%3)"/>
      <w:numFmt w:val="upperLetter"/>
      <w:start w:val="1"/>
    </w:lvl>
  </w:abstractNum>
  <w:abstractNum w:abstractNumId="105">
    <w:nsid w:val="B37E80A"/>
    <w:multiLevelType w:val="hybridMultilevel"/>
    <w:lvl w:ilvl="0">
      <w:lvlJc w:val="left"/>
      <w:lvlText w:val="(%1)"/>
      <w:numFmt w:val="upperLetter"/>
      <w:start w:val="3"/>
    </w:lvl>
  </w:abstractNum>
  <w:abstractNum w:abstractNumId="106">
    <w:nsid w:val="2157F6BC"/>
    <w:multiLevelType w:val="hybridMultilevel"/>
    <w:lvl w:ilvl="0">
      <w:lvlJc w:val="left"/>
      <w:lvlText w:val="1"/>
      <w:numFmt w:val="bullet"/>
      <w:start w:val="1"/>
    </w:lvl>
  </w:abstractNum>
  <w:abstractNum w:abstractNumId="107">
    <w:nsid w:val="704E1DD5"/>
    <w:multiLevelType w:val="hybridMultilevel"/>
    <w:lvl w:ilvl="0">
      <w:lvlJc w:val="left"/>
      <w:lvlText w:val="2"/>
      <w:numFmt w:val="bullet"/>
      <w:start w:val="1"/>
    </w:lvl>
  </w:abstractNum>
  <w:abstractNum w:abstractNumId="108">
    <w:nsid w:val="57D2F10E"/>
    <w:multiLevelType w:val="hybridMultilevel"/>
    <w:lvl w:ilvl="0">
      <w:lvlJc w:val="left"/>
      <w:lvlText w:val="3"/>
      <w:numFmt w:val="bullet"/>
      <w:start w:val="1"/>
    </w:lvl>
  </w:abstractNum>
  <w:abstractNum w:abstractNumId="109">
    <w:nsid w:val="BFFAE18"/>
    <w:multiLevelType w:val="hybridMultilevel"/>
    <w:lvl w:ilvl="0">
      <w:lvlJc w:val="left"/>
      <w:lvlText w:val="4"/>
      <w:numFmt w:val="bullet"/>
      <w:start w:val="1"/>
    </w:lvl>
  </w:abstractNum>
  <w:abstractNum w:abstractNumId="110">
    <w:nsid w:val="E3E47A8"/>
    <w:multiLevelType w:val="hybridMultilevel"/>
    <w:lvl w:ilvl="0">
      <w:lvlJc w:val="left"/>
      <w:lvlText w:val="5"/>
      <w:numFmt w:val="bullet"/>
      <w:start w:val="1"/>
    </w:lvl>
  </w:abstractNum>
  <w:abstractNum w:abstractNumId="111">
    <w:nsid w:val="2E48F044"/>
    <w:multiLevelType w:val="hybridMultilevel"/>
    <w:lvl w:ilvl="0">
      <w:lvlJc w:val="left"/>
      <w:lvlText w:val="6"/>
      <w:numFmt w:val="bullet"/>
      <w:start w:val="1"/>
    </w:lvl>
  </w:abstractNum>
  <w:abstractNum w:abstractNumId="112">
    <w:nsid w:val="49D0FEAC"/>
    <w:multiLevelType w:val="hybridMultilevel"/>
    <w:lvl w:ilvl="0">
      <w:lvlJc w:val="left"/>
      <w:lvlText w:val="7"/>
      <w:numFmt w:val="bullet"/>
      <w:start w:val="1"/>
    </w:lvl>
  </w:abstractNum>
  <w:abstractNum w:abstractNumId="113">
    <w:nsid w:val="4BEE5A5B"/>
    <w:multiLevelType w:val="hybridMultilevel"/>
    <w:lvl w:ilvl="0">
      <w:lvlJc w:val="left"/>
      <w:lvlText w:val="☐"/>
      <w:numFmt w:val="bullet"/>
      <w:start w:val="1"/>
    </w:lvl>
  </w:abstractNum>
  <w:abstractNum w:abstractNumId="114">
    <w:nsid w:val="5551B9F3"/>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115">
    <w:nsid w:val="24F6AB8E"/>
    <w:multiLevelType w:val="hybridMultilevel"/>
    <w:lvl w:ilvl="0">
      <w:lvlJc w:val="left"/>
      <w:lvlText w:val="(%1)"/>
      <w:numFmt w:val="upperLetter"/>
      <w:start w:val="24"/>
    </w:lvl>
    <w:lvl w:ilvl="1">
      <w:lvlJc w:val="left"/>
      <w:lvlText w:val="%2"/>
      <w:numFmt w:val="decimal"/>
      <w:start w:val="1"/>
    </w:lvl>
    <w:lvl w:ilvl="2">
      <w:lvlJc w:val="left"/>
      <w:lvlText w:val="(%3)"/>
      <w:numFmt w:val="upperLetter"/>
      <w:start w:val="1"/>
    </w:lvl>
  </w:abstractNum>
  <w:abstractNum w:abstractNumId="116">
    <w:nsid w:val="634C574C"/>
    <w:multiLevelType w:val="hybridMultilevel"/>
    <w:lvl w:ilvl="0">
      <w:lvlJc w:val="left"/>
      <w:lvlText w:val="☐"/>
      <w:numFmt w:val="bullet"/>
      <w:start w:val="1"/>
    </w:lvl>
  </w:abstractNum>
  <w:abstractNum w:abstractNumId="117">
    <w:nsid w:val="24E99DD7"/>
    <w:multiLevelType w:val="hybridMultilevel"/>
    <w:lvl w:ilvl="0">
      <w:lvlJc w:val="left"/>
      <w:lvlText w:val="%1."/>
      <w:numFmt w:val="decimal"/>
      <w:start w:val="1"/>
    </w:lvl>
  </w:abstractNum>
  <w:abstractNum w:abstractNumId="118">
    <w:nsid w:val="2A31B62D"/>
    <w:multiLevelType w:val="hybridMultilevel"/>
    <w:lvl w:ilvl="0">
      <w:lvlJc w:val="left"/>
      <w:lvlText w:val="%1."/>
      <w:numFmt w:val="decimal"/>
      <w:start w:val="2"/>
    </w:lvl>
  </w:abstractNum>
  <w:abstractNum w:abstractNumId="119">
    <w:nsid w:val="1849C29B"/>
    <w:multiLevelType w:val="hybridMultilevel"/>
    <w:lvl w:ilvl="0">
      <w:lvlJc w:val="left"/>
      <w:lvlText w:val="(%1)"/>
      <w:numFmt w:val="lowerRoman"/>
      <w:start w:val="1"/>
    </w:lvl>
  </w:abstractNum>
  <w:abstractNum w:abstractNumId="120">
    <w:nsid w:val="7DFF9D09"/>
    <w:multiLevelType w:val="hybridMultilevel"/>
    <w:lvl w:ilvl="0">
      <w:lvlJc w:val="left"/>
      <w:lvlText w:val="(%1)"/>
      <w:numFmt w:val="lowerRoman"/>
      <w:start w:val="1"/>
    </w:lvl>
  </w:abstractNum>
  <w:abstractNum w:abstractNumId="121">
    <w:nsid w:val="754342"/>
    <w:multiLevelType w:val="hybridMultilevel"/>
    <w:lvl w:ilvl="0">
      <w:lvlJc w:val="left"/>
      <w:lvlText w:val="(%1)"/>
      <w:numFmt w:val="lowerRoman"/>
      <w:start w:val="2"/>
    </w:lvl>
  </w:abstractNum>
  <w:abstractNum w:abstractNumId="122">
    <w:nsid w:val="69E7F3E5"/>
    <w:multiLevelType w:val="hybridMultilevel"/>
    <w:lvl w:ilvl="0">
      <w:lvlJc w:val="left"/>
      <w:lvlText w:val="(%1)"/>
      <w:numFmt w:val="lowerRoman"/>
      <w:start w:val="1"/>
    </w:lvl>
  </w:abstractNum>
  <w:abstractNum w:abstractNumId="123">
    <w:nsid w:val="2A6DE806"/>
    <w:multiLevelType w:val="hybridMultilevel"/>
    <w:lvl w:ilvl="0">
      <w:lvlJc w:val="left"/>
      <w:lvlText w:val="(%1)"/>
      <w:numFmt w:val="lowerRoman"/>
      <w:start w:val="2"/>
    </w:lvl>
  </w:abstractNum>
  <w:abstractNum w:abstractNumId="124">
    <w:nsid w:val="1816F8C4"/>
    <w:multiLevelType w:val="hybridMultilevel"/>
    <w:lvl w:ilvl="0">
      <w:lvlJc w:val="left"/>
      <w:lvlText w:val="%1."/>
      <w:numFmt w:val="decimal"/>
      <w:start w:val="3"/>
    </w:lvl>
  </w:abstractNum>
  <w:abstractNum w:abstractNumId="125">
    <w:nsid w:val="37DF2233"/>
    <w:multiLevelType w:val="hybridMultilevel"/>
    <w:lvl w:ilvl="0">
      <w:lvlJc w:val="left"/>
      <w:lvlText w:val="%1."/>
      <w:numFmt w:val="decimal"/>
      <w:start w:val="4"/>
    </w:lvl>
  </w:abstractNum>
  <w:abstractNum w:abstractNumId="126">
    <w:nsid w:val="7AB49DAF"/>
    <w:multiLevelType w:val="hybridMultilevel"/>
    <w:lvl w:ilvl="0">
      <w:lvlJc w:val="left"/>
      <w:lvlText w:val="%1."/>
      <w:numFmt w:val="decimal"/>
      <w:start w:val="5"/>
    </w:lvl>
  </w:abstractNum>
  <w:abstractNum w:abstractNumId="127">
    <w:nsid w:val="759F82CD"/>
    <w:multiLevelType w:val="hybridMultilevel"/>
    <w:lvl w:ilvl="0">
      <w:lvlJc w:val="left"/>
      <w:lvlText w:val="%1."/>
      <w:numFmt w:val="decimal"/>
      <w:start w:val="7"/>
    </w:lvl>
  </w:abstractNum>
  <w:abstractNum w:abstractNumId="128">
    <w:nsid w:val="61E74EA3"/>
    <w:multiLevelType w:val="hybridMultilevel"/>
    <w:lvl w:ilvl="0">
      <w:lvlJc w:val="left"/>
      <w:lvlText w:val="(%1)"/>
      <w:numFmt w:val="lowerLetter"/>
      <w:start w:val="1"/>
    </w:lvl>
    <w:lvl w:ilvl="1">
      <w:lvlJc w:val="left"/>
      <w:lvlText w:val="(%2)"/>
      <w:numFmt w:val="lowerRoman"/>
      <w:start w:val="1"/>
    </w:lvl>
  </w:abstractNum>
  <w:abstractNum w:abstractNumId="129">
    <w:nsid w:val="597B4D84"/>
    <w:multiLevelType w:val="hybridMultilevel"/>
    <w:lvl w:ilvl="0">
      <w:lvlJc w:val="left"/>
      <w:lvlText w:val="(%1)"/>
      <w:numFmt w:val="lowerRoman"/>
      <w:start w:val="4"/>
    </w:lvl>
  </w:abstractNum>
  <w:abstractNum w:abstractNumId="130">
    <w:nsid w:val="F819E7F"/>
    <w:multiLevelType w:val="hybridMultilevel"/>
    <w:lvl w:ilvl="0">
      <w:lvlJc w:val="left"/>
      <w:lvlText w:val="%1"/>
      <w:numFmt w:val="upperLetter"/>
      <w:start w:val="1"/>
    </w:lvl>
    <w:lvl w:ilvl="1">
      <w:lvlJc w:val="left"/>
      <w:lvlText w:val="(%2)"/>
      <w:numFmt w:val="lowerLetter"/>
      <w:start w:val="2"/>
    </w:lvl>
  </w:abstractNum>
  <w:abstractNum w:abstractNumId="131">
    <w:nsid w:val="57C7D42D"/>
    <w:multiLevelType w:val="hybridMultilevel"/>
    <w:lvl w:ilvl="0">
      <w:lvlJc w:val="left"/>
      <w:lvlText w:val="(%1)"/>
      <w:numFmt w:val="upperLetter"/>
      <w:start w:val="1"/>
    </w:lvl>
    <w:lvl w:ilvl="1">
      <w:lvlJc w:val="left"/>
      <w:lvlText w:val="(%2)"/>
      <w:numFmt w:val="lowerLetter"/>
      <w:start w:val="5"/>
    </w:lvl>
  </w:abstractNum>
  <w:abstractNum w:abstractNumId="132">
    <w:nsid w:val="312167AD"/>
    <w:multiLevelType w:val="hybridMultilevel"/>
    <w:lvl w:ilvl="0">
      <w:lvlJc w:val="left"/>
      <w:lvlText w:val="%1."/>
      <w:numFmt w:val="decimal"/>
      <w:start w:val="8"/>
    </w:lvl>
  </w:abstractNum>
  <w:abstractNum w:abstractNumId="133">
    <w:nsid w:val="631B64D4"/>
    <w:multiLevelType w:val="hybridMultilevel"/>
    <w:lvl w:ilvl="0">
      <w:lvlJc w:val="left"/>
      <w:lvlText w:val="%1"/>
      <w:numFmt w:val="decimal"/>
      <w:start w:val="1"/>
    </w:lvl>
    <w:lvl w:ilvl="1">
      <w:lvlJc w:val="left"/>
      <w:lvlText w:val="(%2)"/>
      <w:numFmt w:val="lowerLetter"/>
      <w:start w:val="1"/>
    </w:lvl>
  </w:abstractNum>
  <w:abstractNum w:abstractNumId="134">
    <w:nsid w:val="78B5E776"/>
    <w:multiLevelType w:val="hybridMultilevel"/>
    <w:lvl w:ilvl="0">
      <w:lvlJc w:val="left"/>
      <w:lvlText w:val="(%1)"/>
      <w:numFmt w:val="decimal"/>
      <w:start w:val="2"/>
    </w:lvl>
    <w:lvl w:ilvl="1">
      <w:lvlJc w:val="left"/>
      <w:lvlText w:val="%2"/>
      <w:numFmt w:val="lowerLetter"/>
      <w:start w:val="1"/>
    </w:lvl>
  </w:abstractNum>
  <w:abstractNum w:abstractNumId="135">
    <w:nsid w:val="75486E47"/>
    <w:multiLevelType w:val="hybridMultilevel"/>
    <w:lvl w:ilvl="0">
      <w:lvlJc w:val="left"/>
      <w:lvlText w:val="%1"/>
      <w:numFmt w:val="lowerLetter"/>
      <w:start w:val="1"/>
    </w:lvl>
    <w:lvl w:ilvl="1">
      <w:lvlJc w:val="left"/>
      <w:lvlText w:val="(%2)"/>
      <w:numFmt w:val="lowerLetter"/>
      <w:start w:val="3"/>
    </w:lvl>
  </w:abstractNum>
  <w:abstractNum w:abstractNumId="136">
    <w:nsid w:val="6E534CDE"/>
    <w:multiLevelType w:val="hybridMultilevel"/>
    <w:lvl w:ilvl="0">
      <w:lvlJc w:val="left"/>
      <w:lvlText w:val="(%1)"/>
      <w:numFmt w:val="lowerLetter"/>
      <w:start w:val="61"/>
    </w:lvl>
    <w:lvl w:ilvl="1">
      <w:lvlJc w:val="left"/>
      <w:lvlText w:val="%2"/>
      <w:numFmt w:val="lowerLetter"/>
      <w:start w:val="1"/>
    </w:lvl>
  </w:abstractNum>
  <w:abstractNum w:abstractNumId="137">
    <w:nsid w:val="1A0DDE32"/>
    <w:multiLevelType w:val="hybridMultilevel"/>
    <w:lvl w:ilvl="0">
      <w:lvlJc w:val="left"/>
      <w:lvlText w:val="(%1)"/>
      <w:numFmt w:val="lowerLetter"/>
      <w:start w:val="1"/>
    </w:lvl>
    <w:lvl w:ilvl="1">
      <w:lvlJc w:val="left"/>
      <w:lvlText w:val="%2"/>
      <w:numFmt w:val="lowerLetter"/>
      <w:start w:val="1"/>
    </w:lvl>
  </w:abstractNum>
  <w:abstractNum w:abstractNumId="138">
    <w:nsid w:val="65968C1C"/>
    <w:multiLevelType w:val="hybridMultilevel"/>
    <w:lvl w:ilvl="0">
      <w:lvlJc w:val="left"/>
      <w:lvlText w:val="%1"/>
      <w:numFmt w:val="lowerLetter"/>
      <w:start w:val="1"/>
    </w:lvl>
    <w:lvl w:ilvl="1">
      <w:lvlJc w:val="left"/>
      <w:lvlText w:val="(%2)"/>
      <w:numFmt w:val="lowerLetter"/>
      <w:start w:val="4"/>
    </w:lvl>
  </w:abstractNum>
  <w:abstractNum w:abstractNumId="139">
    <w:nsid w:val="46263DEC"/>
    <w:multiLevelType w:val="hybridMultilevel"/>
    <w:lvl w:ilvl="0">
      <w:lvlJc w:val="left"/>
      <w:lvlText w:val="(%1)"/>
      <w:numFmt w:val="lowerLetter"/>
      <w:start w:val="9"/>
    </w:lvl>
    <w:lvl w:ilvl="1">
      <w:lvlJc w:val="left"/>
      <w:lvlText w:val="(%2)"/>
      <w:numFmt w:val="lowerLetter"/>
      <w:start w:val="5"/>
    </w:lvl>
  </w:abstractNum>
  <w:abstractNum w:abstractNumId="140">
    <w:nsid w:val="260D8C4A"/>
    <w:multiLevelType w:val="hybridMultilevel"/>
    <w:lvl w:ilvl="0">
      <w:lvlJc w:val="left"/>
      <w:lvlText w:val="(%1)"/>
      <w:numFmt w:val="lowerLetter"/>
      <w:start w:val="6"/>
    </w:lvl>
  </w:abstractNum>
  <w:abstractNum w:abstractNumId="141">
    <w:nsid w:val="73D4D3C4"/>
    <w:multiLevelType w:val="hybridMultilevel"/>
    <w:lvl w:ilvl="0">
      <w:lvlJc w:val="left"/>
      <w:lvlText w:val="(%1)"/>
      <w:numFmt w:val="lowerRoman"/>
      <w:start w:val="1"/>
    </w:lvl>
    <w:lvl w:ilvl="1">
      <w:lvlJc w:val="left"/>
      <w:lvlText w:val="%2"/>
      <w:numFmt w:val="lowerRoman"/>
      <w:start w:val="1"/>
    </w:lvl>
  </w:abstractNum>
  <w:abstractNum w:abstractNumId="142">
    <w:nsid w:val="746F2E30"/>
    <w:multiLevelType w:val="hybridMultilevel"/>
    <w:lvl w:ilvl="0">
      <w:lvlJc w:val="left"/>
      <w:lvlText w:val="(%1)"/>
      <w:numFmt w:val="lowerRoman"/>
      <w:start w:val="3"/>
    </w:lvl>
    <w:lvl w:ilvl="1">
      <w:lvlJc w:val="left"/>
      <w:lvlText w:val="(%2)"/>
      <w:numFmt w:val="lowerRoman"/>
      <w:start w:val="2"/>
    </w:lvl>
  </w:abstractNum>
  <w:abstractNum w:abstractNumId="143">
    <w:nsid w:val="6FDE8AF6"/>
    <w:multiLevelType w:val="hybridMultilevel"/>
    <w:lvl w:ilvl="0">
      <w:lvlJc w:val="left"/>
      <w:lvlText w:val="%1"/>
      <w:numFmt w:val="decimal"/>
      <w:start w:val="1"/>
    </w:lvl>
    <w:lvl w:ilvl="1">
      <w:lvlJc w:val="left"/>
      <w:lvlText w:val="(%2)"/>
      <w:numFmt w:val="upperLetter"/>
      <w:start w:val="1"/>
    </w:lvl>
  </w:abstractNum>
  <w:abstractNum w:abstractNumId="144">
    <w:nsid w:val="3FC32E20"/>
    <w:multiLevelType w:val="hybridMultilevel"/>
    <w:lvl w:ilvl="0">
      <w:lvlJc w:val="left"/>
      <w:lvlText w:val="(%1)"/>
      <w:numFmt w:val="decimal"/>
      <w:start w:val="30"/>
    </w:lvl>
    <w:lvl w:ilvl="1">
      <w:lvlJc w:val="left"/>
      <w:lvlText w:val="(%2)"/>
      <w:numFmt w:val="upperLetter"/>
      <w:start w:val="3"/>
    </w:lvl>
  </w:abstractNum>
  <w:abstractNum w:abstractNumId="145">
    <w:nsid w:val="49C0E823"/>
    <w:multiLevelType w:val="hybridMultilevel"/>
    <w:lvl w:ilvl="0">
      <w:lvlJc w:val="left"/>
      <w:lvlText w:val="(%1)"/>
      <w:numFmt w:val="lowerRoman"/>
      <w:start w:val="3"/>
    </w:lvl>
  </w:abstractNum>
  <w:abstractNum w:abstractNumId="146">
    <w:nsid w:val="14D53685"/>
    <w:multiLevelType w:val="hybridMultilevel"/>
    <w:lvl w:ilvl="0">
      <w:lvlJc w:val="left"/>
      <w:lvlText w:val="(%1)"/>
      <w:numFmt w:val="lowerLetter"/>
      <w:start w:val="7"/>
    </w:lvl>
  </w:abstractNum>
  <w:abstractNum w:abstractNumId="147">
    <w:nsid w:val="230F856C"/>
    <w:multiLevelType w:val="hybridMultilevel"/>
    <w:lvl w:ilvl="0">
      <w:lvlJc w:val="left"/>
      <w:lvlText w:val="%1"/>
      <w:numFmt w:val="lowerLetter"/>
      <w:start w:val="1"/>
    </w:lvl>
    <w:lvl w:ilvl="1">
      <w:lvlJc w:val="left"/>
      <w:lvlText w:val="(%2)"/>
      <w:numFmt w:val="lowerRoman"/>
      <w:start w:val="1"/>
    </w:lvl>
  </w:abstractNum>
  <w:abstractNum w:abstractNumId="148">
    <w:nsid w:val="6EAA85FB"/>
    <w:multiLevelType w:val="hybridMultilevel"/>
    <w:lvl w:ilvl="0">
      <w:lvlJc w:val="left"/>
      <w:lvlText w:val="(%1)"/>
      <w:numFmt w:val="lowerLetter"/>
      <w:start w:val="8"/>
    </w:lvl>
    <w:lvl w:ilvl="1">
      <w:lvlJc w:val="left"/>
      <w:lvlText w:val="%2"/>
      <w:numFmt w:val="lowerRoman"/>
      <w:start w:val="1"/>
    </w:lvl>
  </w:abstractNum>
  <w:abstractNum w:abstractNumId="149">
    <w:nsid w:val="3F06ECB2"/>
    <w:multiLevelType w:val="hybridMultilevel"/>
    <w:lvl w:ilvl="0">
      <w:lvlJc w:val="left"/>
      <w:lvlText w:val="(%1)"/>
      <w:numFmt w:val="lowerLetter"/>
      <w:start w:val="12"/>
    </w:lvl>
    <w:lvl w:ilvl="1">
      <w:lvlJc w:val="left"/>
      <w:lvlText w:val="(%2)"/>
      <w:numFmt w:val="lowerLetter"/>
      <w:start w:val="9"/>
    </w:lvl>
  </w:abstractNum>
  <w:abstractNum w:abstractNumId="150">
    <w:nsid w:val="3B594807"/>
    <w:multiLevelType w:val="hybridMultilevel"/>
    <w:lvl w:ilvl="0">
      <w:lvlJc w:val="left"/>
      <w:lvlText w:val="%1"/>
      <w:numFmt w:val="lowerRoman"/>
      <w:start w:val="1"/>
    </w:lvl>
    <w:lvl w:ilvl="1">
      <w:lvlJc w:val="left"/>
      <w:lvlText w:val="(%2)"/>
      <w:numFmt w:val="lowerRoman"/>
      <w:start w:val="2"/>
    </w:lvl>
  </w:abstractNum>
  <w:abstractNum w:abstractNumId="151">
    <w:nsid w:val="6CAA2304"/>
    <w:multiLevelType w:val="hybridMultilevel"/>
    <w:lvl w:ilvl="0">
      <w:lvlJc w:val="left"/>
      <w:lvlText w:val="(%1)"/>
      <w:numFmt w:val="lowerRoman"/>
      <w:start w:val="2"/>
    </w:lvl>
    <w:lvl w:ilvl="1">
      <w:lvlJc w:val="left"/>
      <w:lvlText w:val="(%2)"/>
      <w:numFmt w:val="lowerRoman"/>
      <w:start w:val="3"/>
    </w:lvl>
  </w:abstractNum>
  <w:abstractNum w:abstractNumId="152">
    <w:nsid w:val="3F7C2FF4"/>
    <w:multiLevelType w:val="hybridMultilevel"/>
    <w:lvl w:ilvl="0">
      <w:lvlJc w:val="left"/>
      <w:lvlText w:val="(%1)"/>
      <w:numFmt w:val="lowerLetter"/>
      <w:start w:val="14"/>
    </w:lvl>
    <w:lvl w:ilvl="1">
      <w:lvlJc w:val="left"/>
      <w:lvlText w:val="(%2)"/>
      <w:numFmt w:val="lowerLetter"/>
      <w:start w:val="9"/>
    </w:lvl>
  </w:abstractNum>
  <w:abstractNum w:abstractNumId="153">
    <w:nsid w:val="25413BEC"/>
    <w:multiLevelType w:val="hybridMultilevel"/>
    <w:lvl w:ilvl="0">
      <w:lvlJc w:val="left"/>
      <w:lvlText w:val="(%1)"/>
      <w:numFmt w:val="lowerLetter"/>
      <w:start w:val="15"/>
    </w:lvl>
  </w:abstractNum>
  <w:abstractNum w:abstractNumId="154">
    <w:nsid w:val="17180B0B"/>
    <w:multiLevelType w:val="hybridMultilevel"/>
    <w:lvl w:ilvl="0">
      <w:lvlJc w:val="left"/>
      <w:lvlText w:val="(%1)"/>
      <w:numFmt w:val="lowerLetter"/>
      <w:start w:val="20"/>
    </w:lvl>
  </w:abstractNum>
  <w:abstractNum w:abstractNumId="155">
    <w:nsid w:val="579328B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56">
    <w:nsid w:val="5D205E20"/>
    <w:multiLevelType w:val="hybridMultilevel"/>
    <w:lvl w:ilvl="0">
      <w:lvlJc w:val="left"/>
      <w:lvlText w:val="%1"/>
      <w:numFmt w:val="lowerLetter"/>
      <w:start w:val="1"/>
    </w:lvl>
    <w:lvl w:ilvl="1">
      <w:lvlJc w:val="left"/>
      <w:lvlText w:val="(%2)"/>
      <w:numFmt w:val="lowerLetter"/>
      <w:start w:val="21"/>
    </w:lvl>
    <w:lvl w:ilvl="2">
      <w:lvlJc w:val="left"/>
      <w:lvlText w:val="%3"/>
      <w:numFmt w:val="lowerLetter"/>
      <w:start w:val="1"/>
    </w:lvl>
  </w:abstractNum>
  <w:abstractNum w:abstractNumId="157">
    <w:nsid w:val="11CCA8BA"/>
    <w:multiLevelType w:val="hybridMultilevel"/>
    <w:lvl w:ilvl="0">
      <w:lvlJc w:val="left"/>
      <w:lvlText w:val="(%1)"/>
      <w:numFmt w:val="lowerLetter"/>
      <w:start w:val="35"/>
    </w:lvl>
    <w:lvl w:ilvl="1">
      <w:lvlJc w:val="left"/>
      <w:lvlText w:val="(%2)"/>
      <w:numFmt w:val="lowerLetter"/>
      <w:start w:val="22"/>
    </w:lvl>
    <w:lvl w:ilvl="2">
      <w:lvlJc w:val="left"/>
      <w:lvlText w:val="%3"/>
      <w:numFmt w:val="lowerLetter"/>
      <w:start w:val="1"/>
    </w:lvl>
  </w:abstractNum>
  <w:abstractNum w:abstractNumId="158">
    <w:nsid w:val="4D32AB86"/>
    <w:multiLevelType w:val="hybridMultilevel"/>
    <w:lvl w:ilvl="0">
      <w:lvlJc w:val="left"/>
      <w:lvlText w:val="(%1)"/>
      <w:numFmt w:val="lowerLetter"/>
      <w:start w:val="25"/>
    </w:lvl>
  </w:abstractNum>
  <w:abstractNum w:abstractNumId="159">
    <w:nsid w:val="3F07ACC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2026-05-13T05:13:18Z</dcterms:created>
  <dcterms:modified xsi:type="dcterms:W3CDTF">2026-05-13T05:13:18Z</dcterms:modified>
</cp:coreProperties>
</file>