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33546d425.htm"/>
      <w:bookmarkStart w:id="1" w:name="ksd133546d425"/>
      <w:bookmarkEnd w:id="0"/>
      <w:bookmarkEnd w:id="1"/>
      <w:r>
        <w:rPr>
          <w:rFonts w:ascii="Times New Roman" w:hAnsi="Times New Roman"/>
          <w:sz w:val="20"/>
        </w:rPr>
        <w:t xml:space="preserve">Filed by Tempus AI, Inc.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as amended, and deemed filed pursuant to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as amended </w:t>
      </w:r>
    </w:p>
    <w:p>
      <w:pPr>
        <w:pStyle w:val="TextBody"/>
        <w:bidi w:val="0"/>
        <w:spacing w:before="240" w:after="0"/>
        <w:jc w:val="right"/>
        <w:rPr>
          <w:rFonts w:ascii="Times New Roman" w:hAnsi="Times New Roman"/>
          <w:sz w:val="20"/>
        </w:rPr>
      </w:pPr>
      <w:r>
        <w:rPr>
          <w:rFonts w:ascii="Times New Roman" w:hAnsi="Times New Roman"/>
          <w:sz w:val="20"/>
        </w:rPr>
        <w:t xml:space="preserve">Subject Company: Personalis,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001-38943 </w:t>
      </w:r>
    </w:p>
    <w:p>
      <w:pPr>
        <w:pStyle w:val="TextBody"/>
        <w:bidi w:val="0"/>
        <w:spacing w:before="240" w:after="0"/>
        <w:jc w:val="left"/>
        <w:rPr>
          <w:rFonts w:ascii="Times New Roman" w:hAnsi="Times New Roman"/>
          <w:b/>
          <w:sz w:val="20"/>
        </w:rPr>
      </w:pPr>
      <w:r>
        <w:rPr>
          <w:rFonts w:ascii="Times New Roman" w:hAnsi="Times New Roman"/>
          <w:b/>
          <w:sz w:val="20"/>
        </w:rPr>
        <w:t xml:space="preserve">On July 20, 2026, Tempus AI, Inc. (“Tempus”) posted the following message on LinkedIn in connection with its announcement of an agreement to acquire Personalis, Inc. (“Personalis”). </w:t>
      </w:r>
    </w:p>
    <w:p>
      <w:pPr>
        <w:pStyle w:val="TextBody"/>
        <w:bidi w:val="0"/>
        <w:spacing w:before="120" w:after="0"/>
        <w:jc w:val="left"/>
        <w:rPr>
          <w:rFonts w:ascii="Times New Roman" w:hAnsi="Times New Roman"/>
          <w:b/>
          <w:sz w:val="20"/>
        </w:rPr>
      </w:pPr>
      <w:r>
        <w:rPr>
          <w:rFonts w:ascii="Times New Roman" w:hAnsi="Times New Roman"/>
          <w:b/>
          <w:sz w:val="20"/>
        </w:rPr>
        <w:t xml:space="preserve">Tempus – LinkedIn Announcement Post </w:t>
      </w:r>
    </w:p>
    <w:p>
      <w:pPr>
        <w:pStyle w:val="TextBody"/>
        <w:bidi w:val="0"/>
        <w:spacing w:before="0" w:after="0"/>
        <w:jc w:val="left"/>
        <w:rPr/>
      </w:pPr>
      <w:r>
        <w:rPr/>
        <w:t> </w:t>
      </w:r>
    </w:p>
    <w:p>
      <w:pPr>
        <w:pStyle w:val="TextBody"/>
        <w:bidi w:val="0"/>
        <w:spacing w:before="0" w:after="0"/>
        <w:jc w:val="left"/>
        <w:rPr/>
      </w:pPr>
      <w:r>
        <w:rPr/>
        <w:drawing>
          <wp:inline distT="0" distB="0" distL="0" distR="0">
            <wp:extent cx="3190875" cy="4914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90875" cy="49149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On July 20, 2026, Eric Lefkofsky, Chief Executive Officer of Tempus, posted the following message on LinkedIn in connection with the announcement of Tempus’ agreement to acquire Personalis. </w:t>
      </w:r>
    </w:p>
    <w:p>
      <w:pPr>
        <w:pStyle w:val="TextBody"/>
        <w:bidi w:val="0"/>
        <w:spacing w:before="120" w:after="0"/>
        <w:jc w:val="left"/>
        <w:rPr>
          <w:rFonts w:ascii="Times New Roman" w:hAnsi="Times New Roman"/>
          <w:b/>
          <w:sz w:val="20"/>
        </w:rPr>
      </w:pPr>
      <w:r>
        <w:rPr>
          <w:rFonts w:ascii="Times New Roman" w:hAnsi="Times New Roman"/>
          <w:b/>
          <w:sz w:val="20"/>
        </w:rPr>
        <w:t xml:space="preserve">Tempus – CEO LinkedIn Announcement Post </w:t>
      </w:r>
    </w:p>
    <w:p>
      <w:pPr>
        <w:pStyle w:val="TextBody"/>
        <w:bidi w:val="0"/>
        <w:spacing w:before="0" w:after="0"/>
        <w:jc w:val="left"/>
        <w:rPr/>
      </w:pPr>
      <w:r>
        <w:rPr/>
        <w:t> </w:t>
      </w:r>
    </w:p>
    <w:p>
      <w:pPr>
        <w:pStyle w:val="TextBody"/>
        <w:bidi w:val="0"/>
        <w:spacing w:before="0" w:after="0"/>
        <w:jc w:val="left"/>
        <w:rPr/>
      </w:pPr>
      <w:r>
        <w:rPr/>
        <w:drawing>
          <wp:inline distT="0" distB="0" distL="0" distR="0">
            <wp:extent cx="3733800" cy="6267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733800" cy="62674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federal securities laws. Forward-looking statements may be identified by words such as “anticipates,” “believes,” “cause,” “continue,” “could,” “depend,” “develop,” “estimates,” “expects,” “forecasts,” “goal,” “guidance,” “have,” “impact,” “implement,” “increase,” “intends,” “lead,” “maintain,” “may,” “might,” “plans,” “potential,” “possible,” “projected,” “reduce,” “remain,” “result,” “scheduled,” “seek,” “should,” “will,” “would” and other similar words or expressions. The absence of such words or expressions does not necessarily mean the statements are not forward-looking. Forward-looking statements are not statements of historical fact and reflect Tempus’ and Personalis’ current views about future events. These forward-looking statements include, but are not limited to, statements regarding the proposed transaction between Tempus and Personalis. Although we believe our forward-looking statements are reasonable, statements made regarding future results are not guarantees of future performance and are subject to numerous assumptions, uncertainties and risks that are difficult to predict. Actual outcomes and results may be materially different from the results stated or implied in such forward-looking statements included in this communication. Actual outcomes and results may differ materially from those included in the forward-looking statements in this communication due to a number of factors, including, but not limited to: the occurrence of any event, change or other circumstances that could give rise to the termination of the merger agreement, the possibility that Personalis stockholders may not adopt the merger agreement, the risk that Tempus or Personalis may be unable to obtain governmental and regulatory approvals and clearances required for the proposed transaction, or required governmental and regulatory approvals and clearances may delay the merger or result in the imposition of conditions that could cause the parties to abandon the merger,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Tempus’ common stock or Personalis’ common stock, the risk that prior to the closing the market price of Tempus’ Class A common stock falls below $46.00 giving rise to the right for Personalis to terminate the Merger Agreement, the risk of any unexpected costs or expenses resulting from the proposed transaction, the risk of any litigation relating to the proposed transaction, the risk that the proposed transaction and its announcement could have an adverse effect on the ability of Tempus and/or Personalis to retain and hire key personnel, on the ability of Personalis to attract third-party customers, or on Personalis’ operating results and businesses generally, the risk that problems may arise in successfully integrating the businesses of the companies,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the risk that third-party payers, including commercial payers and government healthcare programs, may not provide adequate coverage of, or reimbursement for, the combined company’s tests and data offerings, the effect of future regulatory or legislative actions on the companies or the industry in which they operate, including with respect to healthcare regulation and data privacy and security, the risk that the credit ratings of the combined business may be different from what the companies expect, the combined company’s ability to identify and mitigate the operational, legal, reputational and competitive risks associated with its use of artificial intelligence in its products and services, adverse economic conditions and other factors detailed in Tempus’ and Personalis’ Annual Reports on Form 10-K for the year ended December 31, 2025 and subsequent Quarterly Reports on Form 10-Q and Current Reports on Form 8-K.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such factors are difficult to predict and are beyond Tempus’ and Personalis’ control. Additional risks or uncertainties that are not currently known to Tempus or Personalis, that Tempus or Personalis currently deem to be immaterial, or that could apply to any company could also cause actual outcomes and results to differ materially from those included in the forward-looking statements in this communication. Tempus and Personalis undertake no obligation to publicly correct or update the forward-looking statements in this communication, in other documents or on their respective websites to reflect new information, future events or otherwise, except as required by applicable law. All such statements are expressly qualified by this cautionary statement. Readers are cautioned not to place undue reliance on these forward-looking statements that speak only as of the date hereof.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Tempus intends to file with the Securities and Exchange Commission (“SEC”) a registration statement on Form S-4 that will include a proxy statement of Personalis and that will also constitute a prospectus of Tempus. Tempus, Personalis and certain of their respective affiliates intend to jointly file a transaction statement on Schedule 13E-3 (the “Schedule 13E-3”) with the Securities and Exchange Commission (“SEC”). Personalis or Tempus may also file other relevant documents with the SEC regarding the proposed transaction. This document is not a substitute for the proxy statement/prospectus, registration statement, the Schedule 13E-3 or any other document that Tempus or Personalis may file with the SEC. The definitive proxy statement/prospectus (if and when available) will be mailed to stockholders of Personalis. INVESTORS AND SECURITY HOLDERS ARE URGED TO READ THE REGISTRATION STATEMENT, THE PROXY STATEMENT/PROSPECTUS, THE SCHEDULE 13E-3 AND ANY OTHER RELEVANT DOCUMENTS FILED OR THAT MAY BE FILED WITH THE SEC IN CONNECTION WITH THE PROPOSED TRANSACTION, AS WELL AS ANY AMENDMENTS OR SUPPLEMENTS TO THOSE DOCUMENTS, CAREFULLY AND IN THEIR ENTIRETY IF AND WHEN THEY BECOME AVAILABLE BECAUSE THEY CONTAIN OR WILL CONTAIN IMPORTANT INFORMATION ABOUT TEMPUS, PERSONALIS AND THE PROPOSED TRANSACTION.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Investors and security holders will be able to obtain free copies of the registration statement and proxy statement/prospectus (if and when available) and other documents containing important information about Tempus, Personalis and the proposed transaction, once such documents are filed with the SEC through the website maintained by the SEC at http://www.sec.gov. Copies of the registration statement and proxy statement/prospectus (if and when available) and other documents filed with the SEC by Tempus may be obtained free of charge on Tempus’ website at https://investors.Tempus.com/financials/sec-filings or, alternatively, by directing a request by mail to Tempus’ Corporate Secretary at Tempus AI, Inc., 600 West Chicago Avenue, Suite 510, Chicago, Illinois 60654. Copies of the proxy statement/prospectus (if and when available) and other documents filed with the SEC by Personalis may be obtained free of charge on Personalis’ website at https://investors.Personalis.com/financial-information/sec-filings or, alternatively, by directing a request by mail to Personalis’ Corporate Secretary at Personalis, Inc., 6600 Dumbarton Circle, Fremont, California 94555.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Tempus, Personalis and certain of their respective directors and executive officers may be deemed to be participants in the solicitation of proxies in respect of the proposed transaction. Information about the directors and executive officers of Tempus, including a description of their direct or indirect interests, by security holdings or otherwise, is set forth in Tempus’ annual report on Form 10-K for the year ended December 31, 2025, including under the heading “Directors, Executive Officers and Corporate Governance,” and proxy statement for Tempus’ 2026 Annual Meeting of Stockholders, which was filed with the SEC on April 7, 2026, including under the headings “Executive Officers,” “The Board of Directors and Certain Governance Matters,” “Non-Employee Director Compensation,” “Executive Compensation” and “Security Ownership of Certain Beneficial Owners and Management.” To the extent holdings of Tempus Class A Common Stock by the directors and executive officers of Tempus have changed from the amounts reflected therein, such changes have been or will be reflected on Initial Statements of Beneficial Ownership of Securities on Form 3 (“Form 3”), Statements of Changes in Beneficial Ownership on Form 4 (“Form 4”) or Annual Statements of Changes in Beneficial Ownership of Securities on Form 5 (“Form 5”), subsequently filed by Tempus’s directors and executive officers with the SEC, including (i) the Form 4s filed by Mr. Lefkofsky on April 30, 2026, May 21, 2026, May 29, 2026 and July 1, 2026, (ii) the Form 4s filed by Mr. Bartolucci on May 6, 2026 and May 21, 2026, (iii) the Form 4s filed by Mr. Polovin on May 6, 2026 and May 21, 2026, (iv) the Form 4s filed by Mr. Fukushima on May 6, 2026, May 15, 2026, May 21, 2026, July 8, 2026 and July 10, 2026, (v) the Form 4s filed by Mr. Rogers on May 6, 2026, May 21, 2026 and June 29, 2026, (vi) the Form 4s filed by Mr. Schoenherr on May 6, 2026 and May 21, 2026, (vii) the Form 4 filed by Mr. Barris on May 26, 2026, (viii) the Form 4 filed by Mr. Belcher on May 26, 2026, (ix) the Form 4 filed by Mr. Gottlieb on May 26, 2026, (x) the Form 4s filed by Mr. Epstein on May 26, 2026 and June 3, 2026, (xi) the Form 4 filed by Mr. Leonsis on May 26, 2026, (xii) the Form 4s filed by Ms. Doudna on May 26, 2026 and June 29, 2026, (xiii) the Form 4 filed by Ms. West on May 26, 2026, and (xiv) the Form 4 filed by Mr. Frederick on May 26, 2026. Information about the directors and executive officers of Personalis, including a description of their direct or indirect interests, by security holdings or otherwise, is set forth in Personalis’ annual report on Form 10-K for the year ended December 31, 2025, including under the heading “Directors, Executive Officers and Corporate Governance,” and proxy statement for Personalis’ 2026 Annual Meeting of Stockholders, which was filed with the SEC on April 2, 2026, including under the headings “Corporate Governance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Board of Directors Matters,” “Director Compensation,” “Executive Compensation” and “Security Ownership of Certain Beneficial Owners and Management.” To the extent holdings of Personalis Common Stock by the directors and executive officers of Personalis have changed from the amounts reflected therein, such changes have been or will be reflected on Forms 3, Forms 4 or Forms 5, subsequently filed by Personalis’ directors and executive officers with the SEC. Other information regarding the participants in the proxy solicitations and a description of their direct and indirect interests, by security holdings or otherwise, will be contained in the registration statement and proxy statement/prospectus and other relevant materials to be filed with the SEC regarding the proposed transaction when such materials become available. Investors and security holders should read the registration statement and proxy statement/prospectus carefully when it becomes available before making any voting or investment decisions. You may obtain free copies of any of the documents referenced herein from Tempus or Personalis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2033</Words>
  <Characters>11364</Characters>
  <CharactersWithSpaces>13403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