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776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77621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11/24/2025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265"/>
          </w:cols>
          <w:pgMar w:left="460" w:top="219" w:right="43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8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6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right"/>
              <w:ind w:right="109"/>
              <w:spacing w:after="0"/>
              <w:rPr>
                <w:sz w:val="20"/>
                <w:szCs w:val="20"/>
                <w:color w:val="auto"/>
              </w:rPr>
            </w:pPr>
            <w:r>
              <w:rPr>
                <w:rFonts w:ascii="Times New Roman" w:cs="Times New Roman" w:eastAsia="Times New Roman" w:hAnsi="Times New Roman"/>
                <w:sz w:val="17"/>
                <w:szCs w:val="17"/>
                <w:color w:val="0000FF"/>
              </w:rPr>
              <w:t>11/24/2025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7"/>
                <w:szCs w:val="17"/>
                <w:color w:val="0000FF"/>
              </w:rPr>
              <w:t>33,250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74.1</w:t>
            </w:r>
            <w:r>
              <w:rPr>
                <w:rFonts w:ascii="Times New Roman" w:cs="Times New Roman" w:eastAsia="Times New Roman" w:hAnsi="Times New Roman"/>
                <w:sz w:val="22"/>
                <w:szCs w:val="22"/>
                <w:color w:val="008000"/>
                <w:vertAlign w:val="superscript"/>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9,008,033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right"/>
              <w:ind w:right="109"/>
              <w:spacing w:after="0"/>
              <w:rPr>
                <w:sz w:val="20"/>
                <w:szCs w:val="20"/>
                <w:color w:val="auto"/>
              </w:rPr>
            </w:pPr>
            <w:r>
              <w:rPr>
                <w:rFonts w:ascii="Times New Roman" w:cs="Times New Roman" w:eastAsia="Times New Roman" w:hAnsi="Times New Roman"/>
                <w:sz w:val="17"/>
                <w:szCs w:val="17"/>
                <w:color w:val="0000FF"/>
              </w:rPr>
              <w:t>11/24/2025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0000FF"/>
              </w:rPr>
              <w:t>133,000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74.1</w:t>
            </w:r>
            <w:r>
              <w:rPr>
                <w:rFonts w:ascii="Times New Roman" w:cs="Times New Roman" w:eastAsia="Times New Roman" w:hAnsi="Times New Roman"/>
                <w:sz w:val="22"/>
                <w:szCs w:val="22"/>
                <w:color w:val="008000"/>
                <w:vertAlign w:val="superscript"/>
              </w:rPr>
              <w:t>(2)</w:t>
            </w:r>
          </w:p>
        </w:tc>
        <w:tc>
          <w:tcPr>
            <w:tcW w:w="106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16,571,469</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2,003,213</w:t>
            </w:r>
          </w:p>
        </w:tc>
        <w:tc>
          <w:tcPr>
            <w:tcW w:w="96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vMerge w:val="restart"/>
          </w:tcPr>
          <w:p>
            <w:pPr>
              <w:jc w:val="center"/>
              <w:ind w:left="9"/>
              <w:spacing w:after="0"/>
              <w:rPr>
                <w:sz w:val="20"/>
                <w:szCs w:val="20"/>
                <w:color w:val="auto"/>
              </w:rPr>
            </w:pPr>
            <w:r>
              <w:rPr>
                <w:rFonts w:ascii="Times New Roman" w:cs="Times New Roman" w:eastAsia="Times New Roman" w:hAnsi="Times New Roman"/>
                <w:sz w:val="17"/>
                <w:szCs w:val="17"/>
                <w:color w:val="0000FF"/>
              </w:rPr>
              <w:t>406</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346 Long</w:t>
            </w:r>
          </w:p>
        </w:tc>
        <w:tc>
          <w:tcPr>
            <w:tcW w:w="0" w:type="dxa"/>
            <w:vAlign w:val="bottom"/>
          </w:tcPr>
          <w:p>
            <w:pPr>
              <w:spacing w:after="0"/>
              <w:rPr>
                <w:sz w:val="1"/>
                <w:szCs w:val="1"/>
                <w:color w:val="auto"/>
              </w:rPr>
            </w:pPr>
          </w:p>
        </w:tc>
      </w:tr>
      <w:tr>
        <w:trPr>
          <w:trHeight w:val="120"/>
        </w:trPr>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36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10,000,000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 2025</w:t>
            </w:r>
          </w:p>
        </w:tc>
        <w:tc>
          <w:tcPr>
            <w:tcW w:w="0" w:type="dxa"/>
            <w:vAlign w:val="bottom"/>
          </w:tcPr>
          <w:p>
            <w:pPr>
              <w:spacing w:after="0"/>
              <w:rPr>
                <w:sz w:val="1"/>
                <w:szCs w:val="1"/>
                <w:color w:val="auto"/>
              </w:rPr>
            </w:pPr>
          </w:p>
        </w:tc>
      </w:tr>
      <w:tr>
        <w:trPr>
          <w:trHeight w:val="288"/>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Black</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206</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832,131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120"/>
        </w:trPr>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07"/>
        </w:trPr>
        <w:tc>
          <w:tcPr>
            <w:tcW w:w="2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8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March 4, 2025.</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$74.00 to $74.49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and Gray Media, LLC and (iii) a trustee of Lefkofsky Family Foundation. The Reporting Person's spouse is the trustee of the Lefkofsky Family 2025 GRAT.</w:t>
      </w:r>
    </w:p>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/s/ Andrew Polovin, Attorney- 11/25/2025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2025-11-25T15:53:32Z</dcterms:created>
  <dcterms:modified xsi:type="dcterms:W3CDTF">2025-11-25T15:53:32Z</dcterms:modified>
</cp:coreProperties>
</file>