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758"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758"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758"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jc w:val="center"/>
              <w:ind w:left="4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30,285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79.65</w:t>
            </w:r>
            <w:r>
              <w:rPr>
                <w:rFonts w:ascii="Times New Roman" w:cs="Times New Roman" w:eastAsia="Times New Roman" w:hAnsi="Times New Roman"/>
                <w:sz w:val="22"/>
                <w:szCs w:val="22"/>
                <w:color w:val="008000"/>
                <w:w w:val="92"/>
                <w:vertAlign w:val="superscript"/>
              </w:rPr>
              <w:t>(2)</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5,019,175</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19,409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80.63</w:t>
            </w:r>
            <w:r>
              <w:rPr>
                <w:rFonts w:ascii="Times New Roman" w:cs="Times New Roman" w:eastAsia="Times New Roman" w:hAnsi="Times New Roman"/>
                <w:sz w:val="22"/>
                <w:szCs w:val="22"/>
                <w:color w:val="008000"/>
                <w:w w:val="92"/>
                <w:vertAlign w:val="superscript"/>
              </w:rPr>
              <w:t>(3)</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4,999,766</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16,437</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81.59</w:t>
            </w:r>
            <w:r>
              <w:rPr>
                <w:rFonts w:ascii="Times New Roman" w:cs="Times New Roman" w:eastAsia="Times New Roman" w:hAnsi="Times New Roman"/>
                <w:sz w:val="22"/>
                <w:szCs w:val="22"/>
                <w:color w:val="008000"/>
                <w:w w:val="92"/>
                <w:vertAlign w:val="superscript"/>
              </w:rPr>
              <w:t>(4)</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4,983,329</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18,509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82.47</w:t>
            </w:r>
            <w:r>
              <w:rPr>
                <w:rFonts w:ascii="Times New Roman" w:cs="Times New Roman" w:eastAsia="Times New Roman" w:hAnsi="Times New Roman"/>
                <w:sz w:val="22"/>
                <w:szCs w:val="22"/>
                <w:color w:val="008000"/>
                <w:w w:val="92"/>
                <w:vertAlign w:val="superscript"/>
              </w:rPr>
              <w:t>(5)</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4,964,820</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2"/>
              <w:spacing w:after="0"/>
              <w:rPr>
                <w:sz w:val="20"/>
                <w:szCs w:val="20"/>
                <w:color w:val="auto"/>
              </w:rPr>
            </w:pPr>
            <w:r>
              <w:rPr>
                <w:rFonts w:ascii="Times New Roman" w:cs="Times New Roman" w:eastAsia="Times New Roman" w:hAnsi="Times New Roman"/>
                <w:sz w:val="17"/>
                <w:szCs w:val="17"/>
                <w:color w:val="0000FF"/>
              </w:rPr>
              <w:t>02/19/2025</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6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187</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4"/>
        </w:trPr>
        <w:tc>
          <w:tcPr>
            <w:tcW w:w="23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0" w:type="dxa"/>
            <w:vAlign w:val="bottom"/>
          </w:tcPr>
          <w:p>
            <w:pPr>
              <w:spacing w:after="0"/>
              <w:rPr>
                <w:sz w:val="1"/>
                <w:szCs w:val="1"/>
                <w:color w:val="auto"/>
              </w:rPr>
            </w:pPr>
          </w:p>
        </w:tc>
      </w:tr>
      <w:tr>
        <w:trPr>
          <w:trHeight w:val="164"/>
        </w:trPr>
        <w:tc>
          <w:tcPr>
            <w:tcW w:w="232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tcPr>
          <w:p>
            <w:pPr>
              <w:jc w:val="center"/>
              <w:ind w:left="422"/>
              <w:spacing w:after="0"/>
              <w:rPr>
                <w:sz w:val="20"/>
                <w:szCs w:val="20"/>
                <w:color w:val="auto"/>
              </w:rPr>
            </w:pPr>
            <w:r>
              <w:rPr>
                <w:rFonts w:ascii="Times New Roman" w:cs="Times New Roman" w:eastAsia="Times New Roman" w:hAnsi="Times New Roman"/>
                <w:sz w:val="17"/>
                <w:szCs w:val="17"/>
                <w:color w:val="0000FF"/>
              </w:rPr>
              <w:t>02/20/2025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69,231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74.09</w:t>
            </w:r>
            <w:r>
              <w:rPr>
                <w:rFonts w:ascii="Times New Roman" w:cs="Times New Roman" w:eastAsia="Times New Roman" w:hAnsi="Times New Roman"/>
                <w:sz w:val="22"/>
                <w:szCs w:val="22"/>
                <w:color w:val="008000"/>
                <w:w w:val="92"/>
                <w:vertAlign w:val="superscript"/>
              </w:rPr>
              <w:t>(8)</w:t>
            </w: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4,895,589</w:t>
            </w:r>
          </w:p>
        </w:tc>
        <w:tc>
          <w:tcPr>
            <w:tcW w:w="96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9,557,283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26,589,477</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4,952,973</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206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248,631</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(7)</w:t>
      </w:r>
    </w:p>
    <w:p>
      <w:pPr>
        <w:sectPr>
          <w:pgSz w:w="11900" w:h="16838" w:orient="portrait"/>
          <w:cols w:equalWidth="0" w:num="1">
            <w:col w:w="10960"/>
          </w:cols>
          <w:pgMar w:left="460" w:top="219" w:right="479" w:bottom="75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11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110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color w:val="0000FF"/>
              </w:rPr>
              <w:t>145,966</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 - Series</w:t>
            </w:r>
          </w:p>
        </w:tc>
        <w:tc>
          <w:tcPr>
            <w:tcW w:w="0" w:type="dxa"/>
            <w:vAlign w:val="bottom"/>
          </w:tcPr>
          <w:p>
            <w:pPr>
              <w:spacing w:after="0"/>
              <w:rPr>
                <w:sz w:val="1"/>
                <w:szCs w:val="1"/>
                <w:color w:val="auto"/>
              </w:rPr>
            </w:pPr>
          </w:p>
        </w:tc>
      </w:tr>
      <w:tr>
        <w:trPr>
          <w:trHeight w:val="288"/>
        </w:trPr>
        <w:tc>
          <w:tcPr>
            <w:tcW w:w="23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(7)</w:t>
            </w: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1,397,589</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Lightbank</w:t>
            </w:r>
          </w:p>
        </w:tc>
        <w:tc>
          <w:tcPr>
            <w:tcW w:w="0" w:type="dxa"/>
            <w:vAlign w:val="bottom"/>
          </w:tcPr>
          <w:p>
            <w:pPr>
              <w:spacing w:after="0"/>
              <w:rPr>
                <w:sz w:val="1"/>
                <w:szCs w:val="1"/>
                <w:color w:val="auto"/>
              </w:rPr>
            </w:pPr>
          </w:p>
        </w:tc>
      </w:tr>
      <w:tr>
        <w:trPr>
          <w:trHeight w:val="120"/>
        </w:trPr>
        <w:tc>
          <w:tcPr>
            <w:tcW w:w="23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Global</w:t>
            </w:r>
          </w:p>
        </w:tc>
        <w:tc>
          <w:tcPr>
            <w:tcW w:w="0" w:type="dxa"/>
            <w:vAlign w:val="bottom"/>
          </w:tcPr>
          <w:p>
            <w:pPr>
              <w:spacing w:after="0"/>
              <w:rPr>
                <w:sz w:val="1"/>
                <w:szCs w:val="1"/>
                <w:color w:val="auto"/>
              </w:rPr>
            </w:pPr>
          </w:p>
        </w:tc>
      </w:tr>
      <w:tr>
        <w:trPr>
          <w:trHeight w:val="107"/>
        </w:trPr>
        <w:tc>
          <w:tcPr>
            <w:tcW w:w="23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$79.12 to $80.09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(8).</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$80.12 to $81.11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 to $82.11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$82.13 to $82.915 inclusive.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without additional consideration, and not a purchase or sale of securities, by a limited partnership in which 346 Long LLC is a limited partner.</w:t>
      </w:r>
    </w:p>
    <w:p>
      <w:pPr>
        <w:spacing w:after="0" w:line="50" w:lineRule="exact"/>
        <w:rPr>
          <w:rFonts w:ascii="Times New Roman" w:cs="Times New Roman" w:eastAsia="Times New Roman" w:hAnsi="Times New Roman"/>
          <w:sz w:val="13"/>
          <w:szCs w:val="13"/>
          <w:color w:val="008000"/>
        </w:rPr>
      </w:pPr>
    </w:p>
    <w:p>
      <w:pPr>
        <w:ind w:left="20" w:right="3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Lightbank Investments 1B, LLC, Lightbank Global LLC, (iii) the manager of the general partner of Innovation Group Investors, L.P. - 2011 Series and Innovation Group Investors, L.P. - Series 1B and (iv) a trustee of Lefkofsky Family Foundation.</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$73.80 to $74.635 inclusive.</w:t>
      </w:r>
    </w:p>
    <w:p>
      <w:pPr>
        <w:ind w:left="656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2025-02-20T19:06:51Z</dcterms:created>
  <dcterms:modified xsi:type="dcterms:W3CDTF">2025-02-20T19:06:51Z</dcterms:modified>
</cp:coreProperties>
</file>