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Polovin Andrew</w:t>
              </w:r>
            </w:hyperlink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Tempus AI,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TEM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TEMPUS AI, INC.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03/21/2025</w:t>
            </w: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600 WEST CHICAGO AVENUE, SUITE 510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and General Counsel</w:t>
      </w:r>
    </w:p>
    <w:p>
      <w:pPr>
        <w:spacing w:after="0" w:line="45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60654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03/21/2025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3,076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151,095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This transaction was made pursuant to a Rule 10b5-1 trading plan adopted by the Reporting Person on September 6, 2024.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Andrew Polovin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03/25/2025</w:t>
            </w: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  <w:tr>
        <w:trPr>
          <w:trHeight w:val="200"/>
        </w:trPr>
        <w:tc>
          <w:tcPr>
            <w:tcW w:w="8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0"/>
        </w:trPr>
        <w:tc>
          <w:tcPr>
            <w:tcW w:w="8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24169" TargetMode="External"/><Relationship Id="rId14" Type="http://schemas.openxmlformats.org/officeDocument/2006/relationships/hyperlink" Target="http://www.sec.gov/cgi-bin/browse-edgar?action=getcompany&amp;CIK=00017171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2025-03-25T15:36:11Z</dcterms:created>
  <dcterms:modified xsi:type="dcterms:W3CDTF">2025-03-25T15:36:11Z</dcterms:modified>
</cp:coreProperties>
</file>