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8"/>
        </w:trPr>
        <w:tc>
          <w:tcPr>
            <w:tcW w:w="6180" w:type="dxa"/>
            <w:vAlign w:val="bottom"/>
            <w:gridSpan w:val="3"/>
          </w:tcPr>
          <w:p>
            <w:pPr>
              <w:jc w:val="center"/>
              <w:ind w:right="33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80" w:type="dxa"/>
            <w:vAlign w:val="bottom"/>
            <w:gridSpan w:val="3"/>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340" w:type="dxa"/>
            <w:vAlign w:val="bottom"/>
          </w:tcPr>
          <w:p>
            <w:pPr>
              <w:spacing w:after="0"/>
              <w:rPr>
                <w:sz w:val="24"/>
                <w:szCs w:val="24"/>
                <w:color w:val="auto"/>
              </w:rPr>
            </w:pPr>
          </w:p>
        </w:tc>
      </w:tr>
      <w:tr>
        <w:trPr>
          <w:trHeight w:val="227"/>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6180" w:type="dxa"/>
            <w:vAlign w:val="bottom"/>
            <w:gridSpan w:val="3"/>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29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1"/>
        </w:trPr>
        <w:tc>
          <w:tcPr>
            <w:tcW w:w="6180" w:type="dxa"/>
            <w:vAlign w:val="bottom"/>
            <w:gridSpan w:val="3"/>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9"/>
              </w:rPr>
              <w:t>Tempus AI, Inc. 2024 Equity Incentive Plan</w:t>
            </w:r>
          </w:p>
        </w:tc>
        <w:tc>
          <w:tcPr>
            <w:tcW w:w="1340" w:type="dxa"/>
            <w:vAlign w:val="bottom"/>
          </w:tcPr>
          <w:p>
            <w:pPr>
              <w:spacing w:after="0"/>
              <w:rPr>
                <w:sz w:val="24"/>
                <w:szCs w:val="24"/>
                <w:color w:val="auto"/>
              </w:rPr>
            </w:pPr>
          </w:p>
        </w:tc>
      </w:tr>
      <w:tr>
        <w:trPr>
          <w:trHeight w:val="190"/>
        </w:trPr>
        <w:tc>
          <w:tcPr>
            <w:tcW w:w="296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340" w:type="dxa"/>
            <w:vAlign w:val="bottom"/>
          </w:tcPr>
          <w:p>
            <w:pPr>
              <w:spacing w:after="0"/>
              <w:rPr>
                <w:sz w:val="16"/>
                <w:szCs w:val="16"/>
                <w:color w:val="auto"/>
              </w:rPr>
            </w:pPr>
          </w:p>
        </w:tc>
      </w:tr>
      <w:tr>
        <w:trPr>
          <w:trHeight w:val="285"/>
        </w:trPr>
        <w:tc>
          <w:tcPr>
            <w:tcW w:w="296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Eric Lefkofsky</w:t>
            </w:r>
          </w:p>
        </w:tc>
        <w:tc>
          <w:tcPr>
            <w:tcW w:w="1340" w:type="dxa"/>
            <w:vAlign w:val="bottom"/>
          </w:tcPr>
          <w:p>
            <w:pPr>
              <w:spacing w:after="0"/>
              <w:rPr>
                <w:sz w:val="24"/>
                <w:szCs w:val="24"/>
                <w:color w:val="auto"/>
              </w:rPr>
            </w:pPr>
          </w:p>
        </w:tc>
      </w:tr>
      <w:tr>
        <w:trPr>
          <w:trHeight w:val="216"/>
        </w:trPr>
        <w:tc>
          <w:tcPr>
            <w:tcW w:w="6180" w:type="dxa"/>
            <w:vAlign w:val="bottom"/>
            <w:gridSpan w:val="3"/>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9"/>
              </w:rPr>
              <w:t>Chief Executive Officer, Founder and Chairman</w:t>
            </w:r>
          </w:p>
        </w:tc>
        <w:tc>
          <w:tcPr>
            <w:tcW w:w="13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Tempus AI, Inc.</w:t>
            </w:r>
          </w:p>
        </w:tc>
        <w:tc>
          <w:tcPr>
            <w:tcW w:w="1340" w:type="dxa"/>
            <w:vAlign w:val="bottom"/>
          </w:tcPr>
          <w:p>
            <w:pPr>
              <w:spacing w:after="0"/>
              <w:rPr>
                <w:sz w:val="18"/>
                <w:szCs w:val="18"/>
                <w:color w:val="auto"/>
              </w:rPr>
            </w:pPr>
          </w:p>
        </w:tc>
      </w:tr>
      <w:tr>
        <w:trPr>
          <w:trHeight w:val="216"/>
        </w:trPr>
        <w:tc>
          <w:tcPr>
            <w:tcW w:w="6180" w:type="dxa"/>
            <w:vAlign w:val="bottom"/>
            <w:gridSpan w:val="3"/>
          </w:tcPr>
          <w:p>
            <w:pPr>
              <w:jc w:val="center"/>
              <w:ind w:left="1996"/>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340" w:type="dxa"/>
            <w:vAlign w:val="bottom"/>
          </w:tcPr>
          <w:p>
            <w:pPr>
              <w:spacing w:after="0"/>
              <w:rPr>
                <w:sz w:val="18"/>
                <w:szCs w:val="18"/>
                <w:color w:val="auto"/>
              </w:rPr>
            </w:pPr>
          </w:p>
        </w:tc>
      </w:tr>
      <w:tr>
        <w:trPr>
          <w:trHeight w:val="232"/>
        </w:trPr>
        <w:tc>
          <w:tcPr>
            <w:tcW w:w="2960" w:type="dxa"/>
            <w:vAlign w:val="bottom"/>
          </w:tcPr>
          <w:p>
            <w:pPr>
              <w:spacing w:after="0"/>
              <w:rPr>
                <w:sz w:val="20"/>
                <w:szCs w:val="20"/>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Chicago, Illinois 60654</w:t>
            </w:r>
          </w:p>
        </w:tc>
        <w:tc>
          <w:tcPr>
            <w:tcW w:w="13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(800) 976-5448 (Name, address, including zip code, and 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Christina T. Roupas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Courtney M.W. Tygesson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North Wacker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Commission:</w:t>
      </w:r>
    </w:p>
    <w:p>
      <w:pPr>
        <w:spacing w:after="0" w:line="234" w:lineRule="exact"/>
        <w:rPr>
          <w:sz w:val="20"/>
          <w:szCs w:val="20"/>
          <w:color w:val="auto"/>
        </w:rPr>
      </w:pPr>
    </w:p>
    <w:p>
      <w:pPr>
        <w:ind w:left="424" w:right="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June 13, 2024, filed pursuant to Rule 424(b) of the Securities Act on </w:t>
      </w:r>
      <w:hyperlink r:id="rId17">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auto"/>
        </w:rPr>
        <w:t xml:space="preserve">, relating to the Registration Statement on </w:t>
      </w:r>
      <w:hyperlink r:id="rId18">
        <w:r>
          <w:rPr>
            <w:rFonts w:ascii="Times New Roman" w:cs="Times New Roman" w:eastAsia="Times New Roman" w:hAnsi="Times New Roman"/>
            <w:sz w:val="18"/>
            <w:szCs w:val="18"/>
            <w:u w:val="single" w:color="auto"/>
            <w:color w:val="0000EE"/>
          </w:rPr>
          <w:t>Form S-1, as amended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333-279558), which contains audited financial statements for the Registrant’s latest fiscal year for which such statements have been filed; and</w:t>
      </w:r>
    </w:p>
    <w:p>
      <w:pPr>
        <w:spacing w:after="0" w:line="202"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11, 2024 (File No. 001-42130) under Section 12(b) of the Securities Exchange Act of 1934, as amended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ectPr>
          <w:pgSz w:w="11900" w:h="16838" w:orient="portrait"/>
          <w:cols w:equalWidth="0" w:num="1">
            <w:col w:w="10984"/>
          </w:cols>
          <w:pgMar w:left="436" w:top="266" w:right="479" w:bottom="1440" w:gutter="0" w:footer="0" w:header="0"/>
        </w:sectPr>
      </w:pPr>
    </w:p>
    <w:p>
      <w:pPr>
        <w:spacing w:after="0" w:line="336"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ectPr>
          <w:pgSz w:w="11900" w:h="16838" w:orient="portrait"/>
          <w:cols w:equalWidth="0" w:num="2">
            <w:col w:w="524" w:space="560"/>
            <w:col w:w="990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84"/>
          </w:cols>
          <w:pgMar w:left="436" w:top="266" w:right="479" w:bottom="1440" w:gutter="0" w:footer="0" w:header="0"/>
          <w:type w:val="continuous"/>
        </w:sectPr>
      </w:pPr>
    </w:p>
    <w:p>
      <w:pPr>
        <w:spacing w:after="0" w:line="38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6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sectPr>
          <w:pgSz w:w="11900" w:h="16838" w:orient="portrait"/>
          <w:cols w:equalWidth="0" w:num="2">
            <w:col w:w="524" w:space="560"/>
            <w:col w:w="990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Certain attorney of Cooley LLP beneficially owns 8,982 shares of the Registrant’s Class A common stock.</w:t>
      </w:r>
    </w:p>
    <w:p>
      <w:pPr>
        <w:spacing w:after="0" w:line="370"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permits indemnification of its directors, officers, employees and other agents to the maximum extent permitted by the Delaware General Corporation Law, and the Registrant’s amended and restated bylaws provide that the Registrant will indemnify its directors and executive officers and permit it to indemnify its other officers, employees, and other agents, in each case to the maximum extent permitted by the Delaware General Corporation Law.</w:t>
      </w:r>
    </w:p>
    <w:p>
      <w:pPr>
        <w:sectPr>
          <w:pgSz w:w="11900" w:h="16838" w:orient="portrait"/>
          <w:cols w:equalWidth="0" w:num="1">
            <w:col w:w="10984"/>
          </w:cols>
          <w:pgMar w:left="436" w:top="266" w:right="479" w:bottom="1440" w:gutter="0" w:footer="0" w:header="0"/>
          <w:type w:val="continuous"/>
        </w:sectPr>
      </w:pPr>
    </w:p>
    <w:bookmarkStart w:id="2" w:name="page3"/>
    <w:bookmarkEnd w:id="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 has entered into indemnification agreements with its directors and executive officers, whereby it has agreed to indemnify its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acted in good faith and in a manner that the director or executive officer reasonably believed to be in, or not opposed to, the best interest of the Registrant. At present, there is no pending litigation or proceeding involving a director or executive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its directors and officers against various liabilities arising under the Securities Act and the Exchange Act, that might be incurred by any director or officer in his capacity as such.</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gridSpan w:val="7"/>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2"/>
                <w:szCs w:val="22"/>
                <w:color w:val="auto"/>
              </w:rPr>
            </w:pPr>
          </w:p>
        </w:tc>
        <w:tc>
          <w:tcPr>
            <w:tcW w:w="9900" w:type="dxa"/>
            <w:vAlign w:val="bottom"/>
            <w:tcBorders>
              <w:top w:val="single" w:sz="8" w:color="auto"/>
            </w:tcBorders>
            <w:gridSpan w:val="7"/>
          </w:tcPr>
          <w:p>
            <w:pPr>
              <w:ind w:left="20"/>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Certificate of Incorporation of the Registrant, as currently in effect (incorporated herein by reference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7"/>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Exhibit 3.1 to the Registrant’s Current Report on Form 8-K (File No. 001-42130), filed with the Commission on June 17, 2024).</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240" w:type="dxa"/>
            <w:vAlign w:val="bottom"/>
            <w:tcBorders>
              <w:top w:val="single" w:sz="8" w:color="0000EE"/>
            </w:tcBorders>
            <w:gridSpan w:val="5"/>
          </w:tcPr>
          <w:p>
            <w:pPr>
              <w:ind w:left="20"/>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Bylaws of the Registrant, as currently in effect (incorporated herein by reference to Exhibit 3.2 to the</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40" w:type="dxa"/>
            <w:vAlign w:val="bottom"/>
            <w:tcBorders>
              <w:top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Registrant’s Current Report on Form 8-K (File No. 001-42130), filed with the Commission on June 17, 2024).</w:t>
              </w:r>
            </w:hyperlink>
          </w:p>
        </w:tc>
        <w:tc>
          <w:tcPr>
            <w:tcW w:w="8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900" w:type="dxa"/>
            <w:vAlign w:val="bottom"/>
            <w:gridSpan w:val="7"/>
          </w:tcPr>
          <w:p>
            <w:pPr>
              <w:ind w:left="20"/>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Class A Common Stock Certificate of the Registrant (incorporated herein by reference to Exhibit 4.1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Registration Statement on Form S-1/A (File No. 333-279558), filed with the Commission on June 5, 2024).</w:t>
              </w:r>
            </w:hyperlink>
          </w:p>
        </w:tc>
        <w:tc>
          <w:tcPr>
            <w:tcW w:w="1480" w:type="dxa"/>
            <w:vAlign w:val="bottom"/>
            <w:tcBorders>
              <w:top w:val="single" w:sz="8" w:color="0000EE"/>
            </w:tcBorders>
            <w:gridSpan w:val="5"/>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2"/>
                <w:szCs w:val="22"/>
                <w:color w:val="auto"/>
              </w:rPr>
            </w:pPr>
          </w:p>
        </w:tc>
        <w:tc>
          <w:tcPr>
            <w:tcW w:w="1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2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6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The Registrant’s 2024 Equity Incentive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S-1/A (File No. 333-279558), filed with the Commission on June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Forms of Restricted Stock Unit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reference to Exhibit 10.6 to the Registrant’s Registration Statement on Form S-1 (File No. 333-279558), filed with the Commission on</w:t>
              </w:r>
            </w:hyperlink>
          </w:p>
        </w:tc>
        <w:tc>
          <w:tcPr>
            <w:tcW w:w="8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May 20,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Forms of Grant Notice, Stock Option Agreement and Notice of Exercise under the Registrant’s 2024 Equity Incentive Plan (incorporated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by reference to Exhibit 10.5 to the Registrant’s Registration Statement on Form S-1 (File No. 333-279558), filed with the Commission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May 20, 2024).</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7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60" w:hanging="439"/>
        <w:spacing w:after="0" w:line="255"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8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1" w:lineRule="exact"/>
        <w:rPr>
          <w:sz w:val="20"/>
          <w:szCs w:val="20"/>
          <w:color w:val="auto"/>
        </w:rPr>
      </w:pPr>
    </w:p>
    <w:p>
      <w:pPr>
        <w:ind w:left="964" w:right="20" w:hanging="532"/>
        <w:spacing w:after="0" w:line="26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24"/>
          </w:cols>
          <w:pgMar w:left="436" w:top="251" w:right="439" w:bottom="1440" w:gutter="0" w:footer="0" w:header="0"/>
        </w:sectPr>
      </w:pPr>
    </w:p>
    <w:bookmarkStart w:id="4" w:name="page5"/>
    <w:bookmarkEnd w:id="4"/>
    <w:p>
      <w:pPr>
        <w:ind w:left="964" w:right="32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70"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June 17,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Eric Lefkofsky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Eric Lefkofsky and James Rogers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Founder and 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Bartolucci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Barris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D. Belcher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A. Doudna,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 Epstein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Wayne A.I. Frederick,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Gottlieb,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Theodore J. Leonsis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Nadja West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9126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7" w:lineRule="exact"/>
        <w:rPr>
          <w:sz w:val="20"/>
          <w:szCs w:val="20"/>
          <w:color w:val="auto"/>
        </w:rPr>
      </w:pPr>
    </w:p>
    <w:p>
      <w:pPr>
        <w:ind w:left="4" w:right="9480" w:hanging="4"/>
        <w:spacing w:after="0" w:line="290" w:lineRule="auto"/>
        <w:tabs>
          <w:tab w:leader="none" w:pos="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 881-6670 croupas@cooley.com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17,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We have acted as counsel to Tempus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7,430,000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pursuant to the Company’s 2024 Equity Incentive Plan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11024"/>
          </w:cols>
          <w:pgMar w:left="436"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Tempus AI, Inc. of our report dated February 28, 2024 relating to the financial statements which appears in Tempus AI, Inc.’s prospectus dated June 13, 2024, filed pursuant to Rule 424(b) under the Securities Act of 1933, relating to the Registration Statement on Form S-1, as amended (File No. 333-279558).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TEMPUS AI,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154" w:type="dxa"/>
        <w:tblCellMar>
          <w:top w:w="0" w:type="dxa"/>
          <w:left w:w="0" w:type="dxa"/>
          <w:bottom w:w="0" w:type="dxa"/>
          <w:right w:w="0" w:type="dxa"/>
        </w:tblCellMar>
      </w:tblPr>
      <w:tr>
        <w:trPr>
          <w:trHeight w:val="144"/>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24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0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color w:val="auto"/>
              </w:rPr>
              <w:t>  Maximum</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40"/>
        </w:trPr>
        <w:tc>
          <w:tcPr>
            <w:tcW w:w="940" w:type="dxa"/>
            <w:vAlign w:val="bottom"/>
            <w:tcBorders>
              <w:left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5"/>
                <w:szCs w:val="5"/>
                <w:color w:val="auto"/>
                <w:w w:val="78"/>
              </w:rPr>
              <w:t> </w:t>
            </w:r>
          </w:p>
        </w:tc>
        <w:tc>
          <w:tcPr>
            <w:tcW w:w="24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Class</w:t>
            </w:r>
          </w:p>
        </w:tc>
        <w:tc>
          <w:tcPr>
            <w:tcW w:w="780" w:type="dxa"/>
            <w:vAlign w:val="bottom"/>
            <w:tcBorders>
              <w:right w:val="single" w:sz="8" w:color="auto"/>
            </w:tcBorders>
          </w:tcPr>
          <w:p>
            <w:pPr>
              <w:ind w:left="40"/>
              <w:spacing w:after="0" w:line="140" w:lineRule="exact"/>
              <w:rPr>
                <w:sz w:val="20"/>
                <w:szCs w:val="20"/>
                <w:color w:val="auto"/>
              </w:rPr>
            </w:pPr>
            <w:r>
              <w:rPr>
                <w:rFonts w:ascii="Times New Roman" w:cs="Times New Roman" w:eastAsia="Times New Roman" w:hAnsi="Times New Roman"/>
                <w:sz w:val="13"/>
                <w:szCs w:val="13"/>
                <w:color w:val="auto"/>
              </w:rPr>
              <w:t>  Calculation</w:t>
            </w:r>
          </w:p>
        </w:tc>
        <w:tc>
          <w:tcPr>
            <w:tcW w:w="9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Amount</w:t>
            </w: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10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Offering</w:t>
            </w:r>
          </w:p>
        </w:tc>
        <w:tc>
          <w:tcPr>
            <w:tcW w:w="9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75"/>
        </w:trPr>
        <w:tc>
          <w:tcPr>
            <w:tcW w:w="940" w:type="dxa"/>
            <w:vAlign w:val="bottom"/>
            <w:tcBorders>
              <w:left w:val="single" w:sz="8" w:color="auto"/>
              <w:bottom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3"/>
                <w:szCs w:val="13"/>
                <w:color w:val="auto"/>
                <w:w w:val="92"/>
              </w:rPr>
              <w:t>Security Type </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940" w:type="dxa"/>
            <w:vAlign w:val="bottom"/>
            <w:tcBorders>
              <w:left w:val="single" w:sz="8" w:color="auto"/>
              <w:right w:val="single" w:sz="8" w:color="auto"/>
            </w:tcBorders>
          </w:tcPr>
          <w:p>
            <w:pPr>
              <w:jc w:val="center"/>
              <w:ind w:left="40"/>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24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 Common Stock, $0.0001</w:t>
            </w:r>
          </w:p>
        </w:tc>
        <w:tc>
          <w:tcPr>
            <w:tcW w:w="7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per share, 2024 Equity</w:t>
            </w:r>
          </w:p>
        </w:tc>
        <w:tc>
          <w:tcPr>
            <w:tcW w:w="7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8"/>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7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6"/>
                <w:szCs w:val="26"/>
                <w:color w:val="auto"/>
                <w:w w:val="91"/>
                <w:vertAlign w:val="superscript"/>
              </w:rPr>
              <w:t>(2)</w:t>
            </w:r>
          </w:p>
        </w:tc>
        <w:tc>
          <w:tcPr>
            <w:tcW w:w="9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7,430,000</w:t>
            </w:r>
            <w:r>
              <w:rPr>
                <w:rFonts w:ascii="Times New Roman" w:cs="Times New Roman" w:eastAsia="Times New Roman" w:hAnsi="Times New Roman"/>
                <w:sz w:val="26"/>
                <w:szCs w:val="26"/>
                <w:color w:val="auto"/>
                <w:w w:val="95"/>
                <w:vertAlign w:val="superscript"/>
              </w:rPr>
              <w:t>(3)</w:t>
            </w:r>
          </w:p>
        </w:tc>
        <w:tc>
          <w:tcPr>
            <w:tcW w:w="7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1"/>
              </w:rPr>
              <w:t>$37.00</w:t>
            </w:r>
            <w:r>
              <w:rPr>
                <w:rFonts w:ascii="Times New Roman" w:cs="Times New Roman" w:eastAsia="Times New Roman" w:hAnsi="Times New Roman"/>
                <w:sz w:val="26"/>
                <w:szCs w:val="26"/>
                <w:color w:val="auto"/>
                <w:w w:val="91"/>
                <w:vertAlign w:val="superscript"/>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$274,910,000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$40,576.72</w:t>
            </w:r>
          </w:p>
        </w:tc>
      </w:tr>
      <w:tr>
        <w:trPr>
          <w:trHeight w:val="232"/>
        </w:trPr>
        <w:tc>
          <w:tcPr>
            <w:tcW w:w="940" w:type="dxa"/>
            <w:vAlign w:val="bottom"/>
            <w:tcBorders>
              <w:left w:val="single" w:sz="8" w:color="auto"/>
              <w:bottom w:val="single" w:sz="8" w:color="auto"/>
            </w:tcBorders>
          </w:tcPr>
          <w:p>
            <w:pPr>
              <w:spacing w:after="0"/>
              <w:rPr>
                <w:sz w:val="20"/>
                <w:szCs w:val="20"/>
                <w:color w:val="auto"/>
              </w:rPr>
            </w:pPr>
          </w:p>
        </w:tc>
        <w:tc>
          <w:tcPr>
            <w:tcW w:w="324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$274,910,000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$40,576.72</w:t>
            </w: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left="81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left="819"/>
              <w:spacing w:after="0"/>
              <w:rPr>
                <w:sz w:val="20"/>
                <w:szCs w:val="20"/>
                <w:color w:val="auto"/>
              </w:rPr>
            </w:pPr>
            <w:r>
              <w:rPr>
                <w:rFonts w:ascii="Times New Roman" w:cs="Times New Roman" w:eastAsia="Times New Roman" w:hAnsi="Times New Roman"/>
                <w:sz w:val="18"/>
                <w:szCs w:val="18"/>
                <w:color w:val="auto"/>
              </w:rPr>
              <w:t>Net Fee Due</w:t>
            </w:r>
          </w:p>
        </w:tc>
        <w:tc>
          <w:tcPr>
            <w:tcW w:w="7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$40,576.72</w:t>
            </w:r>
          </w:p>
        </w:tc>
      </w:tr>
    </w:tbl>
    <w:p>
      <w:pPr>
        <w:spacing w:after="0" w:line="225" w:lineRule="exact"/>
        <w:rPr>
          <w:sz w:val="20"/>
          <w:szCs w:val="20"/>
          <w:color w:val="auto"/>
        </w:rPr>
      </w:pPr>
    </w:p>
    <w:p>
      <w:pPr>
        <w:ind w:left="424" w:right="20" w:hanging="424"/>
        <w:spacing w:after="0" w:line="289"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shall also cover any additional shares of Class A Common Stock (“Class A Common Stock”) of Tempus AI, Inc. (the “Registrant”) that become issuable under the Registrant’s 2024 Equity Incentive Plan (the “2024 Plan”) by reason of any stock dividend, stock split, recapitalization or other similar transaction.</w:t>
      </w:r>
    </w:p>
    <w:p>
      <w:pPr>
        <w:spacing w:after="0" w:line="63" w:lineRule="exact"/>
        <w:rPr>
          <w:rFonts w:ascii="Times New Roman" w:cs="Times New Roman" w:eastAsia="Times New Roman" w:hAnsi="Times New Roman"/>
          <w:sz w:val="17"/>
          <w:szCs w:val="17"/>
          <w:color w:val="auto"/>
        </w:rPr>
      </w:pPr>
    </w:p>
    <w:p>
      <w:pPr>
        <w:ind w:left="424" w:right="8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457(h) of the Securities Act. The proposed maximum aggregate offering price per share and proposed maximum aggregate offering price are calculated on the basis of $37.00 per share (the “IPO Price”), which is the initial public offering price per share of the Registrant’s Class A Common Stock set forth in the Registrant’s prospectus filed with the Securities and Exchange Commission on June 17, 2024 pursuant to Rule 424(b) of the Securities Act.</w:t>
      </w:r>
    </w:p>
    <w:p>
      <w:pPr>
        <w:spacing w:after="0" w:line="85"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7,430,000 shares of Class A Common Stock reserved for future grant under the 2024 Plan. The 2024 Plan also provides that an additional number of shares will automatically be added annually to the shares authorized for issuance under the 2024 Plan on January 1st of each year, commencing on January 1, 2025 and ending on (and including) January 1, 2034, in an amount equal to a number of shares of Class A Common Stock (the “Evergreen Increase”) such that the sum of (x) the remaining number of shares available under the 2024 Plan and (y) the Evergreen Increase is equal to 5% of the total number of shares of Class A Common Stock and Class B Common Stock outstanding on December 31 of the preceding year; provided, however, that the Registrant’s board of directors may act prior to January 1st of a given year to provide that the Evergreen Increase for such year will be a lesser number of shares of Class A Common Stock. This explanation is provided for information purposes only. The issuance of such additional shares is not being registered on this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lvl w:ilvl="1">
      <w:lvlJc w:val="left"/>
      <w:lvlText w:val="(%2)"/>
      <w:numFmt w:val="decimal"/>
      <w:start w:val="3"/>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upperLetter"/>
      <w:start w:val="20"/>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4"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png"/><Relationship Id="rId17" Type="http://schemas.openxmlformats.org/officeDocument/2006/relationships/hyperlink" Target="http://www.sec.gov/Archives/edgar/data/1717115/000119312524161989/d221145d424b4.htm" TargetMode="External"/><Relationship Id="rId18" Type="http://schemas.openxmlformats.org/officeDocument/2006/relationships/hyperlink" Target="http://www.sec.gov/Archives/edgar/data/1717115/000119312524160268/d221145ds1a.htm" TargetMode="External"/><Relationship Id="rId19" Type="http://schemas.openxmlformats.org/officeDocument/2006/relationships/hyperlink" Target="http://www.sec.gov/Archives/edgar/data/1717115/000119312524159105/d806693d8a12b.htm" TargetMode="External"/><Relationship Id="rId21" Type="http://schemas.openxmlformats.org/officeDocument/2006/relationships/hyperlink" Target="http://www.sec.gov/Archives/edgar/data/1717115/000119312524162594/d665789dex31.htm" TargetMode="External"/><Relationship Id="rId22" Type="http://schemas.openxmlformats.org/officeDocument/2006/relationships/hyperlink" Target="http://www.sec.gov/Archives/edgar/data/1717115/000119312524162594/d665789dex32.htm" TargetMode="External"/><Relationship Id="rId23" Type="http://schemas.openxmlformats.org/officeDocument/2006/relationships/hyperlink" Target="http://www.sec.gov/Archives/edgar/data/1717115/000119312524154635/d221145dex41.htm" TargetMode="External"/><Relationship Id="rId25" Type="http://schemas.openxmlformats.org/officeDocument/2006/relationships/hyperlink" Target="http://www.sec.gov/Archives/edgar/data/1717115/000119312524154635/d221145dex104.htm" TargetMode="External"/><Relationship Id="rId26" Type="http://schemas.openxmlformats.org/officeDocument/2006/relationships/hyperlink" Target="http://www.sec.gov/Archives/edgar/data/1717115/000119312524142956/d221145dex106.htm" TargetMode="External"/><Relationship Id="rId27" Type="http://schemas.openxmlformats.org/officeDocument/2006/relationships/hyperlink" Target="http://www.sec.gov/Archives/edgar/data/1717115/000119312524142956/d22114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2024-06-17T15:41:32Z</dcterms:created>
  <dcterms:modified xsi:type="dcterms:W3CDTF">2024-06-17T15:41:32Z</dcterms:modified>
</cp:coreProperties>
</file>