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Tempus AI,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0"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640" w:type="dxa"/>
            <w:vAlign w:val="bottom"/>
          </w:tcPr>
          <w:p>
            <w:pPr>
              <w:jc w:val="center"/>
              <w:ind w:right="19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001-42130</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47-4903308</w:t>
            </w:r>
          </w:p>
        </w:tc>
      </w:tr>
      <w:tr>
        <w:trPr>
          <w:trHeight w:val="148"/>
        </w:trPr>
        <w:tc>
          <w:tcPr>
            <w:tcW w:w="3640" w:type="dxa"/>
            <w:vAlign w:val="bottom"/>
          </w:tcPr>
          <w:p>
            <w:pPr>
              <w:jc w:val="center"/>
              <w:ind w:right="19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4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40" w:type="dxa"/>
            <w:vAlign w:val="bottom"/>
          </w:tcPr>
          <w:p>
            <w:pPr>
              <w:jc w:val="center"/>
              <w:ind w:right="18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20"/>
        </w:trPr>
        <w:tc>
          <w:tcPr>
            <w:tcW w:w="3640" w:type="dxa"/>
            <w:vAlign w:val="bottom"/>
          </w:tcPr>
          <w:p>
            <w:pPr>
              <w:jc w:val="center"/>
              <w:ind w:right="99"/>
              <w:spacing w:after="0"/>
              <w:rPr>
                <w:sz w:val="20"/>
                <w:szCs w:val="20"/>
                <w:color w:val="auto"/>
              </w:rPr>
            </w:pPr>
            <w:r>
              <w:rPr>
                <w:rFonts w:ascii="Times New Roman" w:cs="Times New Roman" w:eastAsia="Times New Roman" w:hAnsi="Times New Roman"/>
                <w:sz w:val="18"/>
                <w:szCs w:val="18"/>
                <w:b w:val="1"/>
                <w:bCs w:val="1"/>
                <w:color w:val="auto"/>
                <w:w w:val="99"/>
              </w:rPr>
              <w:t>600 West Chicago Avenue, Suite 510</w:t>
            </w:r>
          </w:p>
        </w:tc>
        <w:tc>
          <w:tcPr>
            <w:tcW w:w="23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4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23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60654</w:t>
            </w:r>
          </w:p>
        </w:tc>
      </w:tr>
      <w:tr>
        <w:trPr>
          <w:trHeight w:val="190"/>
        </w:trPr>
        <w:tc>
          <w:tcPr>
            <w:tcW w:w="36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976-5448</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On April 17, 2025 (the “Effective Date”), Tempus AI, Inc. (“Tempus”), AstraZeneca AB (“AstraZeneca”), and Pathos AI, Inc. (“Pathos”) entered into a series of agreements regarding both the development of a foundational large multimodal model in the field of oncology (the “Foundational Model”) and the licensing of certain de-identified multi-modal data to assist in the development of the Foundational Model.</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Specifically, on the Effective Date, AstraZeneca and Tempus entered into a Statement of Work under the previously disclosed Master Services Agreement, dated November 17, 2021 (as amended from time to time), between AstraZeneca and Tempus (the Master Services Agreement and the Statement of Work collectively referred to herein as the “MSA”). Pursuant to the MSA, (i) Tempus will ensure that Pathos develops, and Tempus provides AstraZeneca with, a Foundational Model which has been developed, validated, and maintained using de-identified datasets contributed by Tempus, (ii) the Foundational Model will be developed, validated, and maintained by Pathos, (iii) AstraZeneca will pay Tempus a fee of $35 million, and (iv) a syndicate of investors including AstraZeneca will contemporaneously execute a Stock Purchase Agreement with Pathos (the “SPA”) as part of a preferred stock financing round of sufficient size given the obligations described herein.</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Also on the Effective Date, Tempus and Pathos entered into an Order Form under the previously disclosed Amended and Restated Master Agreement, restated effective February 12, 2024, between Tempus and Pathos (the Amended and Restated Master Agreement and the Order Form collectively referred to herein as the “Pathos Master Agreement”). Pursuant to the Pathos Master Agreement, (i) Pathos will be responsible for Foundational Model development activities under the MSA, (ii) Tempus will license Pathos a comprehensive de-identified multi-modal dataset for the sole purpose of assisting in the development and training of the Foundational Model under the MSA, (iii) Pathos will pay Tempus data license fees of $200 million over a three-year period, including an upfront payment of $50 million payable on the Effective Date, (iv) Tempus will receive a license to use the Foundational Model upon its completion (with certain field restrictions and the right of sublicense to AstraZeneca), and (v) in consideration of Pathos’ commitments under the Pathos Master Agreement, Tempus will pay Pathos $35 million. Pathos, in its sole discretion, may pay up to 50% of the data license fees owed to Tempus in shares of Pathos’ Series D Preferred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Tempus is not a party to the SPA between AstraZeneca and Pathos and makes no representations or warranties about its terms.</w:t>
      </w:r>
    </w:p>
    <w:p>
      <w:pPr>
        <w:sectPr>
          <w:pgSz w:w="11900" w:h="16838" w:orient="portrait"/>
          <w:cols w:equalWidth="0" w:num="1">
            <w:col w:w="10980"/>
          </w:cols>
          <w:pgMar w:left="440" w:top="293" w:right="47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23, 2025</w:t>
      </w:r>
    </w:p>
    <w:p>
      <w:pPr>
        <w:spacing w:after="0" w:line="223"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James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18415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James Rogers</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660"/>
      </w:cols>
      <w:pgMar w:left="440" w:top="293"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2025-04-23T07:18:31Z</dcterms:created>
  <dcterms:modified xsi:type="dcterms:W3CDTF">2025-04-23T07:18:31Z</dcterms:modified>
</cp:coreProperties>
</file>