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434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2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001-42130</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47-4903308</w:t>
            </w:r>
          </w:p>
        </w:tc>
      </w:tr>
      <w:tr>
        <w:trPr>
          <w:trHeight w:val="216"/>
        </w:trPr>
        <w:tc>
          <w:tcPr>
            <w:tcW w:w="434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3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34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3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3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600 West Chicago Avenue, Suite 510</w:t>
            </w:r>
          </w:p>
        </w:tc>
        <w:tc>
          <w:tcPr>
            <w:tcW w:w="23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3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2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238"/>
        </w:trPr>
        <w:tc>
          <w:tcPr>
            <w:tcW w:w="666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18"/>
                <w:szCs w:val="18"/>
                <w:color w:val="auto"/>
              </w:rPr>
            </w:pPr>
          </w:p>
        </w:tc>
      </w:t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16, 2024, Tempus AI, Inc. (the “Company”) entered into an investment agreement (the “Investment Agreement”) with Personalis, Inc. (“Personalis”) pursuant to which the Company purchased 3,500,000 shares (the “Shares”) of common stock of Personalis, par value $0.0001 per share (the “Common Stock”), at a price per share of $5.07, representing the last reported closing price of the Common Stock on The Nasdaq Global Market on August 15, 2024. The Company paid an aggregate of $17,745,000 to Personalis to purchase the Shares.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Investment Agreement, Personalis agreed to register the resale of the Shares by filing a registration statement with the U.S. Securities and Exchange Commission within 30 calendar days of the date of sale of the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28, 2023, Personalis issued the Company (1) a warrant to purchase up to 4,609,400 shares of Common Stock at an exercise price per share of $1.50 and (2) a warrant to purchase up to 4,609,400 shares of Common Stock at an exercise price per share of $2.50 (together, the “Warrants”). In accordance with the Investment Agreement, on August 16, 2024, the Company exercised the Warrants in full at their respective exercise prices for an aggregate of 9,218,800 shares of Common Stock at an aggregate purchase price of $18,437,600.</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in connection with the Investment Agreement, on August 16, 2024, the Company and Personalis entered into an amendment to the Commercialization and Reference Laboratory Agreement, dated November 25, 2023, by and between the Company and Personalis (the “Commercialization Agreement”), pursuant to which the parties extended the notice period for termination for convenience of the Commercialization Agreement to 30 months, added certain obligations of Personalis in the event of an assignment of the Commercialization Agreement or any interest thereunder to a competitor of the Company or in connection with a change of control transaction with a competitor of the Company, and increased the number of new patients for which Personalis commits to maintain laboratory capacity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20, 2024</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2024-08-20T15:34:20Z</dcterms:created>
  <dcterms:modified xsi:type="dcterms:W3CDTF">2024-08-20T15:34:20Z</dcterms:modified>
</cp:coreProperties>
</file>