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162d8k.htm"/>
      <w:bookmarkStart w:id="1" w:name="ksd1241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Tempus AI,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Nevada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001-42130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47-4903308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600 West Chicago Avenue, Suite 510</w:t>
            </w:r>
          </w:p>
          <w:p>
            <w:pPr>
              <w:pStyle w:val="TableContents"/>
              <w:bidi w:val="0"/>
              <w:spacing w:before="0" w:after="20"/>
              <w:jc w:val="center"/>
              <w:rPr>
                <w:rFonts w:ascii="Times New Roman" w:hAnsi="Times New Roman"/>
                <w:b/>
                <w:sz w:val="20"/>
              </w:rPr>
            </w:pPr>
            <w:r>
              <w:rPr>
                <w:rFonts w:ascii="Times New Roman" w:hAnsi="Times New Roman"/>
                <w:b/>
                <w:sz w:val="20"/>
              </w:rPr>
              <w:t>Chicago,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60654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(800) 976-5448</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970"/>
        <w:gridCol w:w="60"/>
        <w:gridCol w:w="740"/>
        <w:gridCol w:w="60"/>
        <w:gridCol w:w="3050"/>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970" w:type="dxa"/>
            <w:tcBorders/>
            <w:vAlign w:val="center"/>
          </w:tcPr>
          <w:p>
            <w:pPr>
              <w:pStyle w:val="TableContents"/>
              <w:bidi w:val="0"/>
              <w:spacing w:before="0" w:after="283"/>
              <w:jc w:val="center"/>
              <w:rPr/>
            </w:pPr>
            <w:r>
              <w:rPr/>
              <w:t>Class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TEM</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20, 2026, Tempus AI, Inc., a Nevada corporation (“Tempus”), and Personalis, Inc., a Delaware corporation (“Personalis”), announced that they had entered into an Agreement and Plan of Merger (the “Merger Agreement”), by and among Tempus, Aviary Development, Inc., a Delaware corporation and a direct, wholly-owned subsidiary of Tempus (“Merger Sub I”), Toucan Development, LLC, a Nevada limited liability company and a direct, wholly-owned subsidiary of Tempus (“Merger Sub II”), and Personalis, pursuant to which, subject to the terms and conditions of the Merger Agreement, (i) Merger Sub I will merge with and into Personalis (the “First Merger”), with Personalis surviving the First Merger as a direct, wholly-owned subsidiary of Tempus, and (ii) immediately following the First Merger, Personalis will merge with and into Merger Sub II (the “Second Merger”), with Merger Sub II surviving the Second Merger as a direct, wholly-owned subsidiary of Tempus. A copy of the joint press release issued by Personalis and Tempus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furnished pursuant to Item 7.01 and shall not be deemed to be “filed” for the purposes of Section 18 of the Securities Exchange Act of 1934, as amended, or otherwise subject to liabilities of that section, nor shall it be deemed incorporated by reference in any filing under the Securities Act of 1933, as amended (the “Securities Act”), except as expressly set forth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Tempus’ and Personalis’ current views about future events. These forward-looking statements include, but are not limited to, statements regarding the proposed transaction between Tempus and Personalis.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stockholders may not adopt the merger agreement, the risk that Tempus or Personalis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Tempus’ common stock or Personalis’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Tempus and/or Personalis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Tempus’ and Personalis’ Annual Reports on Form 10-K for the year ended December 31, 2025 and subsequent Quarterly Reports on Form 10-Q and Current Reports on Form 8-K.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factors are difficult to predict and are beyond Tempus’ and Personalis’ control. Additional risks or uncertainties that are not currently known to Tempus or Personalis, that Tempus or Personalis currently deem to be immaterial, or that could apply to any company could also cause actual outcomes and results to differ materially from those included in the forward-looking statements in this communication. Tempus and Personalis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 Personalis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560"/>
        <w:gridCol w:w="120"/>
        <w:gridCol w:w="381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hyperlink w:anchor="d124162dex991.htm">
              <w:r>
                <w:rPr>
                  <w:rStyle w:val="InternetLink"/>
                </w:rPr>
                <w:t xml:space="preserve">Joint Press Release dated July 20,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Cover Page Interactive Data File</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723" w:type="dxa"/>
        <w:jc w:val="left"/>
        <w:tblInd w:w="0" w:type="dxa"/>
        <w:tblLayout w:type="fixed"/>
        <w:tblCellMar>
          <w:top w:w="0" w:type="dxa"/>
          <w:left w:w="0" w:type="dxa"/>
          <w:bottom w:w="0" w:type="dxa"/>
          <w:right w:w="0" w:type="dxa"/>
        </w:tblCellMar>
      </w:tblPr>
      <w:tblGrid>
        <w:gridCol w:w="630"/>
        <w:gridCol w:w="996"/>
        <w:gridCol w:w="387"/>
        <w:gridCol w:w="60"/>
        <w:gridCol w:w="365"/>
        <w:gridCol w:w="60"/>
        <w:gridCol w:w="2225"/>
      </w:tblGrid>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Tempus AI, Inc.</w:t>
            </w:r>
          </w:p>
        </w:tc>
      </w:tr>
      <w:tr>
        <w:trPr/>
        <w:tc>
          <w:tcPr>
            <w:tcW w:w="2013" w:type="dxa"/>
            <w:gridSpan w:val="3"/>
            <w:tcBorders/>
            <w:vAlign w:val="center"/>
          </w:tcPr>
          <w:p>
            <w:pPr>
              <w:pStyle w:val="TableContents"/>
              <w:bidi w:val="0"/>
              <w:spacing w:before="0" w:after="283"/>
              <w:jc w:val="left"/>
              <w:rPr/>
            </w:pPr>
            <w:r>
              <w:rPr/>
              <w:t>Dated: July 20, 2026</w:t>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James Rogers</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24162dex991.htm"/>
      <w:bookmarkStart w:id="3" w:name="ksd124162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Tempus to Acquire Personalis, More Tightly Integrating Molecular Residual Disease (MRD) into Its AI-Enabled Precision Oncology Platform </w:t>
      </w:r>
    </w:p>
    <w:p>
      <w:pPr>
        <w:pStyle w:val="TextBody"/>
        <w:bidi w:val="0"/>
        <w:spacing w:before="240" w:after="0"/>
        <w:jc w:val="left"/>
        <w:rPr>
          <w:rFonts w:ascii="Times New Roman" w:hAnsi="Times New Roman"/>
          <w:i/>
          <w:sz w:val="20"/>
        </w:rPr>
      </w:pPr>
      <w:r>
        <w:rPr>
          <w:rFonts w:ascii="Times New Roman" w:hAnsi="Times New Roman"/>
          <w:i/>
          <w:sz w:val="20"/>
        </w:rPr>
        <w:t xml:space="preserve">Acquisition brings together Personalis’ MRD technology with Tempus’ commercial scale, multimodal data and AI platform to advance cancer monitoring, deepen insights and accelerate growth </w:t>
      </w:r>
    </w:p>
    <w:p>
      <w:pPr>
        <w:pStyle w:val="TextBody"/>
        <w:bidi w:val="0"/>
        <w:spacing w:before="240" w:after="0"/>
        <w:jc w:val="left"/>
        <w:rPr>
          <w:rFonts w:ascii="Times New Roman" w:hAnsi="Times New Roman"/>
          <w:i/>
          <w:sz w:val="20"/>
        </w:rPr>
      </w:pPr>
      <w:r>
        <w:rPr>
          <w:rFonts w:ascii="Times New Roman" w:hAnsi="Times New Roman"/>
          <w:i/>
          <w:sz w:val="20"/>
        </w:rPr>
        <w:t xml:space="preserve">Expands Tempus’ reach across the cancer care continuum and accelerates access to industry-leading technology within the rapidly emerging MRD market, a $20 billion opportunity </w:t>
      </w:r>
    </w:p>
    <w:p>
      <w:pPr>
        <w:pStyle w:val="TextBody"/>
        <w:bidi w:val="0"/>
        <w:spacing w:before="240" w:after="0"/>
        <w:jc w:val="left"/>
        <w:rPr>
          <w:rFonts w:ascii="Times New Roman" w:hAnsi="Times New Roman"/>
          <w:sz w:val="20"/>
        </w:rPr>
      </w:pPr>
      <w:r>
        <w:rPr>
          <w:rFonts w:ascii="Times New Roman" w:hAnsi="Times New Roman"/>
          <w:b/>
          <w:sz w:val="20"/>
        </w:rPr>
        <w:t>CHICAGO, July</w:t>
      </w:r>
      <w:r>
        <w:rPr>
          <w:rFonts w:ascii="Times New Roman" w:hAnsi="Times New Roman"/>
          <w:sz w:val="20"/>
        </w:rPr>
        <w:t> </w:t>
      </w:r>
      <w:r>
        <w:rPr>
          <w:rFonts w:ascii="Times New Roman" w:hAnsi="Times New Roman"/>
          <w:b/>
          <w:sz w:val="20"/>
        </w:rPr>
        <w:t xml:space="preserve">20, 2026 — </w:t>
      </w:r>
      <w:r>
        <w:rPr>
          <w:rFonts w:ascii="Times New Roman" w:hAnsi="Times New Roman"/>
          <w:sz w:val="20"/>
        </w:rPr>
        <w:t xml:space="preserve">Tempus AI, Inc. (NASDAQ: TEM), a technology company leading the adoption of AI to advance precision medicine and patient care, today announced that it has entered into a definitive agreement to acquire Personalis, Inc. (NASDAQ: PSNL). The acquisition will expand Tempus capabilities in minimal residual disease (MRD) and enhance its ability to support patients from diagnosis and treatment selection, to recurrence and monitoring.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Personalis shareholders will receive consideration of $16.25 per share of common stock, representing a total enterprise value of $1.5 billion, net of Tempus’ existing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complementary acquisition builds on the companies’ existing partnership, established in November 2023, through which Tempus invested in Personalis and commercializes the company’s NeXT Personal® MRD test. It brings together Tempus’ multimodal data platform, AI capabilities and precision oncology portfolio with Personalis’ industry-leading tumor-informed MRD technology to expand access to longitudinal monitoring, create new opportunities to advance biomarker discovery and enhance personalized cancer care. </w:t>
      </w:r>
    </w:p>
    <w:p>
      <w:pPr>
        <w:pStyle w:val="TextBody"/>
        <w:bidi w:val="0"/>
        <w:spacing w:before="240" w:after="0"/>
        <w:jc w:val="left"/>
        <w:rPr/>
      </w:pPr>
      <w:r>
        <w:rPr/>
        <w:t>“</w:t>
      </w:r>
      <w:r>
        <w:rPr>
          <w:rFonts w:ascii="Times New Roman" w:hAnsi="Times New Roman"/>
          <w:sz w:val="20"/>
        </w:rPr>
        <w:t xml:space="preserve">MRD is a large and rapidly growing market with the potential to truly transform how cancer patients are monitored, helping clinicians make faster and more informed decisions when cancer recurs,” said Eric Lefkofsky, CEO of Tempus. “Through our existing collaboration with Personalis, we have already demonstrated the strength of combining highly sensitive MRD technology with our commercial infrastructure. With clinical adoption and reimbursement momentum building, we are collectively well positioned to capture this opportunity, which makes this acquisition particularly exciting.” </w:t>
      </w:r>
    </w:p>
    <w:p>
      <w:pPr>
        <w:pStyle w:val="TextBody"/>
        <w:bidi w:val="0"/>
        <w:spacing w:before="240" w:after="0"/>
        <w:jc w:val="left"/>
        <w:rPr>
          <w:rFonts w:ascii="Times New Roman" w:hAnsi="Times New Roman"/>
          <w:sz w:val="20"/>
        </w:rPr>
      </w:pPr>
      <w:r>
        <w:rPr>
          <w:rFonts w:ascii="Times New Roman" w:hAnsi="Times New Roman"/>
          <w:sz w:val="20"/>
        </w:rPr>
        <w:t xml:space="preserve">With approximately 2.1 million new cancer diagnoses expected in the U.S. this year1 and more people living longer after a cancer diagnosis, the need for long-term monitoring is critical and continues to grow. Personalis’ ultrasensitive MRD tests are uniquely positioned to support this essential need. NeXT Personal has industry-leading sensitivity for detecting small traces of circulating tumor DNA, enabling tracking of cancer treatment response, detection of residual cancer and early detection of recurrence. With Medicare coverage in three indications and additional coverage anticipated, Personalis continues to demonstrate leadership in monitoring treatment response and cancer recurrence.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https://www.cancer.org/content/dam/cancer-org/research/cancer-facts-and-statistics/annual-cancer-facts-and-figures/2026/2026-cancer-facts-and-figures.pdf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rPr>
        <w:t xml:space="preserve">We believe this transaction represents an exciting next chapter for Personalis,” said Chris Hall, CEO of Personalis. “Combining with Tempus gives us the scale, complementary capabilities and resources to accelerate innovation and deliver even greater value to patients, clinicians and biopharma partners. After conducting an exhaustive process, we are confident Tempus’ offer provides the most value to our shareholders and the fastest path to bringing Personalis’ industry-leading tests to patients suffering from cancer.”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Tempus will acquire all outstanding shares of Personalis not already owned by Tempus at a price of $16.25 per common share, representing a 6% premium to Friday’s closing price and a 28% premium to unaffected 30-day VWAP. Consideration will be structured as a 100% stock transaction with Tempus having the option to elect payment in cash at Tempus’ discretion, capped at 50% of the consideration paid. Personalis shareholders will receive a floating exchange ratio of Tempus AI common stock for each share of Personalis common stock they own at closing, subject to a maximum exchange ratio of 0.3356, which shall be finalized closer to the closing of the transaction. Cash consideration will be financed with cash on hand and borrowings under the Company’s then existing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closing is expected in late 2026 or early 2027, and is subject to Personalis’ shareholder approval, as well as receipt of applicable regulatory approvals and other customary closing conditions. The transaction was approved by both companies’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Personalis delivered preliminary revenue in Q2 of $22.4 million. In the quarter, they delivered 10,384 clinical tests, representing a 33% increase in test volumes quarter over quarter. </w:t>
      </w:r>
    </w:p>
    <w:p>
      <w:pPr>
        <w:pStyle w:val="TextBody"/>
        <w:bidi w:val="0"/>
        <w:spacing w:before="360" w:after="0"/>
        <w:jc w:val="left"/>
        <w:rPr>
          <w:rFonts w:ascii="Times New Roman" w:hAnsi="Times New Roman"/>
          <w:b/>
          <w:sz w:val="20"/>
        </w:rPr>
      </w:pPr>
      <w:r>
        <w:rPr>
          <w:rFonts w:ascii="Times New Roman" w:hAnsi="Times New Roman"/>
          <w:b/>
          <w:sz w:val="20"/>
        </w:rPr>
        <w:t xml:space="preserve">Tempus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Tempus will host a special conference call and live audio webcast at 9:00 a.m. ET to provide an overview of the transaction. The call will be led by Tempus Founder and CEO, Eric Lefkofsky and Chief Financial Officer, Jim Rogers. </w:t>
      </w:r>
    </w:p>
    <w:p>
      <w:pPr>
        <w:pStyle w:val="TextBody"/>
        <w:bidi w:val="0"/>
        <w:spacing w:before="240" w:after="0"/>
        <w:jc w:val="left"/>
        <w:rPr>
          <w:rFonts w:ascii="Times New Roman" w:hAnsi="Times New Roman"/>
          <w:sz w:val="20"/>
        </w:rPr>
      </w:pPr>
      <w:r>
        <w:rPr>
          <w:rFonts w:ascii="Times New Roman" w:hAnsi="Times New Roman"/>
          <w:sz w:val="20"/>
        </w:rPr>
        <w:t xml:space="preserve">The live audio webcast will be accessible through the “Events” section of the Tempus Investor Relations website or by clicking </w:t>
      </w:r>
      <w:r>
        <w:rPr>
          <w:rFonts w:ascii="Times New Roman" w:hAnsi="Times New Roman"/>
          <w:sz w:val="20"/>
          <w:u w:val="single"/>
        </w:rPr>
        <w:t>here</w:t>
      </w:r>
      <w:r>
        <w:rPr>
          <w:rFonts w:ascii="Times New Roman" w:hAnsi="Times New Roman"/>
          <w:sz w:val="20"/>
        </w:rPr>
        <w:t xml:space="preserve">. Alternatively, the call can be accessed via the following: </w:t>
      </w:r>
    </w:p>
    <w:p>
      <w:pPr>
        <w:pStyle w:val="TextBody"/>
        <w:bidi w:val="0"/>
        <w:spacing w:before="240" w:after="0"/>
        <w:jc w:val="left"/>
        <w:rPr>
          <w:rFonts w:ascii="Times New Roman" w:hAnsi="Times New Roman"/>
          <w:sz w:val="20"/>
        </w:rPr>
      </w:pPr>
      <w:r>
        <w:rPr>
          <w:rFonts w:ascii="Times New Roman" w:hAnsi="Times New Roman"/>
          <w:sz w:val="20"/>
        </w:rPr>
        <w:t xml:space="preserve">Conference ID: 9813595 </w:t>
      </w:r>
    </w:p>
    <w:p>
      <w:pPr>
        <w:pStyle w:val="TextBody"/>
        <w:bidi w:val="0"/>
        <w:spacing w:before="0" w:after="0"/>
        <w:jc w:val="left"/>
        <w:rPr>
          <w:rFonts w:ascii="Times New Roman" w:hAnsi="Times New Roman"/>
          <w:sz w:val="20"/>
        </w:rPr>
      </w:pPr>
      <w:r>
        <w:rPr>
          <w:rFonts w:ascii="Times New Roman" w:hAnsi="Times New Roman"/>
          <w:sz w:val="20"/>
        </w:rPr>
        <w:t xml:space="preserve">United States—New York: (646) 307-1963 </w:t>
      </w:r>
    </w:p>
    <w:p>
      <w:pPr>
        <w:pStyle w:val="TextBody"/>
        <w:bidi w:val="0"/>
        <w:spacing w:before="0" w:after="0"/>
        <w:jc w:val="left"/>
        <w:rPr>
          <w:rFonts w:ascii="Times New Roman" w:hAnsi="Times New Roman"/>
          <w:sz w:val="20"/>
        </w:rPr>
      </w:pPr>
      <w:r>
        <w:rPr>
          <w:rFonts w:ascii="Times New Roman" w:hAnsi="Times New Roman"/>
          <w:sz w:val="20"/>
        </w:rPr>
        <w:t xml:space="preserve">USA &amp; Canada—Toll-Free: (800) 715-9871 </w:t>
      </w:r>
    </w:p>
    <w:p>
      <w:pPr>
        <w:pStyle w:val="TextBody"/>
        <w:bidi w:val="0"/>
        <w:spacing w:before="240" w:after="0"/>
        <w:jc w:val="left"/>
        <w:rPr>
          <w:rFonts w:ascii="Times New Roman" w:hAnsi="Times New Roman"/>
          <w:sz w:val="20"/>
        </w:rPr>
      </w:pPr>
      <w:r>
        <w:rPr>
          <w:rFonts w:ascii="Times New Roman" w:hAnsi="Times New Roman"/>
          <w:sz w:val="20"/>
        </w:rPr>
        <w:t xml:space="preserve">For those unable to listen to the live broadcast, a recording will be available on the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an investor presentation relating to the transaction has been posted to the Tempus Investor Relations website at investor.tempus.com. </w:t>
      </w:r>
    </w:p>
    <w:p>
      <w:pPr>
        <w:pStyle w:val="TextBody"/>
        <w:bidi w:val="0"/>
        <w:spacing w:before="240" w:after="0"/>
        <w:jc w:val="left"/>
        <w:rPr>
          <w:rFonts w:ascii="Times New Roman" w:hAnsi="Times New Roman"/>
          <w:sz w:val="20"/>
        </w:rPr>
      </w:pPr>
      <w:r>
        <w:rPr>
          <w:rFonts w:ascii="Times New Roman" w:hAnsi="Times New Roman"/>
          <w:b/>
          <w:sz w:val="20"/>
        </w:rPr>
        <w:t xml:space="preserve">About Tempus </w:t>
      </w:r>
      <w:r>
        <w:rPr>
          <w:rFonts w:ascii="Times New Roman" w:hAnsi="Times New Roman"/>
          <w:sz w:val="20"/>
        </w:rPr>
        <w:t xml:space="preserve">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w:t>
      </w:r>
      <w:r>
        <w:rPr>
          <w:rFonts w:ascii="Times New Roman" w:hAnsi="Times New Roman"/>
          <w:sz w:val="20"/>
          <w:u w:val="single"/>
        </w:rPr>
        <w:t>tempus.com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the current views of Tempus AI, Inc. (“Tempus”) and/or Personalis, Inc. (“Personalis”) about future events. These forward-looking statements include, but are not limited to, statements regarding the proposed transaction between Personalis and Tempus,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shareholders may not adopt the merger agreement, the risk that Personalis or Tempus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proposed transaction, the risk that any announcements relating to the proposed transaction could have adverse effects on the market price of Personalis’ common stock or Tempus’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Personalis and/or Tempus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Personalis’ and Tempus’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Personalis’ and Tempus’ control. Additional risks or uncertainties that are not currently known to Personalis or Tempus, that Personalis or Tempus currently deem to be immaterial, or that could apply to any company could also cause actual outcomes and results to differ materially from those included in the forward-looking statements in this communication. Personalis and Tempus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 Personalis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5456</Words>
  <Characters>30849</Characters>
  <CharactersWithSpaces>36302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