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47-4903308</w:t>
            </w:r>
          </w:p>
        </w:tc>
      </w:tr>
      <w:tr>
        <w:trPr>
          <w:trHeight w:val="149"/>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Fourth Amendment to Credit Agreement</w:t>
      </w:r>
    </w:p>
    <w:p>
      <w:pPr>
        <w:spacing w:after="0" w:line="117"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On June 30, 2025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 in conjunction with the Offering (as defined below), Tempus AI,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Fourth Amendment to Credit Agreement (the “</w:t>
      </w:r>
      <w:r>
        <w:rPr>
          <w:rFonts w:ascii="Times New Roman" w:cs="Times New Roman" w:eastAsia="Times New Roman" w:hAnsi="Times New Roman"/>
          <w:sz w:val="18"/>
          <w:szCs w:val="18"/>
          <w:b w:val="1"/>
          <w:bCs w:val="1"/>
          <w:i w:val="1"/>
          <w:iCs w:val="1"/>
          <w:color w:val="auto"/>
        </w:rPr>
        <w:t>Amendment Agreement</w:t>
      </w:r>
      <w:r>
        <w:rPr>
          <w:rFonts w:ascii="Times New Roman" w:cs="Times New Roman" w:eastAsia="Times New Roman" w:hAnsi="Times New Roman"/>
          <w:sz w:val="18"/>
          <w:szCs w:val="18"/>
          <w:color w:val="auto"/>
        </w:rPr>
        <w:t>”) by and among the Company, certain subsidiaries of the Company party thereto, the lenders party thereto, Ares Capital Corporation, as administrative agent (in such capacity,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and ACF Finco I LP, as revolving agent (the “</w:t>
      </w:r>
      <w:r>
        <w:rPr>
          <w:rFonts w:ascii="Times New Roman" w:cs="Times New Roman" w:eastAsia="Times New Roman" w:hAnsi="Times New Roman"/>
          <w:sz w:val="18"/>
          <w:szCs w:val="18"/>
          <w:b w:val="1"/>
          <w:bCs w:val="1"/>
          <w:i w:val="1"/>
          <w:iCs w:val="1"/>
          <w:color w:val="auto"/>
        </w:rPr>
        <w:t>Revolving Agent</w:t>
      </w:r>
      <w:r>
        <w:rPr>
          <w:rFonts w:ascii="Times New Roman" w:cs="Times New Roman" w:eastAsia="Times New Roman" w:hAnsi="Times New Roman"/>
          <w:sz w:val="18"/>
          <w:szCs w:val="18"/>
          <w:color w:val="auto"/>
        </w:rPr>
        <w:t>”). The Amendment Agreement amends the terms of that certain Credit Agreement, dated as of September 22, 2022 (as amended, restated, amended and restated, supplemented or otherwise modified from time to time prior to the Amendment Effective Date, the “</w:t>
      </w:r>
      <w:r>
        <w:rPr>
          <w:rFonts w:ascii="Times New Roman" w:cs="Times New Roman" w:eastAsia="Times New Roman" w:hAnsi="Times New Roman"/>
          <w:sz w:val="18"/>
          <w:szCs w:val="18"/>
          <w:b w:val="1"/>
          <w:bCs w:val="1"/>
          <w:i w:val="1"/>
          <w:iCs w:val="1"/>
          <w:color w:val="auto"/>
        </w:rPr>
        <w:t>Existing Credit Agreement</w:t>
      </w:r>
      <w:r>
        <w:rPr>
          <w:rFonts w:ascii="Times New Roman" w:cs="Times New Roman" w:eastAsia="Times New Roman" w:hAnsi="Times New Roman"/>
          <w:sz w:val="18"/>
          <w:szCs w:val="18"/>
          <w:color w:val="auto"/>
        </w:rPr>
        <w:t>” and as amended by the Amendment Agreement,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by and among the Company, certain subsidiaries of the Company party thereto, the lenders party thereto, the Administrative Agent and the Revolving Agent to, among other things, (i) permit the Offering and the related derivative transactions and (ii) provide that the Offering satisfies the junior capital raise requirement set forth in the Existing Credit Agreement. A failure to timely satisfy the junior capital raise requirement would have resulted in a 0.50% per annum increase in the applicable margin from and after January 1, 2026.</w:t>
      </w:r>
    </w:p>
    <w:p>
      <w:pPr>
        <w:spacing w:after="0" w:line="189"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Except as noted above, the material terms of the Existing Credit Agreement were not amended. The summary of the material terms of the Credit Agreement in this Item 1.01 does not purport to be complete and is qualified in its entirety by reference to the full text of the Credit Agreement, a conformed copy of which is attached as Annex A to the Amendment Agreement filed as Exhibit 10.2 to this Form 8-K and incorporated herein by reference.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Indenture and Notes</w:t>
      </w:r>
    </w:p>
    <w:p>
      <w:pPr>
        <w:spacing w:after="0" w:line="117"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On July 3, 2025, the Company completed its previously announced private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$750.0 million aggregate principal amount of 0.75% Convertible Senior Notes due 2030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including the exercise in full of the initial purchasers’ over-allotment option to purchase up to an additional $100.0 million principal amount of the Notes. The Notes were issued pursuant to an indenture, dated July 3, 2025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the Company and U.S. Bank Trust Company, National Association, as trustee.</w:t>
      </w:r>
    </w:p>
    <w:p>
      <w:pPr>
        <w:spacing w:after="0" w:line="180"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The Notes are general unsecured obligations of the Company and will mature on July 15, 2030, unless earlier converted, redeemed or repurchased. Interest on the Notes will accrue at a rate of 0.75% per year from July 3, 2025 and will be payable semiannually in arrears on January 15 and July 15 of each year, beginning on January 15, 2026. The Notes are convertible at the option of the holders at any time prior to the close of business on the business day immediately preceding April 15, 2030, only upon satisfaction of one or more of the following conditions: (1) during any calendar quarter commencing after the fiscal quarter ending on September 30, 2025 (and only during such calendar quarter), if the last reported sale price of the Company’s Class A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(2) during the five business day period after any ten consecutive trading day period (the “</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in which the trading price (as defined in the Indenture) per $1,000 principal amount of the Notes for each trading day of the measurement period was less than 98% of the product of the last reported sale price of the Common Stock and the conversion rate for the Notes on each such trading day; (3) if the Company calls such Notes for redemption, at any time prior to the close of business on the second scheduled trading day immediately preceding the redemption date, but only with respect to the Notes called (or deemed called) for redemption; or</w:t>
      </w:r>
    </w:p>
    <w:p>
      <w:pPr>
        <w:spacing w:after="0" w:line="2" w:lineRule="exact"/>
        <w:rPr>
          <w:sz w:val="20"/>
          <w:szCs w:val="20"/>
          <w:color w:val="auto"/>
        </w:rPr>
      </w:pPr>
    </w:p>
    <w:p>
      <w:pPr>
        <w:ind w:left="4" w:right="200" w:hanging="4"/>
        <w:spacing w:after="0" w:line="253"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On or after April 15, 2030, until the close of business on the second scheduled trading day immediately preceding the maturity date, holders may convert all or any portion of their Notes at their option at any time, regardless of the foregoing conditions.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187"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 conversion rate for the Notes will initially be 11.8778 shares of Common Stock per $1,000 principal amount of Notes, which is equivalent to an initial conversion price of approximately $84.19 per share of Common Stock. The initial conversion price of the Notes represents a premium of approximately 32.5% to the last reported sale price of the Common Stock on The Nasdaq Global Select Market on June 30, 2025. The conversion rate for the</w:t>
      </w:r>
    </w:p>
    <w:p>
      <w:pPr>
        <w:sectPr>
          <w:pgSz w:w="11900" w:h="16838" w:orient="portrait"/>
          <w:cols w:equalWidth="0" w:num="1">
            <w:col w:w="11004"/>
          </w:cols>
          <w:pgMar w:left="436" w:top="293" w:right="45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Notes is subject to adjustment under certain circumstances in accordance with the terms of the Indenture. In addition, following certain corporate events that occur prior to the maturity date or if the Company delivers a notice of redemption in respect of the Notes, the Company will, in certain circumstances, increase the conversion rate of the Notes for a holder who elects to convert its Notes in connection with such a corporate event or convert its Notes called (or deemed called) for redemption during the related redemption period (as defined in the Indenture), as the case may be.</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may not redeem the Notes prior to July 20, 2028. The Company may redeem for cash all or any portion of the Notes (subject to the partial redemption limitation set forth in the Indenture), at its option, on or after July 20, 2028, if the last reported sale price of the Common Stock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If the Company redeems less than all the outstanding Notes, at least $100.0 million aggregate principal amount of Notes must be outstanding and not subject to redemption as of, and after giving effect to, delivery of the relevant notice of redemption. No sinking fund is provided for the Notes.</w:t>
      </w:r>
    </w:p>
    <w:p>
      <w:pPr>
        <w:spacing w:after="0" w:line="19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set forth in the Indenture, holders may require the Company to repurchase for cash all or any portion of their Notes at a fundamental change repurchase price equal to 100% of the principal amount of the Notes to be repurchased, plus accrued and unpaid interest, if any, to, but excluding, the fundamental change repurchase date.</w:t>
      </w:r>
    </w:p>
    <w:p>
      <w:pPr>
        <w:spacing w:after="0" w:line="180"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after which the Notes may be declared immediately due and payable and sets forth certain types of bankruptcy or insolvency events of default involving the Company after which the Notes become automatically due and payable. The following events are considered “events of default” under the Indenture:</w:t>
      </w:r>
    </w:p>
    <w:p>
      <w:pPr>
        <w:spacing w:after="0" w:line="81" w:lineRule="exact"/>
        <w:rPr>
          <w:sz w:val="20"/>
          <w:szCs w:val="20"/>
          <w:color w:val="auto"/>
        </w:rPr>
      </w:pPr>
    </w:p>
    <w:p>
      <w:pPr>
        <w:ind w:left="1420" w:hanging="33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and the default continues for a period of 30 days;</w:t>
      </w:r>
    </w:p>
    <w:p>
      <w:pPr>
        <w:spacing w:after="0" w:line="130" w:lineRule="exact"/>
        <w:rPr>
          <w:rFonts w:ascii="Times New Roman" w:cs="Times New Roman" w:eastAsia="Times New Roman" w:hAnsi="Times New Roman"/>
          <w:sz w:val="18"/>
          <w:szCs w:val="18"/>
          <w:color w:val="auto"/>
        </w:rPr>
      </w:pPr>
    </w:p>
    <w:p>
      <w:pPr>
        <w:ind w:left="1420" w:right="34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at its stated maturity, upon optional redemption, upon any required repurchase, upon declaration of acceleration or otherwise;</w:t>
      </w:r>
    </w:p>
    <w:p>
      <w:pPr>
        <w:spacing w:after="0" w:line="67" w:lineRule="exact"/>
        <w:rPr>
          <w:rFonts w:ascii="Times New Roman" w:cs="Times New Roman" w:eastAsia="Times New Roman" w:hAnsi="Times New Roman"/>
          <w:sz w:val="18"/>
          <w:szCs w:val="18"/>
          <w:color w:val="auto"/>
        </w:rPr>
      </w:pPr>
    </w:p>
    <w:p>
      <w:pPr>
        <w:ind w:left="1420" w:right="50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the Indenture upon exercise of a holder’s conversion right and such failure continues for three business days;</w:t>
      </w:r>
    </w:p>
    <w:p>
      <w:pPr>
        <w:spacing w:after="0" w:line="67" w:lineRule="exact"/>
        <w:rPr>
          <w:rFonts w:ascii="Times New Roman" w:cs="Times New Roman" w:eastAsia="Times New Roman" w:hAnsi="Times New Roman"/>
          <w:sz w:val="18"/>
          <w:szCs w:val="18"/>
          <w:color w:val="auto"/>
        </w:rPr>
      </w:pPr>
    </w:p>
    <w:p>
      <w:pPr>
        <w:ind w:left="1420" w:right="40" w:hanging="331"/>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give (i) a fundamental change notice or notice of a make-whole fundamental change (each as described in the Indenture), in either case when due and such failure continues for two business days, or (ii) notice of a specified corporate transaction (as described in the Indenture) when due and such failure continues for one business day;</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in respect of any consolidation, merger or sale of assets;</w:t>
      </w:r>
    </w:p>
    <w:p>
      <w:pPr>
        <w:spacing w:after="0" w:line="130" w:lineRule="exact"/>
        <w:rPr>
          <w:rFonts w:ascii="Times New Roman" w:cs="Times New Roman" w:eastAsia="Times New Roman" w:hAnsi="Times New Roman"/>
          <w:sz w:val="18"/>
          <w:szCs w:val="18"/>
          <w:color w:val="auto"/>
        </w:rPr>
      </w:pPr>
    </w:p>
    <w:p>
      <w:pPr>
        <w:ind w:left="1420" w:right="500" w:hanging="331"/>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any of the Company’s other agreements in the Notes or the Indenture for 60 days after receipt of written notice of such failure from the trustee or the holders of at least 25% in principal amount of the Notes then outstanding;</w:t>
      </w:r>
    </w:p>
    <w:p>
      <w:pPr>
        <w:spacing w:after="0" w:line="81" w:lineRule="exact"/>
        <w:rPr>
          <w:rFonts w:ascii="Times New Roman" w:cs="Times New Roman" w:eastAsia="Times New Roman" w:hAnsi="Times New Roman"/>
          <w:sz w:val="18"/>
          <w:szCs w:val="18"/>
          <w:color w:val="auto"/>
        </w:rPr>
      </w:pPr>
    </w:p>
    <w:p>
      <w:pPr>
        <w:jc w:val="both"/>
        <w:ind w:left="1420" w:hanging="331"/>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of its significant subsidiaries (as defined in the Indenture) with respect to any mortgage, agreement or other instrument under which there may be outstanding, or by which there may be secured or evidenced, any indebtedness for money borrowed with a principal</w:t>
      </w:r>
    </w:p>
    <w:p>
      <w:pPr>
        <w:sectPr>
          <w:pgSz w:w="11900" w:h="16838" w:orient="portrait"/>
          <w:cols w:equalWidth="0" w:num="1">
            <w:col w:w="11000"/>
          </w:cols>
          <w:pgMar w:left="440" w:top="297" w:right="459" w:bottom="1440" w:gutter="0" w:footer="0" w:header="0"/>
        </w:sectPr>
      </w:pPr>
    </w:p>
    <w:bookmarkStart w:id="3" w:name="page4"/>
    <w:bookmarkEnd w:id="3"/>
    <w:p>
      <w:pPr>
        <w:ind w:left="1420"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amount in excess of $75,000,000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the Notes then outstanding in accordance with the Indenture; and</w:t>
      </w:r>
    </w:p>
    <w:p>
      <w:pPr>
        <w:spacing w:after="0" w:line="97" w:lineRule="exact"/>
        <w:rPr>
          <w:sz w:val="20"/>
          <w:szCs w:val="20"/>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Company or any of the Company’s significant subsidiaries.</w:t>
      </w:r>
    </w:p>
    <w:p>
      <w:pPr>
        <w:spacing w:after="0" w:line="225" w:lineRule="exact"/>
        <w:rPr>
          <w:sz w:val="20"/>
          <w:szCs w:val="20"/>
          <w:color w:val="auto"/>
        </w:rPr>
      </w:pPr>
    </w:p>
    <w:p>
      <w:pPr>
        <w:ind w:right="140" w:firstLine="440"/>
        <w:spacing w:after="0" w:line="273" w:lineRule="auto"/>
        <w:rPr>
          <w:sz w:val="20"/>
          <w:szCs w:val="20"/>
          <w:color w:val="auto"/>
        </w:rPr>
      </w:pPr>
      <w:r>
        <w:rPr>
          <w:rFonts w:ascii="Times New Roman" w:cs="Times New Roman" w:eastAsia="Times New Roman" w:hAnsi="Times New Roman"/>
          <w:sz w:val="17"/>
          <w:szCs w:val="17"/>
          <w:color w:val="auto"/>
        </w:rPr>
        <w:t>If certain bankruptcy and insolvency-related events of default occur with respect to the Company, the principal of, and accrued and unpaid interest, if any, on, all of the then outstanding Notes shall automatically become due and payable. If an event of default, other than certain bankruptcy and insolvency-related events of default with respect to the Company, occurs and is continuing, the trustee, by notice to the Company, or the holders of at least 25% in principal amount of the outstanding Notes by notice to the Company and the trustee, may declare 100% of the principal of, and accrued interest, on all the outstanding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Notes.</w:t>
      </w:r>
    </w:p>
    <w:p>
      <w:pPr>
        <w:spacing w:after="0" w:line="17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“qualified successor entity” (as defined in the Indenture) (such qualified successor entity, the “successor entity”) organized and existing under the laws of the United States of America, any state thereof or the District of Columbia, and such successor entity (if not the Company) expressly assumes by supplemental indenture all of the Company’s obligations under the Notes and the Indenture; and (ii) immediately after giving effect to such transaction, no default or event of default has occurred and is continuing under the Indenture.</w:t>
      </w:r>
    </w:p>
    <w:p>
      <w:pPr>
        <w:spacing w:after="0" w:line="18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A copy of the Indenture is attached hereto as Exhibit 4.1 (including the form of the Notes attached hereto as Exhibit 4.2) and is incorporated herein by reference (and this description is qualified in its entirety by reference to such document).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On June 30, 2025, in connection with the pricing of the Notes, and on July 1, 2025, in connection with the exercise in full by the initial purchasers of their over-allotment option to purchase additional Notes, the Company entered into capped call transactions with one of the initial purchasers and certain other financial institutions, pursuant to capped call confirmations in substantially the form filed as Exhibit 10.1 to this Current Report on Form 8-K, which is incorporated herein by reference (and this description is qualified in its entirety by reference to such document). The capped call transactions are expected generally to reduce the potential dilution to the Common Stock upon any conversion of the Notes and/or offset any cash payments the Company is required to make in excess of the principal amount of converted Notes, as the case may be, with such reduction and/or offset subject to a cap based on a cap price initially equal to $111.1950 per share (which represents a premium of 75% over the last reported sale price of the Common Stock of $63.54 per share on The Nasdaq Global Select Market on June 30, 2025), and is subject to certain adjustments under the terms of the capped call transactions.</w:t>
      </w:r>
    </w:p>
    <w:p>
      <w:pPr>
        <w:sectPr>
          <w:pgSz w:w="11900" w:h="16838" w:orient="portrait"/>
          <w:cols w:equalWidth="0" w:num="1">
            <w:col w:w="11000"/>
          </w:cols>
          <w:pgMar w:left="440" w:top="297"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Proceeds</w:t>
      </w:r>
    </w:p>
    <w:p>
      <w:pPr>
        <w:spacing w:after="0" w:line="121" w:lineRule="exact"/>
        <w:rPr>
          <w:sz w:val="20"/>
          <w:szCs w:val="20"/>
          <w:color w:val="auto"/>
        </w:rPr>
      </w:pPr>
    </w:p>
    <w:p>
      <w:pPr>
        <w:ind w:left="4" w:right="500" w:firstLine="440"/>
        <w:spacing w:after="0" w:line="276" w:lineRule="auto"/>
        <w:rPr>
          <w:sz w:val="20"/>
          <w:szCs w:val="20"/>
          <w:color w:val="auto"/>
        </w:rPr>
      </w:pPr>
      <w:r>
        <w:rPr>
          <w:rFonts w:ascii="Times New Roman" w:cs="Times New Roman" w:eastAsia="Times New Roman" w:hAnsi="Times New Roman"/>
          <w:sz w:val="17"/>
          <w:szCs w:val="17"/>
          <w:color w:val="auto"/>
        </w:rPr>
        <w:t>The Company’s net proceeds from the Offering were approximately $721.7 million, after deducting the initial purchasers’ discounts and commissions and the estimated offering expenses payable by the Company. The Company used a portion of the net proceeds from the Offering to</w:t>
      </w:r>
    </w:p>
    <w:p>
      <w:pPr>
        <w:spacing w:after="0" w:line="1" w:lineRule="exact"/>
        <w:rPr>
          <w:sz w:val="20"/>
          <w:szCs w:val="20"/>
          <w:color w:val="auto"/>
        </w:rPr>
      </w:pPr>
    </w:p>
    <w:p>
      <w:pPr>
        <w:ind w:left="4" w:right="20" w:hanging="4"/>
        <w:spacing w:after="0" w:line="253" w:lineRule="auto"/>
        <w:tabs>
          <w:tab w:leader="none" w:pos="2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$274.7 million principal amount of senior secured term loans pursuant to the Credit Agreement, plus accrued and unpaid premium and interest, and (ii) pay the approximately $41.8 million cost of the capped call transactions described above. The Company expects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Company offered and sold the Notes to the initial purchasers in reliance on the exemption from registration provided by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for resale by the initial purchasers to persons reasonably believed to be qualified institutional buyers pursuant to the exemption from registration provided by Section 4(a)(2) and Rule 144A under the Securities Act. The Company relied on these exemptions from registration based in part on representations made by the initial purchasers in the purchase agreement dated June 30, 2025 by and among the Company and the initial purchasers.</w:t>
      </w:r>
    </w:p>
    <w:p>
      <w:pPr>
        <w:spacing w:after="0" w:line="183"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The Notes and the shares of Common Stock issuable upon conversion of the Notes, if any, have not been registered under the Securities Act and may not be offered or sold in the United States absent registration or an applicable exemption from registration requirements.</w:t>
      </w:r>
    </w:p>
    <w:p>
      <w:pPr>
        <w:spacing w:after="0" w:line="162"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any shares of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Common Stock. Initially, a maximum of 11,803,575 shares of Common Stock may be issued upon conversion of the Notes based on the initial maximum conversion rate of 15.7381 shares of Common Stock per $1,000 principal amount of Notes, which is subject to customary anti-dilution adjustment provisions.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On June 30, 2025, the Company issued a press release announcing the proposed Offering. A copy of the press release is attached hereto as Exhibit 99.1 and incorporated herein by reference.</w:t>
      </w:r>
    </w:p>
    <w:p>
      <w:pPr>
        <w:spacing w:after="0" w:line="162"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On June 30, 2025, the Company issued a press release announcing the pricing of the Notes. A copy of the press release is attached hereto as Exhibit 99.2 and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180" w:firstLine="440"/>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Securities Exchange Act of 1934, as amended, including statements regarding, the Offering and the Company’s expectations regarding the use of net proceeds from the Offering. These forward-looking statements are based on the Company’s current assumptions, expectations and beliefs and are subject to substantial risks, uncertainties, assumptions and changes in circumstances that may cause the Company’s plans to differ materially from those expressed or implied in any forward-looking statement. These risks include, but are not limited to, market risks, trends and conditions, and those risks described in the Company’s filings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from time to time, particularly under the captions “Risk Factors”</w:t>
      </w:r>
    </w:p>
    <w:p>
      <w:pPr>
        <w:sectPr>
          <w:pgSz w:w="11900" w:h="16838" w:orient="portrait"/>
          <w:cols w:equalWidth="0" w:num="1">
            <w:col w:w="10984"/>
          </w:cols>
          <w:pgMar w:left="436" w:top="293" w:right="479" w:bottom="1440" w:gutter="0" w:footer="0" w:header="0"/>
        </w:sectPr>
      </w:pPr>
    </w:p>
    <w:bookmarkStart w:id="5" w:name="page6"/>
    <w:bookmarkEnd w:id="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and “Management’s Discussion and Analysis of Financial Condition and Results of Operations,” including the Company’s Annual Report on Form 10-K for the year ended December 31, 2024 and the Quarterly Report on Form 10-Q for the quarter ended March 31, 2025. Copies of these documents may be obtained by visiting the SEC’s website at www.sec.gov. These forward-looking statements represent the Company’s estimates and assumptions only as of the date of this Current Report on Form 8-K. The Company assumes no obligation to update such forward-looking statements to reflect events that occur or circumstances that exist after the date on which they were made, except as required by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Indenture, dated as of July 3, 2025, by and between Tempus AI, Inc. and U.S. Bank Trust Company, National Association, as Trustee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Form of Global Note, representing Tempus AI, Inc.’s 0.75% Convertible Senior Notes due 2030 (included as Exhibit A to the Indenture</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7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filed as Exhibit 4.1)</w:t>
            </w:r>
          </w:p>
        </w:tc>
        <w:tc>
          <w:tcPr>
            <w:tcW w:w="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Form of Confirmation for Capped Call Transactions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Fourth Amendment to Credit Agreement, by and among Tempus AI, Inc, the loan party signatories and lender party thereto, and Ares</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6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Capital Corporation as administrative agent, dated June 30, 2025.</w:t>
            </w:r>
          </w:p>
        </w:tc>
        <w:tc>
          <w:tcPr>
            <w:tcW w:w="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Press release entitled “Tempus AI, Inc. Announces Proposed Convertible Senior Notes Offering to Optimize Capital Structure and Reduce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8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 Expense,” dated June 30, 2025</w:t>
            </w:r>
          </w:p>
        </w:tc>
        <w:tc>
          <w:tcPr>
            <w:tcW w:w="7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Press release entitled “Tempus Announces Pricing of Upsized Offering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650 Million of Convertible Senior Notes,” dated June 30, 2025</w:t>
            </w:r>
          </w:p>
        </w:tc>
        <w:tc>
          <w:tcPr>
            <w:tcW w:w="0" w:type="dxa"/>
            <w:vAlign w:val="bottom"/>
          </w:tcPr>
          <w:p>
            <w:pPr>
              <w:spacing w:after="0"/>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 2025</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00"/>
          </w:cols>
          <w:pgMar w:left="440" w:top="293"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251460</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TEMPUS AI,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July 3, 2025</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0.75% Convertible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4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AGE</w:t>
            </w:r>
          </w:p>
        </w:tc>
        <w:tc>
          <w:tcPr>
            <w:tcW w:w="0" w:type="dxa"/>
            <w:vAlign w:val="bottom"/>
          </w:tcPr>
          <w:p>
            <w:pPr>
              <w:spacing w:after="0"/>
              <w:rPr>
                <w:sz w:val="1"/>
                <w:szCs w:val="1"/>
                <w:color w:val="auto"/>
              </w:rPr>
            </w:pPr>
          </w:p>
        </w:tc>
      </w:tr>
      <w:tr>
        <w:trPr>
          <w:trHeight w:val="498"/>
        </w:trPr>
        <w:tc>
          <w:tcPr>
            <w:tcW w:w="4340" w:type="dxa"/>
            <w:vAlign w:val="bottom"/>
          </w:tcPr>
          <w:p>
            <w:pPr>
              <w:spacing w:after="0"/>
              <w:rPr>
                <w:sz w:val="24"/>
                <w:szCs w:val="24"/>
                <w:color w:val="auto"/>
              </w:rPr>
            </w:pPr>
          </w:p>
        </w:tc>
        <w:tc>
          <w:tcPr>
            <w:tcW w:w="6200" w:type="dxa"/>
            <w:vAlign w:val="bottom"/>
            <w:gridSpan w:val="2"/>
            <w:vMerge w:val="restart"/>
          </w:tcPr>
          <w:p>
            <w:pPr>
              <w:jc w:val="center"/>
              <w:ind w:right="4680"/>
              <w:spacing w:after="0"/>
              <w:rPr>
                <w:sz w:val="20"/>
                <w:szCs w:val="20"/>
                <w:color w:val="auto"/>
              </w:rPr>
            </w:pPr>
            <w:r>
              <w:rPr>
                <w:rFonts w:ascii="Times New Roman" w:cs="Times New Roman" w:eastAsia="Times New Roman" w:hAnsi="Times New Roman"/>
                <w:sz w:val="18"/>
                <w:szCs w:val="18"/>
                <w:color w:val="auto"/>
                <w:w w:val="98"/>
              </w:rPr>
              <w:t>ARTICLE 1</w:t>
            </w:r>
          </w:p>
        </w:tc>
        <w:tc>
          <w:tcPr>
            <w:tcW w:w="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340" w:type="dxa"/>
            <w:vAlign w:val="bottom"/>
          </w:tcPr>
          <w:p>
            <w:pPr>
              <w:spacing w:after="0"/>
              <w:rPr>
                <w:sz w:val="15"/>
                <w:szCs w:val="15"/>
                <w:color w:val="auto"/>
              </w:rPr>
            </w:pPr>
          </w:p>
        </w:tc>
        <w:tc>
          <w:tcPr>
            <w:tcW w:w="62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6200" w:type="dxa"/>
            <w:vAlign w:val="bottom"/>
            <w:gridSpan w:val="2"/>
          </w:tcPr>
          <w:p>
            <w:pPr>
              <w:jc w:val="center"/>
              <w:ind w:right="468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 Definitions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 References to 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6200" w:type="dxa"/>
            <w:vAlign w:val="bottom"/>
            <w:gridSpan w:val="2"/>
          </w:tcPr>
          <w:p>
            <w:pPr>
              <w:jc w:val="center"/>
              <w:ind w:right="4680"/>
              <w:spacing w:after="0"/>
              <w:rPr>
                <w:sz w:val="20"/>
                <w:szCs w:val="20"/>
                <w:color w:val="auto"/>
              </w:rPr>
            </w:pPr>
            <w:r>
              <w:rPr>
                <w:rFonts w:ascii="Times New Roman" w:cs="Times New Roman" w:eastAsia="Times New Roman" w:hAnsi="Times New Roman"/>
                <w:sz w:val="18"/>
                <w:szCs w:val="18"/>
                <w:color w:val="auto"/>
                <w:w w:val="98"/>
              </w:rPr>
              <w:t>ARTICLE 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5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 Designation and Amount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 Form of Notes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 Date and Denomination of Notes; Payments of Interest and Defaulted Amounts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 Execution, Authentication and Delivery of Notes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 Exchange and Registration of Transfer of Notes; Restrictions on Transfer; Depositary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 Mutilated, Destroyed, Lost or Stolen Notes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 Temporary Notes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 Cancellation of Notes Paid, Converted, Etc.</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 CUSIP Numbers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 Additional Notes; Repurchases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6200" w:type="dxa"/>
            <w:vAlign w:val="bottom"/>
            <w:gridSpan w:val="2"/>
          </w:tcPr>
          <w:p>
            <w:pPr>
              <w:jc w:val="center"/>
              <w:ind w:right="4680"/>
              <w:spacing w:after="0"/>
              <w:rPr>
                <w:sz w:val="20"/>
                <w:szCs w:val="20"/>
                <w:color w:val="auto"/>
              </w:rPr>
            </w:pPr>
            <w:r>
              <w:rPr>
                <w:rFonts w:ascii="Times New Roman" w:cs="Times New Roman" w:eastAsia="Times New Roman" w:hAnsi="Times New Roman"/>
                <w:sz w:val="18"/>
                <w:szCs w:val="18"/>
                <w:color w:val="auto"/>
                <w:w w:val="98"/>
              </w:rPr>
              <w:t>ARTICLE 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5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ISCHARGE</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 Satisfaction and Discharge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6200" w:type="dxa"/>
            <w:vAlign w:val="bottom"/>
            <w:gridSpan w:val="2"/>
          </w:tcPr>
          <w:p>
            <w:pPr>
              <w:jc w:val="center"/>
              <w:ind w:right="4680"/>
              <w:spacing w:after="0"/>
              <w:rPr>
                <w:sz w:val="20"/>
                <w:szCs w:val="20"/>
                <w:color w:val="auto"/>
              </w:rPr>
            </w:pPr>
            <w:r>
              <w:rPr>
                <w:rFonts w:ascii="Times New Roman" w:cs="Times New Roman" w:eastAsia="Times New Roman" w:hAnsi="Times New Roman"/>
                <w:sz w:val="18"/>
                <w:szCs w:val="18"/>
                <w:color w:val="auto"/>
                <w:w w:val="98"/>
              </w:rPr>
              <w:t>ARTICLE 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5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 Payment of Principal and 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 Maintenance of Office or Agency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 Appointments to Fill Vacancies in Trustee’s Office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 Provisions as to Paying Agent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 Existence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 Rule 144A Information Requirement and Annual Reports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 Stay, Extension and Usury Laws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 Compliance Certificate; Statements as to Defaults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6"/>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 Further Instruments and Acts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 w:name="page10"/>
    <w:bookmarkEnd w:id="9"/>
    <w:p>
      <w:pPr>
        <w:jc w:val="center"/>
        <w:ind w:right="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 Lists of 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 Preservation and Disclosure of Lists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9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ARTICLE 6</w:t>
            </w:r>
          </w:p>
        </w:tc>
        <w:tc>
          <w:tcPr>
            <w:tcW w:w="1400" w:type="dxa"/>
            <w:vAlign w:val="bottom"/>
          </w:tcPr>
          <w:p>
            <w:pPr>
              <w:spacing w:after="0"/>
              <w:rPr>
                <w:sz w:val="24"/>
                <w:szCs w:val="24"/>
                <w:color w:val="auto"/>
              </w:rPr>
            </w:pPr>
          </w:p>
        </w:tc>
      </w:tr>
      <w:tr>
        <w:trPr>
          <w:trHeight w:val="234"/>
        </w:trPr>
        <w:tc>
          <w:tcPr>
            <w:tcW w:w="9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EMEDIES</w:t>
            </w:r>
          </w:p>
        </w:tc>
        <w:tc>
          <w:tcPr>
            <w:tcW w:w="1400" w:type="dxa"/>
            <w:vAlign w:val="bottom"/>
          </w:tcPr>
          <w:p>
            <w:pPr>
              <w:spacing w:after="0"/>
              <w:rPr>
                <w:sz w:val="20"/>
                <w:szCs w:val="20"/>
                <w:color w:val="auto"/>
              </w:rPr>
            </w:pPr>
          </w:p>
        </w:tc>
      </w:tr>
      <w:tr>
        <w:trPr>
          <w:trHeight w:val="412"/>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 Events of Default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 Acceleration; Rescission and Annulment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 Additional Interest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 Payments of Notes on Default; Suit Therefor</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 Application of Monies Collected by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 Proceedings by 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 Proceedings by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 Remedies Cumulative and Continuing</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 Direction of Proceedings and Waiver of Defaults by Majority of 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 Notice of Defaults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 Undertaking to Pay Costs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9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ARTICLE 7</w:t>
            </w:r>
          </w:p>
        </w:tc>
        <w:tc>
          <w:tcPr>
            <w:tcW w:w="1400" w:type="dxa"/>
            <w:vAlign w:val="bottom"/>
          </w:tcPr>
          <w:p>
            <w:pPr>
              <w:spacing w:after="0"/>
              <w:rPr>
                <w:sz w:val="24"/>
                <w:szCs w:val="24"/>
                <w:color w:val="auto"/>
              </w:rPr>
            </w:pPr>
          </w:p>
        </w:tc>
      </w:tr>
      <w:tr>
        <w:trPr>
          <w:trHeight w:val="234"/>
        </w:trPr>
        <w:tc>
          <w:tcPr>
            <w:tcW w:w="9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tc>
        <w:tc>
          <w:tcPr>
            <w:tcW w:w="1400" w:type="dxa"/>
            <w:vAlign w:val="bottom"/>
          </w:tcPr>
          <w:p>
            <w:pPr>
              <w:spacing w:after="0"/>
              <w:rPr>
                <w:sz w:val="20"/>
                <w:szCs w:val="20"/>
                <w:color w:val="auto"/>
              </w:rPr>
            </w:pPr>
          </w:p>
        </w:tc>
      </w:tr>
      <w:tr>
        <w:trPr>
          <w:trHeight w:val="412"/>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 Duties and Responsibilities of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 Reliance on Documents, Opinions, Etc.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 No Responsibility for Recitals, Etc.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 Trustee, Paying Agents, Conversion Agents, Bid Solicitation Agent or Note Registrar May Own Notes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 Monies and Shares of Class A Common Stock to Be Held in Trust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 Compensation and Expenses of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 Officer’s Certificate as Evidence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 Eligibility of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 Resignation or Removal of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 Acceptance by Successor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 Succession by Merger, Etc.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 Trustee’s Application for Instructions from the Company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14"/>
        </w:trPr>
        <w:tc>
          <w:tcPr>
            <w:tcW w:w="9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ARTICLE 8</w:t>
            </w:r>
          </w:p>
        </w:tc>
        <w:tc>
          <w:tcPr>
            <w:tcW w:w="1400" w:type="dxa"/>
            <w:vAlign w:val="bottom"/>
          </w:tcPr>
          <w:p>
            <w:pPr>
              <w:spacing w:after="0"/>
              <w:rPr>
                <w:sz w:val="24"/>
                <w:szCs w:val="24"/>
                <w:color w:val="auto"/>
              </w:rPr>
            </w:pPr>
          </w:p>
        </w:tc>
      </w:tr>
      <w:tr>
        <w:trPr>
          <w:trHeight w:val="234"/>
        </w:trPr>
        <w:tc>
          <w:tcPr>
            <w:tcW w:w="9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tc>
        <w:tc>
          <w:tcPr>
            <w:tcW w:w="1400" w:type="dxa"/>
            <w:vAlign w:val="bottom"/>
          </w:tcPr>
          <w:p>
            <w:pPr>
              <w:spacing w:after="0"/>
              <w:rPr>
                <w:sz w:val="20"/>
                <w:szCs w:val="20"/>
                <w:color w:val="auto"/>
              </w:rPr>
            </w:pPr>
          </w:p>
        </w:tc>
      </w:tr>
      <w:tr>
        <w:trPr>
          <w:trHeight w:val="412"/>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 Action by 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 Proof of Execution by 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 Who Are Deemed Absolute Owners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 Company-Owned Notes Disregarded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 Revocation of Consents; Future Holders Bound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9</w:t>
            </w:r>
          </w:p>
        </w:tc>
        <w:tc>
          <w:tcPr>
            <w:tcW w:w="380" w:type="dxa"/>
            <w:vAlign w:val="bottom"/>
          </w:tcPr>
          <w:p>
            <w:pPr>
              <w:spacing w:after="0"/>
              <w:rPr>
                <w:sz w:val="18"/>
                <w:szCs w:val="18"/>
                <w:color w:val="auto"/>
              </w:rPr>
            </w:pPr>
          </w:p>
        </w:tc>
      </w:tr>
      <w:tr>
        <w:trPr>
          <w:trHeight w:val="234"/>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EETINGS</w:t>
            </w:r>
          </w:p>
        </w:tc>
        <w:tc>
          <w:tcPr>
            <w:tcW w:w="380" w:type="dxa"/>
            <w:vAlign w:val="bottom"/>
          </w:tcPr>
          <w:p>
            <w:pPr>
              <w:spacing w:after="0"/>
              <w:rPr>
                <w:sz w:val="20"/>
                <w:szCs w:val="20"/>
                <w:color w:val="auto"/>
              </w:rPr>
            </w:pPr>
          </w:p>
        </w:tc>
      </w:tr>
      <w:tr>
        <w:trPr>
          <w:trHeight w:val="412"/>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9.01 . </w:t>
            </w:r>
            <w:r>
              <w:rPr>
                <w:rFonts w:ascii="Times New Roman" w:cs="Times New Roman" w:eastAsia="Times New Roman" w:hAnsi="Times New Roman"/>
                <w:sz w:val="18"/>
                <w:szCs w:val="18"/>
                <w:i w:val="1"/>
                <w:iCs w:val="1"/>
                <w:color w:val="auto"/>
              </w:rPr>
              <w:t>Purpose of Meetings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9.02 . </w:t>
            </w:r>
            <w:r>
              <w:rPr>
                <w:rFonts w:ascii="Times New Roman" w:cs="Times New Roman" w:eastAsia="Times New Roman" w:hAnsi="Times New Roman"/>
                <w:sz w:val="18"/>
                <w:szCs w:val="18"/>
                <w:i w:val="1"/>
                <w:iCs w:val="1"/>
                <w:color w:val="auto"/>
              </w:rPr>
              <w:t>Call of Meetings by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9.03 . </w:t>
            </w:r>
            <w:r>
              <w:rPr>
                <w:rFonts w:ascii="Times New Roman" w:cs="Times New Roman" w:eastAsia="Times New Roman" w:hAnsi="Times New Roman"/>
                <w:sz w:val="18"/>
                <w:szCs w:val="18"/>
                <w:i w:val="1"/>
                <w:iCs w:val="1"/>
                <w:color w:val="auto"/>
              </w:rPr>
              <w:t>Call of Meetings by Company or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9.04 . </w:t>
            </w:r>
            <w:r>
              <w:rPr>
                <w:rFonts w:ascii="Times New Roman" w:cs="Times New Roman" w:eastAsia="Times New Roman" w:hAnsi="Times New Roman"/>
                <w:sz w:val="18"/>
                <w:szCs w:val="18"/>
                <w:i w:val="1"/>
                <w:iCs w:val="1"/>
                <w:color w:val="auto"/>
              </w:rPr>
              <w:t>Qualifications for Voting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9.05 . </w:t>
            </w:r>
            <w:r>
              <w:rPr>
                <w:rFonts w:ascii="Times New Roman" w:cs="Times New Roman" w:eastAsia="Times New Roman" w:hAnsi="Times New Roman"/>
                <w:sz w:val="18"/>
                <w:szCs w:val="18"/>
                <w:i w:val="1"/>
                <w:iCs w:val="1"/>
                <w:color w:val="auto"/>
              </w:rPr>
              <w:t>Regulations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9.06 . </w:t>
            </w:r>
            <w:r>
              <w:rPr>
                <w:rFonts w:ascii="Times New Roman" w:cs="Times New Roman" w:eastAsia="Times New Roman" w:hAnsi="Times New Roman"/>
                <w:sz w:val="18"/>
                <w:szCs w:val="18"/>
                <w:i w:val="1"/>
                <w:iCs w:val="1"/>
                <w:color w:val="auto"/>
              </w:rPr>
              <w:t>Voting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9.07 . </w:t>
            </w:r>
            <w:r>
              <w:rPr>
                <w:rFonts w:ascii="Times New Roman" w:cs="Times New Roman" w:eastAsia="Times New Roman" w:hAnsi="Times New Roman"/>
                <w:sz w:val="18"/>
                <w:szCs w:val="18"/>
                <w:i w:val="1"/>
                <w:iCs w:val="1"/>
                <w:color w:val="auto"/>
              </w:rPr>
              <w:t>No Delay of Rights by Meeting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10</w:t>
            </w:r>
          </w:p>
        </w:tc>
        <w:tc>
          <w:tcPr>
            <w:tcW w:w="380" w:type="dxa"/>
            <w:vAlign w:val="bottom"/>
          </w:tcPr>
          <w:p>
            <w:pPr>
              <w:spacing w:after="0"/>
              <w:rPr>
                <w:sz w:val="24"/>
                <w:szCs w:val="24"/>
                <w:color w:val="auto"/>
              </w:rPr>
            </w:pPr>
          </w:p>
        </w:tc>
      </w:tr>
      <w:tr>
        <w:trPr>
          <w:trHeight w:val="234"/>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NDENTURES</w:t>
            </w:r>
          </w:p>
        </w:tc>
        <w:tc>
          <w:tcPr>
            <w:tcW w:w="380" w:type="dxa"/>
            <w:vAlign w:val="bottom"/>
          </w:tcPr>
          <w:p>
            <w:pPr>
              <w:spacing w:after="0"/>
              <w:rPr>
                <w:sz w:val="20"/>
                <w:szCs w:val="20"/>
                <w:color w:val="auto"/>
              </w:rPr>
            </w:pPr>
          </w:p>
        </w:tc>
      </w:tr>
      <w:tr>
        <w:trPr>
          <w:trHeight w:val="412"/>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10.01 . </w:t>
            </w:r>
            <w:r>
              <w:rPr>
                <w:rFonts w:ascii="Times New Roman" w:cs="Times New Roman" w:eastAsia="Times New Roman" w:hAnsi="Times New Roman"/>
                <w:sz w:val="18"/>
                <w:szCs w:val="18"/>
                <w:i w:val="1"/>
                <w:iCs w:val="1"/>
                <w:color w:val="auto"/>
              </w:rPr>
              <w:t>Supplemental Indentures Without Consent of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10.02 . </w:t>
            </w:r>
            <w:r>
              <w:rPr>
                <w:rFonts w:ascii="Times New Roman" w:cs="Times New Roman" w:eastAsia="Times New Roman" w:hAnsi="Times New Roman"/>
                <w:sz w:val="18"/>
                <w:szCs w:val="18"/>
                <w:i w:val="1"/>
                <w:iCs w:val="1"/>
                <w:color w:val="auto"/>
              </w:rPr>
              <w:t>Supplemental Indentures with Consent of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10.03 . </w:t>
            </w:r>
            <w:r>
              <w:rPr>
                <w:rFonts w:ascii="Times New Roman" w:cs="Times New Roman" w:eastAsia="Times New Roman" w:hAnsi="Times New Roman"/>
                <w:sz w:val="18"/>
                <w:szCs w:val="18"/>
                <w:i w:val="1"/>
                <w:iCs w:val="1"/>
                <w:color w:val="auto"/>
              </w:rPr>
              <w:t>Effect of Supplemental Indentures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10.04 . </w:t>
            </w:r>
            <w:r>
              <w:rPr>
                <w:rFonts w:ascii="Times New Roman" w:cs="Times New Roman" w:eastAsia="Times New Roman" w:hAnsi="Times New Roman"/>
                <w:sz w:val="18"/>
                <w:szCs w:val="18"/>
                <w:i w:val="1"/>
                <w:iCs w:val="1"/>
                <w:color w:val="auto"/>
              </w:rPr>
              <w:t>Notation on Notes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10.05 . </w:t>
            </w:r>
            <w:r>
              <w:rPr>
                <w:rFonts w:ascii="Times New Roman" w:cs="Times New Roman" w:eastAsia="Times New Roman" w:hAnsi="Times New Roman"/>
                <w:sz w:val="18"/>
                <w:szCs w:val="18"/>
                <w:i w:val="1"/>
                <w:iCs w:val="1"/>
                <w:color w:val="auto"/>
              </w:rPr>
              <w:t>Evidence of Compliance of Supplemental Indenture to Be Furnished to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14"/>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11</w:t>
            </w:r>
          </w:p>
        </w:tc>
        <w:tc>
          <w:tcPr>
            <w:tcW w:w="380" w:type="dxa"/>
            <w:vAlign w:val="bottom"/>
          </w:tcPr>
          <w:p>
            <w:pPr>
              <w:spacing w:after="0"/>
              <w:rPr>
                <w:sz w:val="24"/>
                <w:szCs w:val="24"/>
                <w:color w:val="auto"/>
              </w:rPr>
            </w:pPr>
          </w:p>
        </w:tc>
      </w:tr>
      <w:tr>
        <w:trPr>
          <w:trHeight w:val="234"/>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EASE</w:t>
            </w:r>
          </w:p>
        </w:tc>
        <w:tc>
          <w:tcPr>
            <w:tcW w:w="380" w:type="dxa"/>
            <w:vAlign w:val="bottom"/>
          </w:tcPr>
          <w:p>
            <w:pPr>
              <w:spacing w:after="0"/>
              <w:rPr>
                <w:sz w:val="20"/>
                <w:szCs w:val="20"/>
                <w:color w:val="auto"/>
              </w:rPr>
            </w:pPr>
          </w:p>
        </w:tc>
      </w:tr>
      <w:tr>
        <w:trPr>
          <w:trHeight w:val="412"/>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11.01 . </w:t>
            </w:r>
            <w:r>
              <w:rPr>
                <w:rFonts w:ascii="Times New Roman" w:cs="Times New Roman" w:eastAsia="Times New Roman" w:hAnsi="Times New Roman"/>
                <w:sz w:val="18"/>
                <w:szCs w:val="18"/>
                <w:i w:val="1"/>
                <w:iCs w:val="1"/>
                <w:color w:val="auto"/>
              </w:rPr>
              <w:t>Company May Consolidate, Etc. on Certain Terms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11.02 . </w:t>
            </w:r>
            <w:r>
              <w:rPr>
                <w:rFonts w:ascii="Times New Roman" w:cs="Times New Roman" w:eastAsia="Times New Roman" w:hAnsi="Times New Roman"/>
                <w:sz w:val="18"/>
                <w:szCs w:val="18"/>
                <w:i w:val="1"/>
                <w:iCs w:val="1"/>
                <w:color w:val="auto"/>
              </w:rPr>
              <w:t>Successor Entity to Be Substituted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14"/>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12</w:t>
            </w:r>
          </w:p>
        </w:tc>
        <w:tc>
          <w:tcPr>
            <w:tcW w:w="380" w:type="dxa"/>
            <w:vAlign w:val="bottom"/>
          </w:tcPr>
          <w:p>
            <w:pPr>
              <w:spacing w:after="0"/>
              <w:rPr>
                <w:sz w:val="24"/>
                <w:szCs w:val="24"/>
                <w:color w:val="auto"/>
              </w:rPr>
            </w:pPr>
          </w:p>
        </w:tc>
      </w:tr>
      <w:tr>
        <w:trPr>
          <w:trHeight w:val="234"/>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IRECTORS</w:t>
            </w:r>
          </w:p>
        </w:tc>
        <w:tc>
          <w:tcPr>
            <w:tcW w:w="380" w:type="dxa"/>
            <w:vAlign w:val="bottom"/>
          </w:tcPr>
          <w:p>
            <w:pPr>
              <w:spacing w:after="0"/>
              <w:rPr>
                <w:sz w:val="20"/>
                <w:szCs w:val="20"/>
                <w:color w:val="auto"/>
              </w:rPr>
            </w:pPr>
          </w:p>
        </w:tc>
      </w:tr>
      <w:tr>
        <w:trPr>
          <w:trHeight w:val="432"/>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12.01 . </w:t>
            </w:r>
            <w:r>
              <w:rPr>
                <w:rFonts w:ascii="Times New Roman" w:cs="Times New Roman" w:eastAsia="Times New Roman" w:hAnsi="Times New Roman"/>
                <w:sz w:val="18"/>
                <w:szCs w:val="18"/>
                <w:i w:val="1"/>
                <w:iCs w:val="1"/>
                <w:color w:val="auto"/>
              </w:rPr>
              <w:t>Indenture and Notes Solely Corporate Obligations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14"/>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13</w:t>
            </w:r>
          </w:p>
        </w:tc>
        <w:tc>
          <w:tcPr>
            <w:tcW w:w="380" w:type="dxa"/>
            <w:vAlign w:val="bottom"/>
          </w:tcPr>
          <w:p>
            <w:pPr>
              <w:spacing w:after="0"/>
              <w:rPr>
                <w:sz w:val="24"/>
                <w:szCs w:val="24"/>
                <w:color w:val="auto"/>
              </w:rPr>
            </w:pPr>
          </w:p>
        </w:tc>
      </w:tr>
      <w:tr>
        <w:trPr>
          <w:trHeight w:val="234"/>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r>
      <w:tr>
        <w:trPr>
          <w:trHeight w:val="414"/>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14</w:t>
            </w:r>
          </w:p>
        </w:tc>
        <w:tc>
          <w:tcPr>
            <w:tcW w:w="380" w:type="dxa"/>
            <w:vAlign w:val="bottom"/>
          </w:tcPr>
          <w:p>
            <w:pPr>
              <w:spacing w:after="0"/>
              <w:rPr>
                <w:sz w:val="24"/>
                <w:szCs w:val="24"/>
                <w:color w:val="auto"/>
              </w:rPr>
            </w:pPr>
          </w:p>
        </w:tc>
      </w:tr>
      <w:tr>
        <w:trPr>
          <w:trHeight w:val="234"/>
        </w:trPr>
        <w:tc>
          <w:tcPr>
            <w:tcW w:w="10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380" w:type="dxa"/>
            <w:vAlign w:val="bottom"/>
          </w:tcPr>
          <w:p>
            <w:pPr>
              <w:spacing w:after="0"/>
              <w:rPr>
                <w:sz w:val="20"/>
                <w:szCs w:val="20"/>
                <w:color w:val="auto"/>
              </w:rPr>
            </w:pPr>
          </w:p>
        </w:tc>
      </w:tr>
      <w:tr>
        <w:trPr>
          <w:trHeight w:val="412"/>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14.01 . </w:t>
            </w:r>
            <w:r>
              <w:rPr>
                <w:rFonts w:ascii="Times New Roman" w:cs="Times New Roman" w:eastAsia="Times New Roman" w:hAnsi="Times New Roman"/>
                <w:sz w:val="18"/>
                <w:szCs w:val="18"/>
                <w:i w:val="1"/>
                <w:iCs w:val="1"/>
                <w:color w:val="auto"/>
              </w:rPr>
              <w:t>Conversion Privilege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14.02 . </w:t>
            </w:r>
            <w:r>
              <w:rPr>
                <w:rFonts w:ascii="Times New Roman" w:cs="Times New Roman" w:eastAsia="Times New Roman" w:hAnsi="Times New Roman"/>
                <w:sz w:val="18"/>
                <w:szCs w:val="18"/>
                <w:i w:val="1"/>
                <w:iCs w:val="1"/>
                <w:color w:val="auto"/>
              </w:rPr>
              <w:t>Conversion Procedure; Settlement Upon Conversion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 or a</w:t>
            </w:r>
          </w:p>
        </w:tc>
        <w:tc>
          <w:tcPr>
            <w:tcW w:w="380" w:type="dxa"/>
            <w:vAlign w:val="bottom"/>
          </w:tcPr>
          <w:p>
            <w:pPr>
              <w:spacing w:after="0"/>
              <w:rPr>
                <w:sz w:val="18"/>
                <w:szCs w:val="18"/>
                <w:color w:val="auto"/>
              </w:rPr>
            </w:pPr>
          </w:p>
        </w:tc>
      </w:tr>
      <w:tr>
        <w:trPr>
          <w:trHeight w:val="216"/>
        </w:trPr>
        <w:tc>
          <w:tcPr>
            <w:tcW w:w="10580" w:type="dxa"/>
            <w:vAlign w:val="bottom"/>
          </w:tcPr>
          <w:p>
            <w:pPr>
              <w:ind w:left="1080"/>
              <w:spacing w:after="0"/>
              <w:rPr>
                <w:sz w:val="20"/>
                <w:szCs w:val="20"/>
                <w:color w:val="auto"/>
              </w:rPr>
            </w:pPr>
            <w:r>
              <w:rPr>
                <w:rFonts w:ascii="Times New Roman" w:cs="Times New Roman" w:eastAsia="Times New Roman" w:hAnsi="Times New Roman"/>
                <w:sz w:val="18"/>
                <w:szCs w:val="18"/>
                <w:i w:val="1"/>
                <w:iCs w:val="1"/>
                <w:color w:val="auto"/>
              </w:rPr>
              <w:t>Notice of Redemption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14.04 . </w:t>
            </w:r>
            <w:r>
              <w:rPr>
                <w:rFonts w:ascii="Times New Roman" w:cs="Times New Roman" w:eastAsia="Times New Roman" w:hAnsi="Times New Roman"/>
                <w:sz w:val="18"/>
                <w:szCs w:val="18"/>
                <w:i w:val="1"/>
                <w:iCs w:val="1"/>
                <w:color w:val="auto"/>
              </w:rPr>
              <w:t>Adjustment of Conversion Rate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14.05 . </w:t>
            </w:r>
            <w:r>
              <w:rPr>
                <w:rFonts w:ascii="Times New Roman" w:cs="Times New Roman" w:eastAsia="Times New Roman" w:hAnsi="Times New Roman"/>
                <w:sz w:val="18"/>
                <w:szCs w:val="18"/>
                <w:i w:val="1"/>
                <w:iCs w:val="1"/>
                <w:color w:val="auto"/>
              </w:rPr>
              <w:t>Adjustments of Prices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14.06 . </w:t>
            </w:r>
            <w:r>
              <w:rPr>
                <w:rFonts w:ascii="Times New Roman" w:cs="Times New Roman" w:eastAsia="Times New Roman" w:hAnsi="Times New Roman"/>
                <w:sz w:val="18"/>
                <w:szCs w:val="18"/>
                <w:i w:val="1"/>
                <w:iCs w:val="1"/>
                <w:color w:val="auto"/>
              </w:rPr>
              <w:t>Shares to Be Fully Paid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14.07 . </w:t>
            </w:r>
            <w:r>
              <w:rPr>
                <w:rFonts w:ascii="Times New Roman" w:cs="Times New Roman" w:eastAsia="Times New Roman" w:hAnsi="Times New Roman"/>
                <w:sz w:val="18"/>
                <w:szCs w:val="18"/>
                <w:i w:val="1"/>
                <w:iCs w:val="1"/>
                <w:color w:val="auto"/>
              </w:rPr>
              <w:t>Effect of Recapitalizations, Reclassifications and Changes of the Class A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14.08 . </w:t>
            </w:r>
            <w:r>
              <w:rPr>
                <w:rFonts w:ascii="Times New Roman" w:cs="Times New Roman" w:eastAsia="Times New Roman" w:hAnsi="Times New Roman"/>
                <w:sz w:val="18"/>
                <w:szCs w:val="18"/>
                <w:i w:val="1"/>
                <w:iCs w:val="1"/>
                <w:color w:val="auto"/>
              </w:rPr>
              <w:t>Certain Covenants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14.09 . </w:t>
            </w:r>
            <w:r>
              <w:rPr>
                <w:rFonts w:ascii="Times New Roman" w:cs="Times New Roman" w:eastAsia="Times New Roman" w:hAnsi="Times New Roman"/>
                <w:sz w:val="18"/>
                <w:szCs w:val="18"/>
                <w:i w:val="1"/>
                <w:iCs w:val="1"/>
                <w:color w:val="auto"/>
              </w:rPr>
              <w:t>Responsibility of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14.10 . </w:t>
            </w:r>
            <w:r>
              <w:rPr>
                <w:rFonts w:ascii="Times New Roman" w:cs="Times New Roman" w:eastAsia="Times New Roman" w:hAnsi="Times New Roman"/>
                <w:sz w:val="18"/>
                <w:szCs w:val="18"/>
                <w:i w:val="1"/>
                <w:iCs w:val="1"/>
                <w:color w:val="auto"/>
              </w:rPr>
              <w:t>[Intentionally Omitted]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14.11 . </w:t>
            </w:r>
            <w:r>
              <w:rPr>
                <w:rFonts w:ascii="Times New Roman" w:cs="Times New Roman" w:eastAsia="Times New Roman" w:hAnsi="Times New Roman"/>
                <w:sz w:val="18"/>
                <w:szCs w:val="18"/>
                <w:i w:val="1"/>
                <w:iCs w:val="1"/>
                <w:color w:val="auto"/>
              </w:rPr>
              <w:t>Stockholder Rights Plans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14.12 . </w:t>
            </w:r>
            <w:r>
              <w:rPr>
                <w:rFonts w:ascii="Times New Roman" w:cs="Times New Roman" w:eastAsia="Times New Roman" w:hAnsi="Times New Roman"/>
                <w:sz w:val="18"/>
                <w:szCs w:val="18"/>
                <w:i w:val="1"/>
                <w:iCs w:val="1"/>
                <w:color w:val="auto"/>
              </w:rPr>
              <w:t>Exchange in Lieu of Conversion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414"/>
        </w:trPr>
        <w:tc>
          <w:tcPr>
            <w:tcW w:w="95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ARTICLE 15</w:t>
            </w:r>
          </w:p>
        </w:tc>
        <w:tc>
          <w:tcPr>
            <w:tcW w:w="1440" w:type="dxa"/>
            <w:vAlign w:val="bottom"/>
          </w:tcPr>
          <w:p>
            <w:pPr>
              <w:spacing w:after="0"/>
              <w:rPr>
                <w:sz w:val="24"/>
                <w:szCs w:val="24"/>
                <w:color w:val="auto"/>
              </w:rPr>
            </w:pPr>
          </w:p>
        </w:tc>
      </w:tr>
      <w:tr>
        <w:trPr>
          <w:trHeight w:val="234"/>
        </w:trPr>
        <w:tc>
          <w:tcPr>
            <w:tcW w:w="95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tc>
        <w:tc>
          <w:tcPr>
            <w:tcW w:w="1440" w:type="dxa"/>
            <w:vAlign w:val="bottom"/>
          </w:tcPr>
          <w:p>
            <w:pPr>
              <w:spacing w:after="0"/>
              <w:rPr>
                <w:sz w:val="20"/>
                <w:szCs w:val="20"/>
                <w:color w:val="auto"/>
              </w:rPr>
            </w:pPr>
          </w:p>
        </w:tc>
      </w:tr>
      <w:tr>
        <w:trPr>
          <w:trHeight w:val="412"/>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15.01 . </w:t>
            </w:r>
            <w:r>
              <w:rPr>
                <w:rFonts w:ascii="Times New Roman" w:cs="Times New Roman" w:eastAsia="Times New Roman" w:hAnsi="Times New Roman"/>
                <w:sz w:val="18"/>
                <w:szCs w:val="18"/>
                <w:i w:val="1"/>
                <w:iCs w:val="1"/>
                <w:color w:val="auto"/>
              </w:rPr>
              <w:t>[Intentionally Omitted]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15.02 . </w:t>
            </w:r>
            <w:r>
              <w:rPr>
                <w:rFonts w:ascii="Times New Roman" w:cs="Times New Roman" w:eastAsia="Times New Roman" w:hAnsi="Times New Roman"/>
                <w:sz w:val="18"/>
                <w:szCs w:val="18"/>
                <w:i w:val="1"/>
                <w:iCs w:val="1"/>
                <w:color w:val="auto"/>
              </w:rPr>
              <w:t>Repurchase at Option of Holders Upon a Fundamental Change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15.03 . </w:t>
            </w:r>
            <w:r>
              <w:rPr>
                <w:rFonts w:ascii="Times New Roman" w:cs="Times New Roman" w:eastAsia="Times New Roman" w:hAnsi="Times New Roman"/>
                <w:sz w:val="18"/>
                <w:szCs w:val="18"/>
                <w:i w:val="1"/>
                <w:iCs w:val="1"/>
                <w:color w:val="auto"/>
              </w:rPr>
              <w:t>Withdrawal of Fundamental Change Repurchase Notice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15.04 . </w:t>
            </w:r>
            <w:r>
              <w:rPr>
                <w:rFonts w:ascii="Times New Roman" w:cs="Times New Roman" w:eastAsia="Times New Roman" w:hAnsi="Times New Roman"/>
                <w:sz w:val="18"/>
                <w:szCs w:val="18"/>
                <w:i w:val="1"/>
                <w:iCs w:val="1"/>
                <w:color w:val="auto"/>
              </w:rPr>
              <w:t>Deposit of Fundamental Change Repurchase Price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15.05 . </w:t>
            </w:r>
            <w:r>
              <w:rPr>
                <w:rFonts w:ascii="Times New Roman" w:cs="Times New Roman" w:eastAsia="Times New Roman" w:hAnsi="Times New Roman"/>
                <w:sz w:val="18"/>
                <w:szCs w:val="18"/>
                <w:i w:val="1"/>
                <w:iCs w:val="1"/>
                <w:color w:val="auto"/>
              </w:rPr>
              <w:t>Covenant to Comply with Applicable Laws Upon Repurchase of Notes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414"/>
        </w:trPr>
        <w:tc>
          <w:tcPr>
            <w:tcW w:w="95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ARTICLE 16</w:t>
            </w:r>
          </w:p>
        </w:tc>
        <w:tc>
          <w:tcPr>
            <w:tcW w:w="1440" w:type="dxa"/>
            <w:vAlign w:val="bottom"/>
          </w:tcPr>
          <w:p>
            <w:pPr>
              <w:spacing w:after="0"/>
              <w:rPr>
                <w:sz w:val="24"/>
                <w:szCs w:val="24"/>
                <w:color w:val="auto"/>
              </w:rPr>
            </w:pPr>
          </w:p>
        </w:tc>
      </w:tr>
      <w:tr>
        <w:trPr>
          <w:trHeight w:val="234"/>
        </w:trPr>
        <w:tc>
          <w:tcPr>
            <w:tcW w:w="95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EDEMPTION</w:t>
            </w:r>
          </w:p>
        </w:tc>
        <w:tc>
          <w:tcPr>
            <w:tcW w:w="1440" w:type="dxa"/>
            <w:vAlign w:val="bottom"/>
          </w:tcPr>
          <w:p>
            <w:pPr>
              <w:spacing w:after="0"/>
              <w:rPr>
                <w:sz w:val="20"/>
                <w:szCs w:val="20"/>
                <w:color w:val="auto"/>
              </w:rPr>
            </w:pPr>
          </w:p>
        </w:tc>
      </w:tr>
      <w:tr>
        <w:trPr>
          <w:trHeight w:val="412"/>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16.01 . </w:t>
            </w:r>
            <w:r>
              <w:rPr>
                <w:rFonts w:ascii="Times New Roman" w:cs="Times New Roman" w:eastAsia="Times New Roman" w:hAnsi="Times New Roman"/>
                <w:sz w:val="18"/>
                <w:szCs w:val="18"/>
                <w:i w:val="1"/>
                <w:iCs w:val="1"/>
                <w:color w:val="auto"/>
              </w:rPr>
              <w:t>Optional Redemption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16.02 . </w:t>
            </w:r>
            <w:r>
              <w:rPr>
                <w:rFonts w:ascii="Times New Roman" w:cs="Times New Roman" w:eastAsia="Times New Roman" w:hAnsi="Times New Roman"/>
                <w:sz w:val="18"/>
                <w:szCs w:val="18"/>
                <w:i w:val="1"/>
                <w:iCs w:val="1"/>
                <w:color w:val="auto"/>
              </w:rPr>
              <w:t>Notice of Optional Redemption; Selection of Notes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16.03 . </w:t>
            </w:r>
            <w:r>
              <w:rPr>
                <w:rFonts w:ascii="Times New Roman" w:cs="Times New Roman" w:eastAsia="Times New Roman" w:hAnsi="Times New Roman"/>
                <w:sz w:val="18"/>
                <w:szCs w:val="18"/>
                <w:i w:val="1"/>
                <w:iCs w:val="1"/>
                <w:color w:val="auto"/>
              </w:rPr>
              <w:t>Payment of Notes Called for Redemption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16.04 . </w:t>
            </w:r>
            <w:r>
              <w:rPr>
                <w:rFonts w:ascii="Times New Roman" w:cs="Times New Roman" w:eastAsia="Times New Roman" w:hAnsi="Times New Roman"/>
                <w:sz w:val="18"/>
                <w:szCs w:val="18"/>
                <w:i w:val="1"/>
                <w:iCs w:val="1"/>
                <w:color w:val="auto"/>
              </w:rPr>
              <w:t>Restrictions on Redemption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14"/>
        </w:trPr>
        <w:tc>
          <w:tcPr>
            <w:tcW w:w="95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ARTICLE 17</w:t>
            </w:r>
          </w:p>
        </w:tc>
        <w:tc>
          <w:tcPr>
            <w:tcW w:w="1440" w:type="dxa"/>
            <w:vAlign w:val="bottom"/>
          </w:tcPr>
          <w:p>
            <w:pPr>
              <w:spacing w:after="0"/>
              <w:rPr>
                <w:sz w:val="24"/>
                <w:szCs w:val="24"/>
                <w:color w:val="auto"/>
              </w:rPr>
            </w:pPr>
          </w:p>
        </w:tc>
      </w:tr>
      <w:tr>
        <w:trPr>
          <w:trHeight w:val="234"/>
        </w:trPr>
        <w:tc>
          <w:tcPr>
            <w:tcW w:w="95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tc>
        <w:tc>
          <w:tcPr>
            <w:tcW w:w="1440" w:type="dxa"/>
            <w:vAlign w:val="bottom"/>
          </w:tcPr>
          <w:p>
            <w:pPr>
              <w:spacing w:after="0"/>
              <w:rPr>
                <w:sz w:val="20"/>
                <w:szCs w:val="20"/>
                <w:color w:val="auto"/>
              </w:rPr>
            </w:pPr>
          </w:p>
        </w:tc>
      </w:tr>
      <w:tr>
        <w:trPr>
          <w:trHeight w:val="412"/>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17.01 . </w:t>
            </w:r>
            <w:r>
              <w:rPr>
                <w:rFonts w:ascii="Times New Roman" w:cs="Times New Roman" w:eastAsia="Times New Roman" w:hAnsi="Times New Roman"/>
                <w:sz w:val="18"/>
                <w:szCs w:val="18"/>
                <w:i w:val="1"/>
                <w:iCs w:val="1"/>
                <w:color w:val="auto"/>
              </w:rPr>
              <w:t>Provisions Binding on Company’s Successors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17.02 . </w:t>
            </w:r>
            <w:r>
              <w:rPr>
                <w:rFonts w:ascii="Times New Roman" w:cs="Times New Roman" w:eastAsia="Times New Roman" w:hAnsi="Times New Roman"/>
                <w:sz w:val="18"/>
                <w:szCs w:val="18"/>
                <w:i w:val="1"/>
                <w:iCs w:val="1"/>
                <w:color w:val="auto"/>
              </w:rPr>
              <w:t>Official Acts by Successor Entity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17.03 . </w:t>
            </w:r>
            <w:r>
              <w:rPr>
                <w:rFonts w:ascii="Times New Roman" w:cs="Times New Roman" w:eastAsia="Times New Roman" w:hAnsi="Times New Roman"/>
                <w:sz w:val="18"/>
                <w:szCs w:val="18"/>
                <w:i w:val="1"/>
                <w:iCs w:val="1"/>
                <w:color w:val="auto"/>
              </w:rPr>
              <w:t>Addresses for Notices, Etc</w:t>
            </w: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17.04 . </w:t>
            </w:r>
            <w:r>
              <w:rPr>
                <w:rFonts w:ascii="Times New Roman" w:cs="Times New Roman" w:eastAsia="Times New Roman" w:hAnsi="Times New Roman"/>
                <w:sz w:val="18"/>
                <w:szCs w:val="18"/>
                <w:i w:val="1"/>
                <w:iCs w:val="1"/>
                <w:color w:val="auto"/>
              </w:rPr>
              <w:t>Governing Law; Jurisdiction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17.05 . </w:t>
            </w:r>
            <w:r>
              <w:rPr>
                <w:rFonts w:ascii="Times New Roman" w:cs="Times New Roman" w:eastAsia="Times New Roman" w:hAnsi="Times New Roman"/>
                <w:sz w:val="18"/>
                <w:szCs w:val="18"/>
                <w:i w:val="1"/>
                <w:iCs w:val="1"/>
                <w:color w:val="auto"/>
              </w:rPr>
              <w:t>Evidence of Compliance with Conditions Precedent; Certificates and Opinions of Counsel to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17.06 . </w:t>
            </w:r>
            <w:r>
              <w:rPr>
                <w:rFonts w:ascii="Times New Roman" w:cs="Times New Roman" w:eastAsia="Times New Roman" w:hAnsi="Times New Roman"/>
                <w:sz w:val="18"/>
                <w:szCs w:val="18"/>
                <w:i w:val="1"/>
                <w:iCs w:val="1"/>
                <w:color w:val="auto"/>
              </w:rPr>
              <w:t>Legal Holidays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17.07 . </w:t>
            </w:r>
            <w:r>
              <w:rPr>
                <w:rFonts w:ascii="Times New Roman" w:cs="Times New Roman" w:eastAsia="Times New Roman" w:hAnsi="Times New Roman"/>
                <w:sz w:val="18"/>
                <w:szCs w:val="18"/>
                <w:i w:val="1"/>
                <w:iCs w:val="1"/>
                <w:color w:val="auto"/>
              </w:rPr>
              <w:t>No Security Interest Created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17.08 . </w:t>
            </w:r>
            <w:r>
              <w:rPr>
                <w:rFonts w:ascii="Times New Roman" w:cs="Times New Roman" w:eastAsia="Times New Roman" w:hAnsi="Times New Roman"/>
                <w:sz w:val="18"/>
                <w:szCs w:val="18"/>
                <w:i w:val="1"/>
                <w:iCs w:val="1"/>
                <w:color w:val="auto"/>
              </w:rPr>
              <w:t>Benefits of Indenture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17.09 .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17.10 . </w:t>
            </w:r>
            <w:r>
              <w:rPr>
                <w:rFonts w:ascii="Times New Roman" w:cs="Times New Roman" w:eastAsia="Times New Roman" w:hAnsi="Times New Roman"/>
                <w:sz w:val="18"/>
                <w:szCs w:val="18"/>
                <w:i w:val="1"/>
                <w:iCs w:val="1"/>
                <w:color w:val="auto"/>
              </w:rPr>
              <w:t>Authenticating Agent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17.11 . </w:t>
            </w:r>
            <w:r>
              <w:rPr>
                <w:rFonts w:ascii="Times New Roman" w:cs="Times New Roman" w:eastAsia="Times New Roman" w:hAnsi="Times New Roman"/>
                <w:sz w:val="18"/>
                <w:szCs w:val="18"/>
                <w:i w:val="1"/>
                <w:iCs w:val="1"/>
                <w:color w:val="auto"/>
              </w:rPr>
              <w:t>Execution in Counterparts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17.12 . </w:t>
            </w:r>
            <w:r>
              <w:rPr>
                <w:rFonts w:ascii="Times New Roman" w:cs="Times New Roman" w:eastAsia="Times New Roman" w:hAnsi="Times New Roman"/>
                <w:sz w:val="18"/>
                <w:szCs w:val="18"/>
                <w:i w:val="1"/>
                <w:iCs w:val="1"/>
                <w:color w:val="auto"/>
              </w:rPr>
              <w:t>Severability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17.13 . </w:t>
            </w:r>
            <w:r>
              <w:rPr>
                <w:rFonts w:ascii="Times New Roman" w:cs="Times New Roman" w:eastAsia="Times New Roman" w:hAnsi="Times New Roman"/>
                <w:sz w:val="18"/>
                <w:szCs w:val="18"/>
                <w:i w:val="1"/>
                <w:iCs w:val="1"/>
                <w:color w:val="auto"/>
              </w:rPr>
              <w:t>Waiver of Jury Trial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17.14 . </w:t>
            </w:r>
            <w:r>
              <w:rPr>
                <w:rFonts w:ascii="Times New Roman" w:cs="Times New Roman" w:eastAsia="Times New Roman" w:hAnsi="Times New Roman"/>
                <w:sz w:val="18"/>
                <w:szCs w:val="18"/>
                <w:i w:val="1"/>
                <w:iCs w:val="1"/>
                <w:color w:val="auto"/>
              </w:rPr>
              <w:t>Force Majeure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17.15 . </w:t>
            </w:r>
            <w:r>
              <w:rPr>
                <w:rFonts w:ascii="Times New Roman" w:cs="Times New Roman" w:eastAsia="Times New Roman" w:hAnsi="Times New Roman"/>
                <w:sz w:val="18"/>
                <w:szCs w:val="18"/>
                <w:i w:val="1"/>
                <w:iCs w:val="1"/>
                <w:color w:val="auto"/>
              </w:rPr>
              <w:t>Calculations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 USA PATRIOT Act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17.17 </w:t>
            </w:r>
            <w:r>
              <w:rPr>
                <w:rFonts w:ascii="Times New Roman" w:cs="Times New Roman" w:eastAsia="Times New Roman" w:hAnsi="Times New Roman"/>
                <w:sz w:val="18"/>
                <w:szCs w:val="18"/>
                <w:i w:val="1"/>
                <w:iCs w:val="1"/>
                <w:color w:val="auto"/>
              </w:rPr>
              <w:t>. Electronic Signatures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32"/>
        </w:trPr>
        <w:tc>
          <w:tcPr>
            <w:tcW w:w="9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40" w:type="dxa"/>
            <w:vAlign w:val="bottom"/>
          </w:tcPr>
          <w:p>
            <w:pPr>
              <w:spacing w:after="0"/>
              <w:rPr>
                <w:sz w:val="24"/>
                <w:szCs w:val="24"/>
                <w:color w:val="auto"/>
              </w:rPr>
            </w:pPr>
          </w:p>
        </w:tc>
      </w:tr>
      <w:tr>
        <w:trPr>
          <w:trHeight w:val="432"/>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Exhibit A       Form of Note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65"/>
        </w:trPr>
        <w:tc>
          <w:tcPr>
            <w:tcW w:w="952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iv</w:t>
            </w:r>
          </w:p>
        </w:tc>
        <w:tc>
          <w:tcPr>
            <w:tcW w:w="1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July 3, 2025 between TEMPUS AI, INC.,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and U.S. BANK TRUST COMPANY, NATIONAL ASSOCIATION, a national 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0.75%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an aggregate principal amount not to exceed $750,000,000, and in order to provide the terms and conditions upon which the Notes are to be authenticated, issued and delivered, the Company has duly authorized the execution and delivery of this Indenture; and</w:t>
      </w:r>
    </w:p>
    <w:p>
      <w:pPr>
        <w:spacing w:after="0" w:line="176" w:lineRule="exact"/>
        <w:rPr>
          <w:sz w:val="20"/>
          <w:szCs w:val="20"/>
          <w:color w:val="auto"/>
        </w:rPr>
      </w:pPr>
    </w:p>
    <w:p>
      <w:pPr>
        <w:jc w:val="both"/>
        <w:ind w:right="660" w:firstLine="440"/>
        <w:spacing w:after="0" w:line="266"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p>
      <w:pPr>
        <w:spacing w:after="0" w:line="205" w:lineRule="exact"/>
        <w:rPr>
          <w:sz w:val="20"/>
          <w:szCs w:val="20"/>
          <w:color w:val="auto"/>
        </w:rPr>
      </w:pPr>
    </w:p>
    <w:p>
      <w:pPr>
        <w:jc w:val="both"/>
        <w:ind w:right="220" w:firstLine="440"/>
        <w:spacing w:after="0" w:line="261"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Definitions.</w:t>
      </w:r>
      <w:r>
        <w:rPr>
          <w:rFonts w:ascii="Times New Roman" w:cs="Times New Roman" w:eastAsia="Times New Roman" w:hAnsi="Times New Roman"/>
          <w:sz w:val="18"/>
          <w:szCs w:val="18"/>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 shall have the meaning specified in Section 14.04(k).</w:t>
      </w:r>
    </w:p>
    <w:p>
      <w:pPr>
        <w:sectPr>
          <w:pgSz w:w="11900" w:h="16838" w:orient="portrait"/>
          <w:cols w:equalWidth="0" w:num="1">
            <w:col w:w="11000"/>
          </w:cols>
          <w:pgMar w:left="440" w:top="266" w:right="45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means all amounts, if any, payable pursuant to Section 4.06(d), Section 4.06(e) and Section 6.03,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another Person for purposes of this Indenture shall be made based on the facts at the time such determination is made or required to be made, as the case may be, hereunder.</w:t>
      </w:r>
    </w:p>
    <w:p>
      <w:pPr>
        <w:spacing w:after="0" w:line="182"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Company or the Person appointed by the Company to solicit bids for the Trading Price of the Notes in accordance with Section 14.01(b)(i). The Company shall initially act as the Bid Solicitation Agent.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for it hereunder.</w:t>
      </w:r>
    </w:p>
    <w:p>
      <w:pPr>
        <w:spacing w:after="0" w:line="225" w:lineRule="exact"/>
        <w:rPr>
          <w:sz w:val="20"/>
          <w:szCs w:val="20"/>
          <w:color w:val="auto"/>
        </w:rPr>
      </w:pPr>
    </w:p>
    <w:p>
      <w:pPr>
        <w:jc w:val="both"/>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shall have the meaning specified in Section 11.01.</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Called Notes</w:t>
      </w:r>
      <w:r>
        <w:rPr>
          <w:rFonts w:ascii="Times New Roman" w:cs="Times New Roman" w:eastAsia="Times New Roman" w:hAnsi="Times New Roman"/>
          <w:sz w:val="18"/>
          <w:szCs w:val="18"/>
          <w:color w:val="auto"/>
        </w:rPr>
        <w:t>” means Notes called for Optional Redemption pursuant to Article 16 or subject to a Deemed Redemption.</w:t>
      </w:r>
    </w:p>
    <w:p>
      <w:pPr>
        <w:spacing w:after="0" w:line="22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Class A common stock of the Company, par value $0.0001 per share, at the date of this Indenture, subject to Section 14.07.</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 successors and assigns.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any of its Officers and delivered to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shall have the meaning specified in Section 14.01(b)(iii).</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this Indenture shall be administered, which office at the date hereof is located at U.S. Bank Trust Company, National Association, 633 West 5th Street, 24th Floor, Los Angeles, CA 90071, Attention: B. Scarbrough (Tempus AI, Inc. Administrator), or such other address in the continental United States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5" w:name="page16"/>
    <w:bookmarkEnd w:id="15"/>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The Depository Trust Company, with respect to the Global Notes, or any successor entity thereto.</w:t>
      </w:r>
    </w:p>
    <w:p>
      <w:pPr>
        <w:spacing w:after="0" w:line="155" w:lineRule="exact"/>
        <w:rPr>
          <w:sz w:val="20"/>
          <w:szCs w:val="20"/>
          <w:color w:val="auto"/>
        </w:rPr>
      </w:pPr>
    </w:p>
    <w:p>
      <w:pPr>
        <w:ind w:right="100" w:firstLine="440"/>
        <w:spacing w:after="0" w:line="21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20 consecutive Trading Days during the relevant Observation Period, one-twentieth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the product of (a) the Conversion Rate on such Trading Day and (b) the Daily VWAP for such Trading Day.</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xml:space="preserve">” means the Specified Dollar Amount (if any),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20 consecutive Trading Days during the relevant Observation Period, shall consist of:</w:t>
      </w:r>
    </w:p>
    <w:p>
      <w:pPr>
        <w:spacing w:after="0" w:line="121" w:lineRule="exact"/>
        <w:rPr>
          <w:sz w:val="20"/>
          <w:szCs w:val="20"/>
          <w:color w:val="auto"/>
        </w:rPr>
      </w:pPr>
    </w:p>
    <w:p>
      <w:pPr>
        <w:ind w:left="1100" w:hanging="241"/>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lesser of (i) the Daily Measurement Value and (ii) the Daily Conversion Value on such Trading Day; and</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Daily Conversion Value on such Trading Day exceeds the Daily Measurement Value, a number of shares of Class A Common Stock equal to (i) the difference between the Daily Conversion Value on such Trading Day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Daily VWAP for such Trading Day.</w:t>
      </w:r>
    </w:p>
    <w:p>
      <w:pPr>
        <w:spacing w:after="0" w:line="17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20 consecutive Trading Days during the relevant Observation Period, the per share volume-weighted average price as displayed under the heading “Bloomberg VWAP” on Bloomberg page “TEM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Class A Common Stock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shall have the meaning specified in Section 14.01(b)(v).</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means, initially, Combination Settlement with a Specified Dollar Amount per $1,000 principal amount of Notes of $1,000, subject to Section 14.02(a).</w:t>
      </w:r>
    </w:p>
    <w:p>
      <w:pPr>
        <w:spacing w:after="0" w:line="155"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the Fundamental Change Repurchase Price, principal and interest) that are payable but are not punctually paid or duly provided for.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6" w:name="page17"/>
    <w:bookmarkEnd w:id="16"/>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De-Legending Deadline Date</w:t>
      </w:r>
      <w:r>
        <w:rPr>
          <w:rFonts w:ascii="Times New Roman" w:cs="Times New Roman" w:eastAsia="Times New Roman" w:hAnsi="Times New Roman"/>
          <w:sz w:val="18"/>
          <w:szCs w:val="18"/>
          <w:color w:val="auto"/>
        </w:rPr>
        <w:t xml:space="preserve">” means, with respect to any Notes issued pursuant to the Purchase Agreement (or any Notes issued in exchange therefor or in substitution thereof) or any additional Notes issued pursuant to Section 2.10 (or any Notes issued in exchange therefor or in substitution thereof), the 380th day after the last date of original issuance of such Notes or additional Notes,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380th day is after a Regular Record Date and on or before the next Interest Payment Date, then the “De-Legending Deadline Date” for such Notes will instead be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immediately after such Interest Payment Date.</w:t>
      </w:r>
    </w:p>
    <w:p>
      <w:pPr>
        <w:spacing w:after="0" w:line="47"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such successor.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14.04 and Section 14.05,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shares of the Class A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Class A Common Stock under a separate ticker symbol or CUSIP number will not be considered “regular way” for this purpose.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Class A Common Stock trade on the applicable exchange or in the applicable market, regular way, without the right to receive the issuance, dividend or distribution in question, from the Company or, if applicable, from the seller of Class A Common Stock on such exchange or market (in the form of due bills or otherwise) as determined by such exchange or market. For the avoidance of doubt, any alternative trading convention on the applicable exchange or market in respect of shares of the Class A Common Stock under a separate ticker symbol or CUSIP number will not be considered “regular way” for this purpose.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shall have the meaning specified in Section 15.02(f).</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means the “Form of Assignment and Transfer” attached as Attachment 3 to the Form of Note attached hereto as Exhibit A.</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7" w:name="page18"/>
    <w:bookmarkEnd w:id="17"/>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Form of Fundamental Change Repurchase Notice</w:t>
      </w:r>
      <w:r>
        <w:rPr>
          <w:rFonts w:ascii="Times New Roman" w:cs="Times New Roman" w:eastAsia="Times New Roman" w:hAnsi="Times New Roman"/>
          <w:sz w:val="18"/>
          <w:szCs w:val="18"/>
          <w:color w:val="auto"/>
        </w:rPr>
        <w:t>” means the “Form of Fundamental Change Repurchase Notice” attached as Attachment 2 to the Form of Note attached hereto as Exhibit 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means the “Form of Note” attached hereto as Exhibit A.</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means the “Form of Notice of Conversion” attached as Attachment 1 to the Form of Note attached hereto as Exhibit 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121" w:lineRule="exact"/>
        <w:rPr>
          <w:sz w:val="20"/>
          <w:szCs w:val="20"/>
          <w:color w:val="auto"/>
        </w:rPr>
      </w:pPr>
    </w:p>
    <w:p>
      <w:pPr>
        <w:ind w:left="440" w:firstLine="419"/>
        <w:spacing w:after="0" w:line="253"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connection with transactions described in clause (b) below, a “person” or “group” within the meaning of Section 13(d) of the Exchange Act, other than the Company, its direct or indirect Wholly Owned Subsidiaries and any employee benefit plans of the Company or its Wholly Owned Subsidiaries, has become and files a Schedule TO (or any successor schedule, form or report) or any schedule, form or report under the Exchange Act that discloses that such person or group has become the direct or indirect “beneficial owner,” as defined in Rule 13d-3 under the Exchange Act, of shares of the Class A Common Stock representing more than 50% of the voting power of the Class A Common Stock,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86"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any recapitalization, reclassification or change of the Class A Common Stock (other than a change to par value, or from par value to no par value, or changes resulting from a subdivision or combination) as a result of which the Class A Common Stock would be converted into, or exchanged for, stock, other securities, other property or assets; (B) any share exchange, consolidation or merger of the Company pursuant to which the Class A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8" w:name="page19"/>
    <w:bookmarkEnd w:id="18"/>
    <w:p>
      <w:pPr>
        <w:ind w:left="1104" w:hanging="241"/>
        <w:spacing w:after="0"/>
        <w:tabs>
          <w:tab w:leader="none" w:pos="11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stockholders of the Company approve any plan or proposal for the liquidation or dissolution of the Company; or</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Common Stock (or other common stock underlying the Notes) ceases to be listed or quoted on any of The New York Stock Exchange, the Nasdaq Global Select Market or the Nasdaq Global Market (or any of their respective successors);</w:t>
      </w:r>
    </w:p>
    <w:p>
      <w:pPr>
        <w:spacing w:after="0" w:line="160"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transactions described in clause (b) above shall not constitute a Fundamental Change, if at least 90%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received or to be received by the Class A common stockholders of the Company, excluding cash payments for fractional shares and cash 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 (subject to the provisions of Section 14.02(a)). If any transaction in which the Class A Common Stock is replaced by the common stock or other Common Equity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sent</w:t>
      </w:r>
      <w:r>
        <w:rPr>
          <w:rFonts w:ascii="Times New Roman" w:cs="Times New Roman" w:eastAsia="Times New Roman" w:hAnsi="Times New Roman"/>
          <w:sz w:val="18"/>
          <w:szCs w:val="18"/>
          <w:color w:val="auto"/>
        </w:rPr>
        <w:t>” with respect to any notice to be given to a Holder pursuant to this Indenture, shall mean notice</w:t>
      </w:r>
    </w:p>
    <w:p>
      <w:pPr>
        <w:spacing w:after="0" w:line="31" w:lineRule="exact"/>
        <w:rPr>
          <w:sz w:val="20"/>
          <w:szCs w:val="20"/>
          <w:color w:val="auto"/>
        </w:rPr>
      </w:pPr>
    </w:p>
    <w:p>
      <w:pPr>
        <w:ind w:left="4" w:right="160" w:hanging="4"/>
        <w:spacing w:after="0" w:line="253"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means any Person in whose name at the time a particular Note is registered on the Note Register.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the several initial purchasers named in Schedule I to the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each January 15 and July 15 of each year, beginning on January 15,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Irrevocable Election</w:t>
      </w:r>
      <w:r>
        <w:rPr>
          <w:rFonts w:ascii="Times New Roman" w:cs="Times New Roman" w:eastAsia="Times New Roman" w:hAnsi="Times New Roman"/>
          <w:sz w:val="18"/>
          <w:szCs w:val="18"/>
          <w:color w:val="auto"/>
        </w:rPr>
        <w:t>” shall have the meaning specified in Section 14.02(a)(iii).</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date of original issuance</w:t>
      </w:r>
      <w:r>
        <w:rPr>
          <w:rFonts w:ascii="Times New Roman" w:cs="Times New Roman" w:eastAsia="Times New Roman" w:hAnsi="Times New Roman"/>
          <w:sz w:val="18"/>
          <w:szCs w:val="18"/>
          <w:color w:val="auto"/>
        </w:rPr>
        <w:t>” means (a) with respect to any Notes issued pursuant to the Purchase Agreement, and any Notes issued in exchange therefor or in substitution thereof, the date the Company first issues such Notes; and (b) with respect to any additional Notes issued pursuant to Section 2.10,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8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Class A Common Stock (or any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Class A Common Stock (or such other security) is traded. If the Class A Common Stock (or such other security) is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Class A Common Stock (or such other security) in the over-the-counter market on the relevant date as reported by OTC Markets Group Inc. or a similar organization. If the Class A Common Stock (or such other security) is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Class A Common Stock (or such other security) on the relevant date from each of at least three nationally recognized independent investment banking firms selected by the Company for this purpose.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determined without regard to after-hours trading or any other trading outside of regular trading session hours.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0" w:name="page21"/>
    <w:bookmarkEnd w:id="20"/>
    <w:p>
      <w:pPr>
        <w:ind w:right="120" w:firstLine="44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Make-Whole Fundamental Change</w:t>
      </w:r>
      <w:r>
        <w:rPr>
          <w:rFonts w:ascii="Times New Roman" w:cs="Times New Roman" w:eastAsia="Times New Roman" w:hAnsi="Times New Roman"/>
          <w:sz w:val="17"/>
          <w:szCs w:val="17"/>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7"/>
          <w:szCs w:val="17"/>
          <w:i w:val="1"/>
          <w:iCs w:val="1"/>
          <w:color w:val="auto"/>
        </w:rPr>
        <w:t>proviso</w:t>
      </w:r>
      <w:r>
        <w:rPr>
          <w:rFonts w:ascii="Times New Roman" w:cs="Times New Roman" w:eastAsia="Times New Roman" w:hAnsi="Times New Roman"/>
          <w:sz w:val="17"/>
          <w:szCs w:val="17"/>
          <w:color w:val="auto"/>
        </w:rPr>
        <w:t xml:space="preserve"> in clause (b) of the definition thereof).</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the primary U.S. national or regional securities exchange or market on which the Class A Common Stock is listed or admitted for trading to open for trading during its regular trading session or (b) the occurrence or existence prior to 1:00 p.m., New York City time, on any Scheduled Trading Day for the Class A Common Stock for more than one half-hour period in the aggregate during regular trading hours of any suspension or limitation imposed on trading (by reason of movements in price exceeding limits permitted by the relevant stock exchange or otherwise) in the Class A Common Stock or in any options contracts or futures contracts relating to the Class A Common Stock.</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July 15, 2030.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Redemption</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with respect to any Note surrendered for conversion means: (i) subject to clause (ii), if the relevant Conversion Date occurs prior to April 15, 2030, the 20 consecutive Trading Day period beginning on, and including, the second Trading Day immediately succeeding such Conversion Date; (ii) with respect to any Called Notes, if the relevant Conversion Date occurs during the related Redemption Period, the 20 consecutive Trading Days beginning on, and including, the 21st Scheduled Trading Day immediately preceding such Redemption Date; and (iii) subject to clause (ii), if the relevant Conversion Date occurs on or after April 15, 2030, the 20 consecutive Trading Days beginning on, and including, the 21st Scheduled Trading Day immediately preceding the Maturity Date.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21" w:name="page22"/>
    <w:bookmarkEnd w:id="21"/>
    <w:p>
      <w:pPr>
        <w:jc w:val="both"/>
        <w:ind w:right="1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June 30, 2025, as supplemented by the related pricing term sheet dated June 30, 2025, relating to the offering and sale of the Notes.</w:t>
      </w:r>
    </w:p>
    <w:p>
      <w:pPr>
        <w:spacing w:after="0" w:line="15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Chief Executive Officer, the Chief Financial Officer, the General Counsel, the Treasurer, the Secretary, the Assistant Secretary, any Executive or Senior Vice President or any Vice President (whether or not designated by a number or numbers or word or words added before or after the title “Vice President”).</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shall have the meaning specified in Section 16.01.</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51" w:lineRule="exact"/>
        <w:rPr>
          <w:sz w:val="20"/>
          <w:szCs w:val="20"/>
          <w:color w:val="auto"/>
        </w:rPr>
      </w:pPr>
    </w:p>
    <w:p>
      <w:pPr>
        <w:ind w:left="1100" w:hanging="241"/>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have been paid pursuant to the second paragraph of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22" w:name="page23"/>
    <w:bookmarkEnd w:id="22"/>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converted pursuant to Article 14 and required to be cancelled pursuant to Section 2.08;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redeemed pursuant to Article 16.</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 shall have the meaning specified in Section 16.02(d).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denominations of $1,000 principal amount and integral multiples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right="40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Predecessor Note</w:t>
      </w:r>
      <w:r>
        <w:rPr>
          <w:rFonts w:ascii="Times New Roman" w:cs="Times New Roman" w:eastAsia="Times New Roman" w:hAnsi="Times New Roman"/>
          <w:sz w:val="17"/>
          <w:szCs w:val="17"/>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5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June 30, 2025, among the Company and Morgan Stanley &amp; Co. LLC and J.P. Morgan Securities LLC, as representatives of the several Initial Purchasers.</w:t>
      </w:r>
    </w:p>
    <w:p>
      <w:pPr>
        <w:spacing w:after="0" w:line="15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Successor Entity</w:t>
      </w:r>
      <w:r>
        <w:rPr>
          <w:rFonts w:ascii="Times New Roman" w:cs="Times New Roman" w:eastAsia="Times New Roman" w:hAnsi="Times New Roman"/>
          <w:sz w:val="18"/>
          <w:szCs w:val="18"/>
          <w:color w:val="auto"/>
        </w:rPr>
        <w:t xml:space="preserve">” means, with respect to a Business Combination Event, a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if such Business Combination Event is an Exempted Fundamental Change, then a limited liability company, limited partnership or other similar entity shall also constitute a Qualified Successor Entity with respect to such Business Combination Event; and (ii) a limited liability company or limited partnership that is the resulting, surviving or transferee person of such Business Combination Event shall also constitute a Qualified Successor Entity with respect to such Business Combination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(1) if such limited liability company or limited partnership is not treated as a corporation or an entity disregarded as separate from a corporation, in each case for U.S. federal income tax purposes, (x) the Company has received an opinion of a nationally recognized tax counsel to the effect that such Business Combination Event shall not be treated as an exchange under Section 1001 of the U.S. Internal Revenue Code of 1986, as amended, for Holders or beneficial owners of the Notes and (y) such limited liability company or limited partnership is a direct or indirect Wholly Owned Subsidiary of a corporation duly organized and existing under the laws of the United States of America, any state thereof or the District of Columbia; (2) such Business Combination Event constitutes a Share Exchange Event whose Reference Property consists solely of any combination of U.S. dollars and shares of common stock or other corporate Common Equity interests of a corporation described in clause (1)(y); and (3) if such limited liability company or limited partnership is disregarded as separate from its owner for U.S. federal income tax purposes, its regarded owner for those purposes is an entity described in clause (1)(y).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3" w:name="page24"/>
    <w:bookmarkEnd w:id="23"/>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Class A Common Stock (or other applicable security) have the right to receive any cash, securities or other property or in which the Class A Common Stock (or such other security) is exchanged for or converted into any combination of cash, securities or other property, the date fixed for determination of holders of the Class A Common Stock (or such other security) entitled to receive such cash, securities or other property (whether such date is fixed by the Board of Directors, by statute, by contract or otherwise).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Period</w:t>
      </w:r>
      <w:r>
        <w:rPr>
          <w:rFonts w:ascii="Times New Roman" w:cs="Times New Roman" w:eastAsia="Times New Roman" w:hAnsi="Times New Roman"/>
          <w:sz w:val="18"/>
          <w:szCs w:val="18"/>
          <w:color w:val="auto"/>
        </w:rPr>
        <w:t>” means, with respect to any Optional Redemption, the period from, and including, the date on which the Company delivers a Notice of Redemption for such Optional Redemption until the close of business on the second Scheduled Trading Day immediately preceding the related Redemption Date (or, if the Company defaults in the payment of the Redemption Price, until the close of business on the Scheduled Trading Day immediately preceding the date on which the Redemption Price has been paid or duly provided for).</w:t>
      </w:r>
    </w:p>
    <w:p>
      <w:pPr>
        <w:spacing w:after="0" w:line="176" w:lineRule="exact"/>
        <w:rPr>
          <w:sz w:val="20"/>
          <w:szCs w:val="20"/>
          <w:color w:val="auto"/>
        </w:rPr>
      </w:pPr>
    </w:p>
    <w:p>
      <w:pPr>
        <w:jc w:val="both"/>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for any Notes to be redeemed pursuant to Section 16.01,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by the Company to Holders of record of such Notes as of the close of business on such Regular Record Date on, or at the Company’s election, before, such Interest Payment Date, and the Redemption Price will be equal to 100% of the principal amount of such Notes).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with respect to any Interest Payment Date, means the January 1 or July 1 (whether or not such day is a Business Day) immediately preceding the applicable January 15 or July 15 Interest Payment Date, respectively.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have the meaning specified in Section 6.03.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24" w:name="page25"/>
    <w:bookmarkEnd w:id="2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5" w:lineRule="exact"/>
        <w:rPr>
          <w:sz w:val="20"/>
          <w:szCs w:val="20"/>
          <w:color w:val="auto"/>
        </w:rPr>
      </w:pPr>
    </w:p>
    <w:p>
      <w:pPr>
        <w:ind w:left="4"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Class A Common Stock is listed or admitted for trading. If the Class A Common Stock is not so listed or admitted for trading, “</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has the meaning specified in Section 14.02(a)(iv).</w:t>
      </w:r>
    </w:p>
    <w:p>
      <w:pPr>
        <w:spacing w:after="0" w:line="225" w:lineRule="exact"/>
        <w:rPr>
          <w:sz w:val="20"/>
          <w:szCs w:val="20"/>
          <w:color w:val="auto"/>
        </w:rPr>
      </w:pPr>
    </w:p>
    <w:p>
      <w:pPr>
        <w:ind w:left="4"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with respect to any conversion of Notes, Physical Settlement, Cash Settlement or Combination Settlement, as elected (or deemed to have been elected) by the Company.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has the meaning specified in Section 14.02(a)(iii).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4" w:right="2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Significant Subsidiary</w:t>
      </w:r>
      <w:r>
        <w:rPr>
          <w:rFonts w:ascii="Times New Roman" w:cs="Times New Roman" w:eastAsia="Times New Roman" w:hAnsi="Times New Roman"/>
          <w:sz w:val="17"/>
          <w:szCs w:val="17"/>
          <w:color w:val="auto"/>
        </w:rPr>
        <w:t xml:space="preserve">” means a Subsidiary of the Company that is a “significant subsidiary” as defined in Article 1, Rule 1-02(w)(1) of Regulation S-X promulgated by the Commission (or any successor rule);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 Subsidiary that meets the criteria of clause (1)</w:t>
      </w:r>
    </w:p>
    <w:p>
      <w:pPr>
        <w:spacing w:after="0" w:line="1" w:lineRule="exact"/>
        <w:rPr>
          <w:sz w:val="20"/>
          <w:szCs w:val="20"/>
          <w:color w:val="auto"/>
        </w:rPr>
      </w:pPr>
    </w:p>
    <w:p>
      <w:pPr>
        <w:ind w:left="4" w:hanging="4"/>
        <w:spacing w:after="0" w:line="252" w:lineRule="auto"/>
        <w:tabs>
          <w:tab w:leader="none" w:pos="3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thereof but not clause (1)(i) or (1)(ii) thereof, in each case as such rule is in effect on the date hereof, such Subsidiary shall be deemed not to be a Significant Subsidiary unless the Subsidiary’s income from continuing operations before income taxes, exclusive of amounts attributable to any noncontrolling interests for the last completed fiscal year prior to the date of such determination exceeds $50,000,000. For the avoidance of doubt, to the extent any such Subsidiary would not be deemed to be a “significant subsidiary” under the relevant definition set forth in Article 1, Rule 1-02(w) of Regulation S-X (or any successor rule) as in effect on the relevant date of determination, such Subsidiary shall not be deemed to be a Significant Subsidiary under this Indenture irrespective of whether such Subsidiary has greater than $50,000,000 in income from continuing operations as described in the immediately preceding sentence.</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66" w:right="499" w:bottom="1440" w:gutter="0" w:footer="0" w:header="0"/>
        </w:sectPr>
      </w:pPr>
    </w:p>
    <w:bookmarkStart w:id="25" w:name="page26"/>
    <w:bookmarkEnd w:id="25"/>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the maximum cash amount per $1,000 principal amount of Notes to be received upon conversion as specified in the Settlement Notice (or deemed specified as provided in Section 14.02(a)(iii)) related to any converted Notes.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shall have the meaning specified in Section 11.01(a).</w:t>
      </w:r>
    </w:p>
    <w:p>
      <w:pPr>
        <w:spacing w:after="0" w:line="225" w:lineRule="exact"/>
        <w:rPr>
          <w:sz w:val="20"/>
          <w:szCs w:val="20"/>
          <w:color w:val="auto"/>
        </w:rPr>
      </w:pPr>
    </w:p>
    <w:p>
      <w:pPr>
        <w:ind w:left="4" w:right="10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except for determining amounts due upon conversion, a day on which (i) trading in the Class A Common Stock (or other security for which a closing sale price must be determined) generally occurs on the Nasdaq Global Select Market or, if the Class A Common Stock (or such other security) is not then listed on the Nasdaq Global Select Market, on the principal other U.S. national or regional securities exchange on which the Class A Common Stock (or such other security) is then listed or, if the Class A Common Stock (or such other security) is not then listed on a U.S. national or regional securities exchange, on the principal other market on which the Class A Common Stock (or such other security) is then traded and</w:t>
      </w:r>
    </w:p>
    <w:p>
      <w:pPr>
        <w:spacing w:after="0" w:line="3" w:lineRule="exact"/>
        <w:rPr>
          <w:sz w:val="20"/>
          <w:szCs w:val="20"/>
          <w:color w:val="auto"/>
        </w:rPr>
      </w:pPr>
    </w:p>
    <w:p>
      <w:pPr>
        <w:ind w:left="4" w:right="40" w:hanging="4"/>
        <w:spacing w:after="0" w:line="251"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Last Reported Sale Price for the Class A Common Stock (or closing sale price for such other security) is available on such securities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Class A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 and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for purposes of determining amounts due upon conversion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Disruption Event and (y) trading in the Class A Common Stock generally occurs on the Nasdaq Global Select Market or, if the Class A Common Stock is not then listed on the Nasdaq Global Select Market, on the principal other U.S. national or regional securities exchange on which the Class A Common Stock is then listed or, if the Class A Common Stock is not then listed on a U.S. national or regional securities exchange, on the principal other market on which the Class A Common Stock is then listed or admitted for trading, except that if the Class A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90"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date of determination means the average of the secondary market bid quotations obtained by the Bid Solicitation Agent for $5,000,000 principal amount of Notes at approximately 3:30 p.m., New York City time, on such determination date from three independent nationally recognized securities dealers the Company selects for this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three such bids cannot reasonably be obtained by the Bid Solicitation Agent but two such bids are obtained, then the average of the two bids shall be used, and if only</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66" w:right="439" w:bottom="1440" w:gutter="0" w:footer="0" w:header="0"/>
        </w:sectPr>
      </w:pPr>
    </w:p>
    <w:bookmarkStart w:id="26" w:name="page27"/>
    <w:bookmarkEnd w:id="2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such bid can reasonably be obtained by the Bid Solicitation Agent, that one bid shall be used. If, on any determination date, the Bid Solicitation Agent cannot reasonably obtain at least one bid for $5,000,000 principal amount of Notes from a nationally recognized securities dealer, then the Trading Price per $1,000 principal amount of Notes on such determination date shall be deemed to be less than 98% of the product of the Last Reported Sale Price of the Class A Common Stock and the Conversion Rate.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the date hereof, the term “Trust Indenture Act” shall mean,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amendment, the Trust Indenture Act of 1939, as so amended.</w:t>
      </w:r>
    </w:p>
    <w:p>
      <w:pPr>
        <w:spacing w:after="0" w:line="171" w:lineRule="exact"/>
        <w:rPr>
          <w:sz w:val="20"/>
          <w:szCs w:val="20"/>
          <w:color w:val="auto"/>
        </w:rPr>
      </w:pPr>
    </w:p>
    <w:p>
      <w:pPr>
        <w:ind w:right="4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means the Person named as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shall mean or include each Person who is then a Trustee hereunder.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spacing w:after="0" w:line="17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References to Interest.</w:t>
      </w:r>
      <w:r>
        <w:rPr>
          <w:rFonts w:ascii="Times New Roman" w:cs="Times New Roman" w:eastAsia="Times New Roman" w:hAnsi="Times New Roman"/>
          <w:sz w:val="18"/>
          <w:szCs w:val="18"/>
          <w:color w:val="auto"/>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20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Designation and Amount.</w:t>
      </w:r>
      <w:r>
        <w:rPr>
          <w:rFonts w:ascii="Times New Roman" w:cs="Times New Roman" w:eastAsia="Times New Roman" w:hAnsi="Times New Roman"/>
          <w:sz w:val="18"/>
          <w:szCs w:val="18"/>
          <w:color w:val="auto"/>
        </w:rPr>
        <w:t xml:space="preserve"> The Notes shall be designated as the “0.75% Convertible Senior Notes due 2030.” The aggregate principal amount of Notes that may be authenticated and delivered under this Indenture is initially limited to $750,000,000, subject to Section 2.10 and except for Notes authenticated and delivered upon registration or transfer of, or in exchange for, or in lieu of other Notes to the extent expressly permitted hereunder.</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Form of Notes.</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8" w:name="page29"/>
    <w:bookmarkEnd w:id="2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2.03</w:t>
      </w:r>
      <w:r>
        <w:rPr>
          <w:rFonts w:ascii="Times New Roman" w:cs="Times New Roman" w:eastAsia="Times New Roman" w:hAnsi="Times New Roman"/>
          <w:sz w:val="18"/>
          <w:szCs w:val="18"/>
          <w:i w:val="1"/>
          <w:iCs w:val="1"/>
          <w:color w:val="auto"/>
        </w:rPr>
        <w:t>. Date and Denomination of Notes; Payments of Interest and Defaulted Amounts.</w:t>
      </w:r>
      <w:r>
        <w:rPr>
          <w:rFonts w:ascii="Times New Roman" w:cs="Times New Roman" w:eastAsia="Times New Roman" w:hAnsi="Times New Roman"/>
          <w:sz w:val="18"/>
          <w:szCs w:val="18"/>
          <w:color w:val="auto"/>
        </w:rPr>
        <w:t xml:space="preserve"> (a) The Notes shall be issuable in registered form without coupons in minimum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82" w:lineRule="exact"/>
        <w:rPr>
          <w:sz w:val="20"/>
          <w:szCs w:val="20"/>
          <w:color w:val="auto"/>
        </w:rPr>
      </w:pPr>
    </w:p>
    <w:p>
      <w:pPr>
        <w:ind w:firstLine="436"/>
        <w:spacing w:after="0" w:line="253" w:lineRule="auto"/>
        <w:tabs>
          <w:tab w:leader="none" w:pos="6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continental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89" w:lineRule="exact"/>
        <w:rPr>
          <w:rFonts w:ascii="Times New Roman" w:cs="Times New Roman" w:eastAsia="Times New Roman" w:hAnsi="Times New Roman"/>
          <w:sz w:val="18"/>
          <w:szCs w:val="18"/>
          <w:color w:val="auto"/>
        </w:rPr>
      </w:pPr>
    </w:p>
    <w:p>
      <w:pPr>
        <w:ind w:right="20" w:firstLine="436"/>
        <w:spacing w:after="0" w:line="289" w:lineRule="auto"/>
        <w:tabs>
          <w:tab w:leader="none" w:pos="68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49" w:lineRule="exact"/>
        <w:rPr>
          <w:rFonts w:ascii="Times New Roman" w:cs="Times New Roman" w:eastAsia="Times New Roman" w:hAnsi="Times New Roman"/>
          <w:sz w:val="17"/>
          <w:szCs w:val="17"/>
          <w:color w:val="auto"/>
        </w:rPr>
      </w:pPr>
    </w:p>
    <w:p>
      <w:pPr>
        <w:ind w:left="440" w:right="140" w:firstLine="419"/>
        <w:spacing w:after="0" w:line="258" w:lineRule="auto"/>
        <w:tabs>
          <w:tab w:leader="none" w:pos="10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40" w:top="268" w:right="539" w:bottom="1440" w:gutter="0" w:footer="0" w:header="0"/>
        </w:sectPr>
      </w:pPr>
    </w:p>
    <w:bookmarkStart w:id="29" w:name="page30"/>
    <w:bookmarkEnd w:id="29"/>
    <w:p>
      <w:pPr>
        <w:ind w:left="44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84" w:lineRule="exact"/>
        <w:rPr>
          <w:sz w:val="20"/>
          <w:szCs w:val="20"/>
          <w:color w:val="auto"/>
        </w:rPr>
      </w:pPr>
    </w:p>
    <w:p>
      <w:pPr>
        <w:ind w:left="440" w:right="100" w:firstLine="419"/>
        <w:spacing w:after="0" w:line="255" w:lineRule="auto"/>
        <w:tabs>
          <w:tab w:leader="none" w:pos="11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 For the avoidance of doubt, the Company may make payment of any Defaulted Amounts and default interest relating to any amounts due upon conversion of the Notes in a manner other than as provided in Section 2.03(c)(i); provided that such manner would be permitted under the terms of this Indenture if such amounts due upon conversion were not Defaulted Amounts or default interest.</w:t>
      </w:r>
    </w:p>
    <w:p>
      <w:pPr>
        <w:spacing w:after="0" w:line="80"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spacing w:after="0" w:line="174" w:lineRule="exact"/>
        <w:rPr>
          <w:sz w:val="20"/>
          <w:szCs w:val="20"/>
          <w:color w:val="auto"/>
        </w:rPr>
      </w:pPr>
    </w:p>
    <w:p>
      <w:pPr>
        <w:ind w:right="520" w:firstLine="440"/>
        <w:spacing w:after="0" w:line="284"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Execution, Authentication and Delivery of Notes.</w:t>
      </w:r>
      <w:r>
        <w:rPr>
          <w:rFonts w:ascii="Times New Roman" w:cs="Times New Roman" w:eastAsia="Times New Roman" w:hAnsi="Times New Roman"/>
          <w:sz w:val="18"/>
          <w:szCs w:val="18"/>
          <w:color w:val="auto"/>
        </w:rPr>
        <w:t xml:space="preserve"> The Notes shall be signed in the name and on behalf of the Company by the manual, facsimile or electronic signature of its Chief Executive Officer, Chief Financial Officer, General Counsel, Treasurer or Secretary.</w:t>
      </w:r>
    </w:p>
    <w:p>
      <w:pPr>
        <w:spacing w:after="0" w:line="16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17.05, the Trustee shall receive an Officer’s Certificate and an Opinion of Counsel of the Company with respect to the issuance, authentication and delivery of such Notes.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0" w:name="page31"/>
    <w:bookmarkEnd w:id="30"/>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3"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Exchange and Registration of Transfer of Notes; Restrictions on Transfer; Depositary.</w:t>
      </w:r>
    </w:p>
    <w:p>
      <w:pPr>
        <w:spacing w:after="0" w:line="227" w:lineRule="exact"/>
        <w:rPr>
          <w:sz w:val="20"/>
          <w:szCs w:val="20"/>
          <w:color w:val="auto"/>
        </w:rPr>
      </w:pPr>
    </w:p>
    <w:p>
      <w:pPr>
        <w:ind w:firstLine="436"/>
        <w:spacing w:after="0" w:line="277" w:lineRule="auto"/>
        <w:tabs>
          <w:tab w:leader="none" w:pos="68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7"/>
          <w:szCs w:val="17"/>
          <w:b w:val="1"/>
          <w:bCs w:val="1"/>
          <w:color w:val="auto"/>
        </w:rPr>
        <w:t>Note Register</w:t>
      </w:r>
      <w:r>
        <w:rPr>
          <w:rFonts w:ascii="Times New Roman" w:cs="Times New Roman" w:eastAsia="Times New Roman" w:hAnsi="Times New Roman"/>
          <w:sz w:val="17"/>
          <w:szCs w:val="17"/>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7"/>
          <w:szCs w:val="17"/>
          <w:b w:val="1"/>
          <w:bCs w:val="1"/>
          <w:color w:val="auto"/>
        </w:rPr>
        <w:t>Note Registrar</w:t>
      </w:r>
      <w:r>
        <w:rPr>
          <w:rFonts w:ascii="Times New Roman" w:cs="Times New Roman" w:eastAsia="Times New Roman" w:hAnsi="Times New Roman"/>
          <w:sz w:val="17"/>
          <w:szCs w:val="17"/>
          <w:color w:val="auto"/>
        </w:rPr>
        <w:t>” for the purpose of registering Notes and transfers of Notes as herein provided. The Company may appoint one or more co-Note Registrars in accordance with Section 4.02.</w:t>
      </w:r>
    </w:p>
    <w:p>
      <w:pPr>
        <w:spacing w:after="0" w:line="16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1" w:name="page32"/>
    <w:bookmarkEnd w:id="31"/>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7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0" w:lineRule="exact"/>
        <w:rPr>
          <w:sz w:val="20"/>
          <w:szCs w:val="20"/>
          <w:color w:val="auto"/>
        </w:rPr>
      </w:pPr>
    </w:p>
    <w:p>
      <w:pPr>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w:t>
      </w:r>
    </w:p>
    <w:p>
      <w:pPr>
        <w:spacing w:after="0" w:line="1" w:lineRule="exact"/>
        <w:rPr>
          <w:sz w:val="20"/>
          <w:szCs w:val="20"/>
          <w:color w:val="auto"/>
        </w:rPr>
      </w:pPr>
    </w:p>
    <w:p>
      <w:pPr>
        <w:ind w:left="4" w:right="480" w:hanging="4"/>
        <w:spacing w:after="0" w:line="255"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or a portion of any Note, surrendered for required repurchase upon a Fundamental Change (and not withdrawn) in accordance with Article 15 or (iii) any Notes selected for Optional Redemption in accordance with Article 16, except the unredeemed portion of any Note being redeemed in part.</w:t>
      </w:r>
    </w:p>
    <w:p>
      <w:pPr>
        <w:spacing w:after="0" w:line="186"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76" w:lineRule="exact"/>
        <w:rPr>
          <w:sz w:val="20"/>
          <w:szCs w:val="20"/>
          <w:color w:val="auto"/>
        </w:rPr>
      </w:pPr>
    </w:p>
    <w:p>
      <w:pPr>
        <w:ind w:left="4" w:right="40" w:firstLine="436"/>
        <w:spacing w:after="0" w:line="256" w:lineRule="auto"/>
        <w:tabs>
          <w:tab w:leader="none" w:pos="6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of the Depositary therefor.</w:t>
      </w:r>
    </w:p>
    <w:p>
      <w:pPr>
        <w:spacing w:after="0" w:line="187"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that bears or is required under this Section 2.05(c) to bear the Restrictive Notes Legend (together with any Class A Common Stock issued upon conversion of the Notes that is required to bear the legend set forth in Section 2.05(d),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be subject to the restrictions on transfer set forth in this Section 2.05(c) (including the Restrictive Notes Legend set forth below), unless such restrictions on transfer shall be eliminated or otherwise waived by written consent of the Company, and the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32" w:name="page33"/>
    <w:bookmarkEnd w:id="32"/>
    <w:p>
      <w:pPr>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encompasses any sale, pledge, transfer or other disposition whatsoever of any Restricted Security.</w:t>
      </w:r>
    </w:p>
    <w:p>
      <w:pPr>
        <w:spacing w:after="0" w:line="17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Until the date (the “</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Class A Common Stock, if any, issued upon conversion thereof, which shall bear the legend set forth in Section 2.05(d), if applicable) shall bear a legend in substantially the following form (the “</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8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CLASS A COMMON STOCK, IF ANY, ISSUABLE UPON CONVERSION OF THIS SECURITY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480" w:firstLine="419"/>
        <w:spacing w:after="0" w:line="266" w:lineRule="auto"/>
        <w:tabs>
          <w:tab w:leader="none" w:pos="11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3" w:lineRule="exact"/>
        <w:rPr>
          <w:rFonts w:ascii="Times New Roman" w:cs="Times New Roman" w:eastAsia="Times New Roman" w:hAnsi="Times New Roman"/>
          <w:sz w:val="18"/>
          <w:szCs w:val="18"/>
          <w:color w:val="auto"/>
        </w:rPr>
      </w:pPr>
    </w:p>
    <w:p>
      <w:pPr>
        <w:ind w:left="440" w:right="40" w:firstLine="419"/>
        <w:spacing w:after="0" w:line="278" w:lineRule="auto"/>
        <w:tabs>
          <w:tab w:leader="none" w:pos="111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TEMPUS AI,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THAT IT WILL NOT OFFER, SELL, PLEDGE OR OTHERWISE TRANSFER THIS SECURITY OR ANY BENEFICIAL INTEREST HEREIN PRIOR TO THE DATE THAT IS THE LATER OF</w:t>
      </w:r>
    </w:p>
    <w:p>
      <w:pPr>
        <w:spacing w:after="0" w:line="1" w:lineRule="exact"/>
        <w:rPr>
          <w:rFonts w:ascii="Times New Roman" w:cs="Times New Roman" w:eastAsia="Times New Roman" w:hAnsi="Times New Roman"/>
          <w:sz w:val="17"/>
          <w:szCs w:val="17"/>
          <w:color w:val="auto"/>
        </w:rPr>
      </w:pPr>
    </w:p>
    <w:p>
      <w:pPr>
        <w:ind w:left="440" w:right="240" w:hanging="4"/>
        <w:spacing w:after="0" w:line="255" w:lineRule="auto"/>
        <w:tabs>
          <w:tab w:leader="none" w:pos="7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LAST ORIGINAL ISSUE DATE HEREOF OR SUCH SHORTER PERIOD OF TIME AS PERMITTED BY RULE 144 UNDER THE SECURITIES ACT OR ANY SUCCESSOR PROVISION THERETO AND (Y) SUCH LATER DATE, IF ANY, AS MAY BE REQUIRED BY APPLICABLE LAW, EXCEPT:</w:t>
      </w:r>
    </w:p>
    <w:p>
      <w:pPr>
        <w:spacing w:after="0" w:line="7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3" w:name="page34"/>
    <w:bookmarkEnd w:id="33"/>
    <w:p>
      <w:pPr>
        <w:ind w:left="980" w:right="40" w:firstLine="408"/>
        <w:spacing w:after="0" w:line="282" w:lineRule="auto"/>
        <w:tabs>
          <w:tab w:leader="none" w:pos="16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 PERSON IT REASONABLY BELIEVES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6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(IF AVAILABLE) OR ANY OTHER AVAILABLE EXEMPTION FROM THE REGISTRATION REQUIREMENTS OF THE SECURITIES ACT.</w:t>
      </w:r>
    </w:p>
    <w:p>
      <w:pPr>
        <w:spacing w:after="0" w:line="176" w:lineRule="exact"/>
        <w:rPr>
          <w:sz w:val="20"/>
          <w:szCs w:val="20"/>
          <w:color w:val="auto"/>
        </w:rPr>
      </w:pPr>
    </w:p>
    <w:p>
      <w:pPr>
        <w:jc w:val="both"/>
        <w:ind w:right="180" w:firstLine="440"/>
        <w:spacing w:after="0" w:line="277" w:lineRule="auto"/>
        <w:rPr>
          <w:sz w:val="20"/>
          <w:szCs w:val="20"/>
          <w:color w:val="auto"/>
        </w:rPr>
      </w:pPr>
      <w:r>
        <w:rPr>
          <w:rFonts w:ascii="Times New Roman" w:cs="Times New Roman" w:eastAsia="Times New Roman" w:hAnsi="Times New Roman"/>
          <w:sz w:val="17"/>
          <w:szCs w:val="17"/>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8"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In addition, the Company may effect the removal of the Restrictive Notes Legend upon the Company’s delivery to the Trustee of written notice to such effect, whereupon the Restrictive Notes Legend set forth above and affixed on any Note shall be deemed, in accordance with the terms of the certificate representing such Note, to be removed therefrom without further action by the Company, the Trustee, the Holder(s) thereof or any other Person; at such time, such Note shall be deemed to be assigned an unrestricted CUSIP number as provided in the certificate representing such Note, it being understood, including for purposes of Section 4.06(e), that the Depositary of any Global Note may require a mandatory exchange or other process to cause such Global Note to be identified by an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4" w:name="page35"/>
    <w:bookmarkEnd w:id="34"/>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unrestricted CUSIP number in the facilities of such Depositary. The Company shall promptly notify the Trustee in writing upon the occurrence of the Resale Restriction Termination Date and promptly after a registration statement, if any, with respect to the Notes or any Class A Common Stock issued upon conversion of the Notes has become or been declared effective under the Securities Act.</w:t>
      </w:r>
    </w:p>
    <w:p>
      <w:pPr>
        <w:spacing w:after="0" w:line="176"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64"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5" w:name="page36"/>
    <w:bookmarkEnd w:id="35"/>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None of the Company, the Trustee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those interests by the Depositary, or for maintaining, supervising or reviewing any records of the Depositary relating to those interests.</w:t>
      </w:r>
    </w:p>
    <w:p>
      <w:pPr>
        <w:spacing w:after="0" w:line="180" w:lineRule="exact"/>
        <w:rPr>
          <w:sz w:val="20"/>
          <w:szCs w:val="20"/>
          <w:color w:val="auto"/>
        </w:rPr>
      </w:pPr>
    </w:p>
    <w:p>
      <w:pPr>
        <w:ind w:firstLine="436"/>
        <w:spacing w:after="0" w:line="254"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Resale Restriction Termination Date, any stock certificate representing Class A Common Stock issued upon conversion of a Note shall bear a legend in substantially the following form (unless such Class A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Class A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Class A Common Stock):</w:t>
      </w:r>
    </w:p>
    <w:p>
      <w:pPr>
        <w:spacing w:after="0" w:line="188"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67" w:lineRule="exact"/>
        <w:rPr>
          <w:sz w:val="20"/>
          <w:szCs w:val="20"/>
          <w:color w:val="auto"/>
        </w:rPr>
      </w:pPr>
    </w:p>
    <w:p>
      <w:pPr>
        <w:ind w:left="440" w:right="460" w:firstLine="419"/>
        <w:spacing w:after="0" w:line="266" w:lineRule="auto"/>
        <w:tabs>
          <w:tab w:leader="none" w:pos="111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3" w:lineRule="exact"/>
        <w:rPr>
          <w:rFonts w:ascii="Times New Roman" w:cs="Times New Roman" w:eastAsia="Times New Roman" w:hAnsi="Times New Roman"/>
          <w:sz w:val="18"/>
          <w:szCs w:val="18"/>
          <w:color w:val="auto"/>
        </w:rPr>
      </w:pPr>
    </w:p>
    <w:p>
      <w:pPr>
        <w:ind w:left="440" w:right="40" w:firstLine="419"/>
        <w:spacing w:after="0" w:line="278" w:lineRule="auto"/>
        <w:tabs>
          <w:tab w:leader="none" w:pos="111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TEMPUS AI,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THAT IT WILL NOT OFFER, SELL, PLEDGE OR OTHERWISE TRANSFER THIS SECURITY OR ANY BENEFICIAL INTEREST HEREIN PRIOR TO THE DATE THAT IS THE LATER OF</w:t>
      </w:r>
    </w:p>
    <w:p>
      <w:pPr>
        <w:spacing w:after="0" w:line="1" w:lineRule="exact"/>
        <w:rPr>
          <w:rFonts w:ascii="Times New Roman" w:cs="Times New Roman" w:eastAsia="Times New Roman" w:hAnsi="Times New Roman"/>
          <w:sz w:val="17"/>
          <w:szCs w:val="17"/>
          <w:color w:val="auto"/>
        </w:rPr>
      </w:pPr>
    </w:p>
    <w:p>
      <w:pPr>
        <w:ind w:left="740" w:hanging="304"/>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LAST ORIGINAL ISSUE DATE OF THE SERIES OF NOTES UPON THE CONVERSION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6" w:name="page37"/>
    <w:bookmarkEnd w:id="36"/>
    <w:p>
      <w:pPr>
        <w:ind w:left="440"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WHICH THIS SECURITY WAS ISSUED OR SUCH SHORTER PERIOD OF TIME AS PERMITTED BY RULE 144 UNDER THE SECURITIES ACT OR ANY SUCCESSOR PROVISION THERETO AND (Y) SUCH LATER DATE, IF ANY, AS MAY BE REQUIRED BY APPLICABLE LAW, EXCEPT:</w:t>
      </w:r>
    </w:p>
    <w:p>
      <w:pPr>
        <w:spacing w:after="0" w:line="68" w:lineRule="exact"/>
        <w:rPr>
          <w:sz w:val="20"/>
          <w:szCs w:val="20"/>
          <w:color w:val="auto"/>
        </w:rPr>
      </w:pPr>
    </w:p>
    <w:p>
      <w:pPr>
        <w:ind w:left="1680" w:hanging="292"/>
        <w:spacing w:after="0"/>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w:t>
      </w:r>
    </w:p>
    <w:p>
      <w:pPr>
        <w:spacing w:after="0" w:line="99" w:lineRule="exact"/>
        <w:rPr>
          <w:sz w:val="20"/>
          <w:szCs w:val="20"/>
          <w:color w:val="auto"/>
        </w:rPr>
      </w:pPr>
    </w:p>
    <w:p>
      <w:pPr>
        <w:ind w:left="980" w:right="80" w:firstLine="408"/>
        <w:spacing w:after="0" w:line="282" w:lineRule="auto"/>
        <w:tabs>
          <w:tab w:leader="none" w:pos="1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340" w:firstLine="408"/>
        <w:spacing w:after="0" w:line="266" w:lineRule="auto"/>
        <w:tabs>
          <w:tab w:leader="none" w:pos="16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(IF AVAILABLE) UNDER THE SECURITIES ACT OR ANY OTHER AVAILABLE EXEMPTION FROM THE REGISTRATION REQUIREMENTS OF THE SECURITIES ACT.</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TRANSFER AGENT FOR THE COMPANY’S CLASS A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such Class A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Class A Common Stock for exchange in accordance with the procedures of the transfer agent for the Class A Common Stock, be exchanged for a new certificate or certificates for a like aggregate number of shares of Class A Common Stock, which shall not bear the restrictive legend required by this Section 2.05(d).</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7" w:name="page38"/>
    <w:bookmarkEnd w:id="37"/>
    <w:p>
      <w:pPr>
        <w:ind w:firstLine="436"/>
        <w:spacing w:after="0" w:line="258"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Note or restricted Class A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Class A Common Stock, as the case may be, no longer being a “restricted security” (as defined under Rule 144).</w:t>
      </w:r>
    </w:p>
    <w:p>
      <w:pPr>
        <w:spacing w:after="0" w:line="18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Section 2.06</w:t>
      </w:r>
      <w:r>
        <w:rPr>
          <w:rFonts w:ascii="Times New Roman" w:cs="Times New Roman" w:eastAsia="Times New Roman" w:hAnsi="Times New Roman"/>
          <w:sz w:val="18"/>
          <w:szCs w:val="18"/>
          <w:i w:val="1"/>
          <w:iCs w:val="1"/>
          <w:color w:val="auto"/>
        </w:rPr>
        <w:t>. Mutilated, Destroyed, Lost or Stolen Notes.</w:t>
      </w:r>
      <w:r>
        <w:rPr>
          <w:rFonts w:ascii="Times New Roman" w:cs="Times New Roman" w:eastAsia="Times New Roman" w:hAnsi="Times New Roman"/>
          <w:sz w:val="18"/>
          <w:szCs w:val="18"/>
          <w:color w:val="auto"/>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8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8" w:name="page39"/>
    <w:bookmarkEnd w:id="38"/>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2.07</w:t>
      </w:r>
      <w:r>
        <w:rPr>
          <w:rFonts w:ascii="Times New Roman" w:cs="Times New Roman" w:eastAsia="Times New Roman" w:hAnsi="Times New Roman"/>
          <w:sz w:val="18"/>
          <w:szCs w:val="18"/>
          <w:i w:val="1"/>
          <w:iCs w:val="1"/>
          <w:color w:val="auto"/>
        </w:rPr>
        <w:t>. Temporary Notes.</w:t>
      </w:r>
      <w:r>
        <w:rPr>
          <w:rFonts w:ascii="Times New Roman" w:cs="Times New Roman" w:eastAsia="Times New Roman" w:hAnsi="Times New Roman"/>
          <w:sz w:val="18"/>
          <w:szCs w:val="18"/>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9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Section 2.08</w:t>
      </w:r>
      <w:r>
        <w:rPr>
          <w:rFonts w:ascii="Times New Roman" w:cs="Times New Roman" w:eastAsia="Times New Roman" w:hAnsi="Times New Roman"/>
          <w:sz w:val="18"/>
          <w:szCs w:val="18"/>
          <w:i w:val="1"/>
          <w:iCs w:val="1"/>
          <w:color w:val="auto"/>
        </w:rPr>
        <w:t>. Cancellation of Notes Paid, Converted, Etc.</w:t>
      </w:r>
      <w:r>
        <w:rPr>
          <w:rFonts w:ascii="Times New Roman" w:cs="Times New Roman" w:eastAsia="Times New Roman" w:hAnsi="Times New Roman"/>
          <w:sz w:val="18"/>
          <w:szCs w:val="18"/>
          <w:color w:val="auto"/>
        </w:rPr>
        <w:t xml:space="preserve"> The Company shall cause all Notes surrendered for the purpose of payment at maturity, repurchase upon a Fundamental Change, redemption, registration of transfer or exchange or conversion (other than any Notes exchanged pursuant to Section 14.12), if surrendered to the Company or any of its agents or Subsidiaries, to be surrendered to the Trustee for cancellation. All Notes delivered to the Trustee shall be canceled promptly by it in accordance with its customary procedures upon written request by the Company.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evidence of such disposition to the Company, at the Company’s written request in a Company Order.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9" w:name="page40"/>
    <w:bookmarkEnd w:id="39"/>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2.09</w:t>
      </w:r>
      <w:r>
        <w:rPr>
          <w:rFonts w:ascii="Times New Roman" w:cs="Times New Roman" w:eastAsia="Times New Roman" w:hAnsi="Times New Roman"/>
          <w:sz w:val="17"/>
          <w:szCs w:val="17"/>
          <w:i w:val="1"/>
          <w:iCs w:val="1"/>
          <w:color w:val="auto"/>
        </w:rPr>
        <w:t>. CUSIP Numbers.</w:t>
      </w:r>
      <w:r>
        <w:rPr>
          <w:rFonts w:ascii="Times New Roman" w:cs="Times New Roman" w:eastAsia="Times New Roman" w:hAnsi="Times New Roman"/>
          <w:sz w:val="17"/>
          <w:szCs w:val="17"/>
          <w:color w:val="auto"/>
        </w:rPr>
        <w:t xml:space="preserve">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Trustee shall have no liability for any defect in the “CUSIP” numbers as they appear on any Note, notice or elsewhere,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6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Section 2.10</w:t>
      </w:r>
      <w:r>
        <w:rPr>
          <w:rFonts w:ascii="Times New Roman" w:cs="Times New Roman" w:eastAsia="Times New Roman" w:hAnsi="Times New Roman"/>
          <w:sz w:val="18"/>
          <w:szCs w:val="18"/>
          <w:i w:val="1"/>
          <w:iCs w:val="1"/>
          <w:color w:val="auto"/>
        </w:rPr>
        <w:t>. Additional Notes; Repurchases.</w:t>
      </w:r>
      <w:r>
        <w:rPr>
          <w:rFonts w:ascii="Times New Roman" w:cs="Times New Roman" w:eastAsia="Times New Roman" w:hAnsi="Times New Roman"/>
          <w:sz w:val="18"/>
          <w:szCs w:val="18"/>
          <w:color w:val="auto"/>
        </w:rPr>
        <w:t xml:space="preserve"> The Company may, without the consent of, or notice to, the Holders and notwithstanding 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reissued or resold Notes are not fungible with the Notes initially issued hereunder for U.S. federal income tax or securities law purposes, such reissued or resold Notes shall have one or more separate CUSIP numbers. Any Notes that the Company may repurchase shall be considered outstanding for all purposes under this Indenture (other than, at any time when such Notes are owned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8" w:right="459" w:bottom="1440" w:gutter="0" w:footer="0" w:header="0"/>
        </w:sectPr>
      </w:pPr>
    </w:p>
    <w:bookmarkStart w:id="40" w:name="page41"/>
    <w:bookmarkEnd w:id="40"/>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ISCHARGE</w:t>
      </w:r>
    </w:p>
    <w:p>
      <w:pPr>
        <w:spacing w:after="0" w:line="205" w:lineRule="exact"/>
        <w:rPr>
          <w:sz w:val="20"/>
          <w:szCs w:val="20"/>
          <w:color w:val="auto"/>
        </w:rPr>
      </w:pPr>
    </w:p>
    <w:p>
      <w:pPr>
        <w:ind w:left="4" w:right="40" w:firstLine="440"/>
        <w:spacing w:after="0" w:line="271" w:lineRule="auto"/>
        <w:rPr>
          <w:sz w:val="20"/>
          <w:szCs w:val="20"/>
          <w:color w:val="auto"/>
        </w:rPr>
      </w:pPr>
      <w:r>
        <w:rPr>
          <w:rFonts w:ascii="Times New Roman" w:cs="Times New Roman" w:eastAsia="Times New Roman" w:hAnsi="Times New Roman"/>
          <w:sz w:val="17"/>
          <w:szCs w:val="17"/>
          <w:color w:val="auto"/>
        </w:rPr>
        <w:t>Section 3.01</w:t>
      </w:r>
      <w:r>
        <w:rPr>
          <w:rFonts w:ascii="Times New Roman" w:cs="Times New Roman" w:eastAsia="Times New Roman" w:hAnsi="Times New Roman"/>
          <w:sz w:val="17"/>
          <w:szCs w:val="17"/>
          <w:i w:val="1"/>
          <w:iCs w:val="1"/>
          <w:color w:val="auto"/>
        </w:rPr>
        <w:t>. Satisfaction and Discharge.</w:t>
      </w:r>
      <w:r>
        <w:rPr>
          <w:rFonts w:ascii="Times New Roman" w:cs="Times New Roman" w:eastAsia="Times New Roman" w:hAnsi="Times New Roman"/>
          <w:sz w:val="17"/>
          <w:szCs w:val="17"/>
          <w:color w:val="auto"/>
        </w:rPr>
        <w:t xml:space="preserve"> (a) This Indenture and the Notes shall cease to be of further effect when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w:t>
      </w:r>
    </w:p>
    <w:p>
      <w:pPr>
        <w:spacing w:after="0" w:line="1" w:lineRule="exact"/>
        <w:rPr>
          <w:sz w:val="20"/>
          <w:szCs w:val="20"/>
          <w:color w:val="auto"/>
        </w:rPr>
      </w:pPr>
    </w:p>
    <w:p>
      <w:pPr>
        <w:ind w:left="4" w:right="60" w:hanging="4"/>
        <w:spacing w:after="0" w:line="251"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deposited with the Trustee or delivered to Holders, as applicable, after the Notes have become due and payable, whether on the Maturity Date, any Redemption Date, any Fundamental Change Repurchase Date, upon conversion or otherwise, cash or cash and/or shares of Class A Common Stock, solely to satisfy the Company’s Conversion Obligation, sufficient to pay all of the outstanding Notes and all other sums due and payable under this Indenture or the Notes by the Company; and (b) the Trustee upon request of the Company contained in an Officer’s Certificate and at the expense of the Company, shall execute proper instruments acknowledging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or the earlier resignation or removal of the Trustee, the obligations of the Company to the Trustee under Section 7.06 shall survive.</w:t>
      </w: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205" w:lineRule="exact"/>
        <w:rPr>
          <w:sz w:val="20"/>
          <w:szCs w:val="20"/>
          <w:color w:val="auto"/>
        </w:rPr>
      </w:pPr>
    </w:p>
    <w:p>
      <w:pPr>
        <w:ind w:left="4" w:right="120" w:firstLine="440"/>
        <w:spacing w:after="0" w:line="267"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Payment of Principal and Interest.</w:t>
      </w:r>
      <w:r>
        <w:rPr>
          <w:rFonts w:ascii="Times New Roman" w:cs="Times New Roman" w:eastAsia="Times New Roman" w:hAnsi="Times New Roman"/>
          <w:sz w:val="18"/>
          <w:szCs w:val="18"/>
          <w:color w:val="auto"/>
        </w:rPr>
        <w:t xml:space="preserve">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spacing w:after="0" w:line="17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Any applicable withholding taxes (including backup withholding) may be withheld from interest and payments upon conversion, redemption, repurchase or maturity of the Notes, or if any withholding taxes (including backup withholding) are paid on behalf of a Holder or beneficial owner, those withholding taxes may be withheld from or set off against payments of cash or Class A Common Stock, if any, payable on the Notes (or, in some circumstances, any payments on the Class A Common Stock) or sales proceeds received by, or other funds or assets of, the Holder or beneficial owner.</w:t>
      </w:r>
    </w:p>
    <w:p>
      <w:pPr>
        <w:spacing w:after="0" w:line="178" w:lineRule="exact"/>
        <w:rPr>
          <w:sz w:val="20"/>
          <w:szCs w:val="20"/>
          <w:color w:val="auto"/>
        </w:rPr>
      </w:pPr>
    </w:p>
    <w:p>
      <w:pPr>
        <w:ind w:left="4" w:right="20" w:firstLine="440"/>
        <w:spacing w:after="0" w:line="275" w:lineRule="auto"/>
        <w:rPr>
          <w:sz w:val="20"/>
          <w:szCs w:val="20"/>
          <w:color w:val="auto"/>
        </w:rPr>
      </w:pPr>
      <w:r>
        <w:rPr>
          <w:rFonts w:ascii="Times New Roman" w:cs="Times New Roman" w:eastAsia="Times New Roman" w:hAnsi="Times New Roman"/>
          <w:sz w:val="17"/>
          <w:szCs w:val="17"/>
          <w:color w:val="auto"/>
        </w:rPr>
        <w:t>Section 4.02</w:t>
      </w:r>
      <w:r>
        <w:rPr>
          <w:rFonts w:ascii="Times New Roman" w:cs="Times New Roman" w:eastAsia="Times New Roman" w:hAnsi="Times New Roman"/>
          <w:sz w:val="17"/>
          <w:szCs w:val="17"/>
          <w:i w:val="1"/>
          <w:iCs w:val="1"/>
          <w:color w:val="auto"/>
        </w:rPr>
        <w:t>. Maintenance of Office or Agency.</w:t>
      </w:r>
      <w:r>
        <w:rPr>
          <w:rFonts w:ascii="Times New Roman" w:cs="Times New Roman" w:eastAsia="Times New Roman" w:hAnsi="Times New Roman"/>
          <w:sz w:val="17"/>
          <w:szCs w:val="17"/>
          <w:color w:val="auto"/>
        </w:rPr>
        <w:t xml:space="preserve"> The Company will maintain in the continental United States of America an office or agency where the Notes may be surrendered for registration of transfer or exchange or for presentation for payment or repurchase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or for conversion (“</w:t>
      </w:r>
      <w:r>
        <w:rPr>
          <w:rFonts w:ascii="Times New Roman" w:cs="Times New Roman" w:eastAsia="Times New Roman" w:hAnsi="Times New Roman"/>
          <w:sz w:val="17"/>
          <w:szCs w:val="17"/>
          <w:b w:val="1"/>
          <w:bCs w:val="1"/>
          <w:color w:val="auto"/>
        </w:rPr>
        <w:t>Conversion Agent</w:t>
      </w:r>
      <w:r>
        <w:rPr>
          <w:rFonts w:ascii="Times New Roman" w:cs="Times New Roman" w:eastAsia="Times New Roman" w:hAnsi="Times New Roman"/>
          <w:sz w:val="17"/>
          <w:szCs w:val="17"/>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continental United States of America.</w:t>
      </w:r>
    </w:p>
    <w:p>
      <w:pPr>
        <w:spacing w:after="0" w:line="1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70" w:right="439" w:bottom="1440" w:gutter="0" w:footer="0" w:header="0"/>
        </w:sectPr>
      </w:pPr>
    </w:p>
    <w:bookmarkStart w:id="41" w:name="page42"/>
    <w:bookmarkEnd w:id="41"/>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designation or rescission shall in any manner relieve the Company of its obligation to maintain an office or agency in the continental United States of America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Conversion Agent</w:t>
      </w:r>
      <w:r>
        <w:rPr>
          <w:rFonts w:ascii="Times New Roman" w:cs="Times New Roman" w:eastAsia="Times New Roman" w:hAnsi="Times New Roman"/>
          <w:sz w:val="17"/>
          <w:szCs w:val="17"/>
          <w:color w:val="auto"/>
        </w:rPr>
        <w:t>” include any such additional or other offices or agencies, as applicable.</w:t>
      </w:r>
    </w:p>
    <w:p>
      <w:pPr>
        <w:spacing w:after="0" w:line="16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hereby initially designates the Trustee as the Paying Agent, Note Registrar, Custodian and Conversion Agent and the Corporate Trust Office as the office or agency in the continental United States of America where Notes may be surrendered for registration of transfer or exchange or for presentation for payment or repurchase or for conversion and where notices and demands to or upon the Company in respect of the Notes and this Indenture may be served;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Corporate Trust Office shall not be a place for service of legal process for the Company.</w:t>
      </w:r>
    </w:p>
    <w:p>
      <w:pPr>
        <w:spacing w:after="0" w:line="178"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Appointments to Fill Vacancies in Trustee’s Office.</w:t>
      </w:r>
      <w:r>
        <w:rPr>
          <w:rFonts w:ascii="Times New Roman" w:cs="Times New Roman" w:eastAsia="Times New Roman" w:hAnsi="Times New Roman"/>
          <w:sz w:val="18"/>
          <w:szCs w:val="18"/>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Provisions as to Paying Agent.</w:t>
      </w:r>
      <w:r>
        <w:rPr>
          <w:rFonts w:ascii="Times New Roman" w:cs="Times New Roman" w:eastAsia="Times New Roman" w:hAnsi="Times New Roman"/>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67" w:lineRule="exact"/>
        <w:rPr>
          <w:sz w:val="20"/>
          <w:szCs w:val="20"/>
          <w:color w:val="auto"/>
        </w:rPr>
      </w:pPr>
    </w:p>
    <w:p>
      <w:pPr>
        <w:ind w:left="440" w:right="180" w:firstLine="419"/>
        <w:spacing w:after="0" w:line="282" w:lineRule="auto"/>
        <w:tabs>
          <w:tab w:leader="none" w:pos="10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(including the Redemption Price and the Fundamental Change Repurchase Price, if applicable) of, and accrued and unpaid interest on, the Notes in trust for the benefit of the Holders;</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written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in writing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 11:00 a.m., New York City time, on such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2" w:name="page43"/>
    <w:bookmarkEnd w:id="42"/>
    <w:p>
      <w:pPr>
        <w:ind w:right="120" w:firstLine="436"/>
        <w:spacing w:after="0" w:line="256"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187"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3"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escheatment laws, any money and shares of Class A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Class A Common Stock, and all liability of the Company as trustee thereof, shall thereupon cease.</w:t>
      </w:r>
    </w:p>
    <w:p>
      <w:pPr>
        <w:spacing w:after="0" w:line="19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Event of Default pursuant to Section 6.01(h) or (i), the Trustee shall automatically be Paying Agent for the Notes.</w:t>
      </w:r>
    </w:p>
    <w:p>
      <w:pPr>
        <w:spacing w:after="0" w:line="22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 Existence.</w:t>
      </w:r>
      <w:r>
        <w:rPr>
          <w:rFonts w:ascii="Times New Roman" w:cs="Times New Roman" w:eastAsia="Times New Roman" w:hAnsi="Times New Roman"/>
          <w:sz w:val="18"/>
          <w:szCs w:val="18"/>
          <w:color w:val="auto"/>
        </w:rPr>
        <w:t xml:space="preserve"> Subject to Article 11, the Company shall do or cause to be done all things necessary to preserve and keep in full force and effect its corporate existence.</w:t>
      </w:r>
    </w:p>
    <w:p>
      <w:pPr>
        <w:spacing w:after="0" w:line="158" w:lineRule="exact"/>
        <w:rPr>
          <w:sz w:val="20"/>
          <w:szCs w:val="20"/>
          <w:color w:val="auto"/>
        </w:rPr>
      </w:pPr>
    </w:p>
    <w:p>
      <w:pPr>
        <w:jc w:val="both"/>
        <w:ind w:right="140" w:firstLine="440"/>
        <w:spacing w:after="0" w:line="267" w:lineRule="auto"/>
        <w:rPr>
          <w:sz w:val="20"/>
          <w:szCs w:val="20"/>
          <w:color w:val="auto"/>
        </w:rPr>
      </w:pPr>
      <w:r>
        <w:rPr>
          <w:rFonts w:ascii="Times New Roman" w:cs="Times New Roman" w:eastAsia="Times New Roman" w:hAnsi="Times New Roman"/>
          <w:sz w:val="18"/>
          <w:szCs w:val="18"/>
          <w:color w:val="auto"/>
        </w:rPr>
        <w:t>Section 4.06</w:t>
      </w:r>
      <w:r>
        <w:rPr>
          <w:rFonts w:ascii="Times New Roman" w:cs="Times New Roman" w:eastAsia="Times New Roman" w:hAnsi="Times New Roman"/>
          <w:sz w:val="18"/>
          <w:szCs w:val="18"/>
          <w:i w:val="1"/>
          <w:iCs w:val="1"/>
          <w:color w:val="auto"/>
        </w:rPr>
        <w:t>. Rule 144A Information Requirement and Annual Reports.</w:t>
      </w:r>
      <w:r>
        <w:rPr>
          <w:rFonts w:ascii="Times New Roman" w:cs="Times New Roman" w:eastAsia="Times New Roman" w:hAnsi="Times New Roman"/>
          <w:sz w:val="18"/>
          <w:szCs w:val="18"/>
          <w:color w:val="auto"/>
        </w:rPr>
        <w:t xml:space="preserve"> (a) At any time the Company is not subject to Section 13 or 15(d) of the Exchange Act, the Company shall, so long as any of the Notes or any shares of Class A Common Stock issuable upon conversion thereof shall, at such time, constitute “restricted securities” within the meaning of Rule 144(a)(3)</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43" w:name="page44"/>
    <w:bookmarkEnd w:id="4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Securities Act, promptly provide to the Trustee and, upon written request, any Holder, beneficial owner or prospective purchaser of such Notes or any shares of Class A Common Stock issuable upon conversion of such Notes, the information required to be delivered pursuant to Rule 144A(d)(4) under the Securities Act to facilitate the resale of such Notes or shares of Class A Common Stock pursuant to Rule 144A.</w:t>
      </w:r>
    </w:p>
    <w:p>
      <w:pPr>
        <w:spacing w:after="0" w:line="176" w:lineRule="exact"/>
        <w:rPr>
          <w:sz w:val="20"/>
          <w:szCs w:val="20"/>
          <w:color w:val="auto"/>
        </w:rPr>
      </w:pPr>
    </w:p>
    <w:p>
      <w:pPr>
        <w:ind w:right="20" w:firstLine="436"/>
        <w:spacing w:after="0" w:line="254"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after giving effect to any grace period provided by Rule 12b-25 under the Exchange Act (or any successor thereto), which grace period, for the avoidance of doubt, shall be deemed applicable whether or not the Company checks the box in the relevant Rule 12b-25 filing indicating that the Company expects to file such report within the applicable Rule 12b-25 grace period).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it being understood that the Trustee shall not be responsible for determining whether such filings have been made.</w:t>
      </w:r>
    </w:p>
    <w:p>
      <w:pPr>
        <w:spacing w:after="0" w:line="188"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information and documents described in subsection (b) above to the Trustee is for informational purposes only, and the information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(other than current reports on Form 8-K and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that the Company expects to file such report within the applicable Rule 12b-25 grace period),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Additional Interest on the Notes. Such Additional Interest shall accrue on the Notes at the rate of 0.50% per annum of the principal amount of the Notes outstanding for each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4" w:name="page45"/>
    <w:bookmarkEnd w:id="4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or the existence of the Restrictive Notes Legend on Notes in compliance with Section 2.05(c), in either case, during the six-month period described in this Section 4.06(d).</w:t>
      </w:r>
    </w:p>
    <w:p>
      <w:pPr>
        <w:spacing w:after="0" w:line="187" w:lineRule="exact"/>
        <w:rPr>
          <w:sz w:val="20"/>
          <w:szCs w:val="20"/>
          <w:color w:val="auto"/>
        </w:rPr>
      </w:pPr>
    </w:p>
    <w:p>
      <w:pPr>
        <w:ind w:firstLine="436"/>
        <w:spacing w:after="0" w:line="253"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for so long as, the Restrictive Notes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De-Legending Deadline Date, the Company shall pay Additional Interest on the Notes at a rate equal to 0.50% per annum of the principal amount of Notes outstanding until the Restrictive Notes Legend on the Notes has been removed in accordance with Section 2.05(c), the Notes are assigned an unrestricted CUSIP number and the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Additional Interest shall accrue or be owed pursuant to this Section 4.06(e) until the fifteenth Business Day following written notification to the Company by the Trustee (at the direction of any Holder) or any Holder or beneficial owner of the Notes requesting that the Company comply with its obligations described in this Section 4.06(e) (which notice may be given at any time after the 330th day after the last date of original issuance of the Notes), it being understood and agreed that in no event shall Additional Interest accrue or be owed pursuant to this Section 4.06(e) for any period prior to the 380th day after the last date of original issuance of the Notes.</w:t>
      </w:r>
    </w:p>
    <w:p>
      <w:pPr>
        <w:spacing w:after="0" w:line="187" w:lineRule="exact"/>
        <w:rPr>
          <w:rFonts w:ascii="Times New Roman" w:cs="Times New Roman" w:eastAsia="Times New Roman" w:hAnsi="Times New Roman"/>
          <w:sz w:val="18"/>
          <w:szCs w:val="18"/>
          <w:color w:val="auto"/>
        </w:rPr>
      </w:pPr>
    </w:p>
    <w:p>
      <w:pPr>
        <w:ind w:right="60" w:firstLine="436"/>
        <w:spacing w:after="0" w:line="261"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Interest will be payable in arrears on each Interest Payment Date following accrual in the same manner as regular interest on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Additional Interest begins to accrue pursuant to Section 4.06(d) after the close of business on a Regular Record Date and prior to the open of business on the corresponding Interest Payment Date, the Additional Interest that accrues during such period will be due on the Interest Payment Date next succeeding such corresponding Interest Payment Date, and no interest shall accrue in respect of such delay.</w:t>
      </w:r>
    </w:p>
    <w:p>
      <w:pPr>
        <w:spacing w:after="0" w:line="179" w:lineRule="exact"/>
        <w:rPr>
          <w:rFonts w:ascii="Times New Roman" w:cs="Times New Roman" w:eastAsia="Times New Roman" w:hAnsi="Times New Roman"/>
          <w:sz w:val="18"/>
          <w:szCs w:val="18"/>
          <w:color w:val="auto"/>
        </w:rPr>
      </w:pPr>
    </w:p>
    <w:p>
      <w:pPr>
        <w:ind w:right="180" w:firstLine="436"/>
        <w:spacing w:after="0" w:line="26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immediately succeeding sentence, the Additional Interest that is payable in accordance with Section 4.06(d) or Section 4.06(e) shall be in addition to, and not in lieu of, any Additional Interest that may be payable as a result of the Company’s election pursuant to Section 6.03. However, in no event shall Additional Interest payable for the Company’s failure to comply with its obligations to timely file any document or report that the Company is required to file with the Commission pursuant to Section 13 or 15(d)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5" w:name="page46"/>
    <w:bookmarkEnd w:id="4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Act, as applicable (after giving effect to all applicable grace periods thereunder and other than current reports on Form 8-K), as set forth in Section 4.06(d), together with any Additional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Additional Interest.</w:t>
      </w:r>
    </w:p>
    <w:p>
      <w:pPr>
        <w:spacing w:after="0" w:line="180" w:lineRule="exact"/>
        <w:rPr>
          <w:sz w:val="20"/>
          <w:szCs w:val="20"/>
          <w:color w:val="auto"/>
        </w:rPr>
      </w:pPr>
    </w:p>
    <w:p>
      <w:pPr>
        <w:ind w:right="100" w:firstLine="436"/>
        <w:spacing w:after="0" w:line="258"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Officer’s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8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4.07</w:t>
      </w:r>
      <w:r>
        <w:rPr>
          <w:rFonts w:ascii="Times New Roman" w:cs="Times New Roman" w:eastAsia="Times New Roman" w:hAnsi="Times New Roman"/>
          <w:sz w:val="18"/>
          <w:szCs w:val="18"/>
          <w:i w:val="1"/>
          <w:iCs w:val="1"/>
          <w:color w:val="auto"/>
        </w:rPr>
        <w:t>. Stay, Extension and Usury Laws.</w:t>
      </w:r>
      <w:r>
        <w:rPr>
          <w:rFonts w:ascii="Times New Roman" w:cs="Times New Roman" w:eastAsia="Times New Roman" w:hAnsi="Times New Roman"/>
          <w:sz w:val="18"/>
          <w:szCs w:val="18"/>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83" w:lineRule="exact"/>
        <w:rPr>
          <w:sz w:val="20"/>
          <w:szCs w:val="20"/>
          <w:color w:val="auto"/>
        </w:rPr>
      </w:pPr>
    </w:p>
    <w:p>
      <w:pPr>
        <w:ind w:right="60" w:firstLine="440"/>
        <w:spacing w:after="0" w:line="290" w:lineRule="auto"/>
        <w:rPr>
          <w:sz w:val="20"/>
          <w:szCs w:val="20"/>
          <w:color w:val="auto"/>
        </w:rPr>
      </w:pPr>
      <w:r>
        <w:rPr>
          <w:rFonts w:ascii="Times New Roman" w:cs="Times New Roman" w:eastAsia="Times New Roman" w:hAnsi="Times New Roman"/>
          <w:sz w:val="17"/>
          <w:szCs w:val="17"/>
          <w:color w:val="auto"/>
        </w:rPr>
        <w:t>Section 4.08</w:t>
      </w:r>
      <w:r>
        <w:rPr>
          <w:rFonts w:ascii="Times New Roman" w:cs="Times New Roman" w:eastAsia="Times New Roman" w:hAnsi="Times New Roman"/>
          <w:sz w:val="17"/>
          <w:szCs w:val="17"/>
          <w:i w:val="1"/>
          <w:iCs w:val="1"/>
          <w:color w:val="auto"/>
        </w:rPr>
        <w:t>. Compliance Certificate; Statements as to Defaults.</w:t>
      </w:r>
      <w:r>
        <w:rPr>
          <w:rFonts w:ascii="Times New Roman" w:cs="Times New Roman" w:eastAsia="Times New Roman" w:hAnsi="Times New Roman"/>
          <w:sz w:val="17"/>
          <w:szCs w:val="17"/>
          <w:color w:val="auto"/>
        </w:rPr>
        <w:t xml:space="preserve"> The Company shall deliver to the Trustee within 120 days after the end of each fiscal year of the Company (beginning with the fiscal year ending on December 31, 2025) an Officer’s Certificate stating whether the signers thereof have knowledge of any Event of Default that occurred during the previous year and, if so, specifying each such Event of Default and the nature thereof.</w:t>
      </w:r>
    </w:p>
    <w:p>
      <w:pPr>
        <w:spacing w:after="0" w:line="15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 required to deliver such notice if such Event of Default or Default has been cured or is no longer continuing.</w:t>
      </w:r>
    </w:p>
    <w:p>
      <w:pPr>
        <w:spacing w:after="0" w:line="178"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Section 4.09</w:t>
      </w:r>
      <w:r>
        <w:rPr>
          <w:rFonts w:ascii="Times New Roman" w:cs="Times New Roman" w:eastAsia="Times New Roman" w:hAnsi="Times New Roman"/>
          <w:sz w:val="18"/>
          <w:szCs w:val="18"/>
          <w:i w:val="1"/>
          <w:iCs w:val="1"/>
          <w:color w:val="auto"/>
        </w:rPr>
        <w:t>. Further Instruments and Acts.</w:t>
      </w:r>
      <w:r>
        <w:rPr>
          <w:rFonts w:ascii="Times New Roman" w:cs="Times New Roman" w:eastAsia="Times New Roman" w:hAnsi="Times New Roman"/>
          <w:sz w:val="18"/>
          <w:szCs w:val="18"/>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40" w:top="270" w:right="49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Lists of Holders.</w:t>
      </w:r>
      <w:r>
        <w:rPr>
          <w:rFonts w:ascii="Times New Roman" w:cs="Times New Roman" w:eastAsia="Times New Roman" w:hAnsi="Times New Roman"/>
          <w:sz w:val="18"/>
          <w:szCs w:val="18"/>
          <w:color w:val="auto"/>
        </w:rPr>
        <w:t xml:space="preserve"> The Company covenants and agrees that it will furnish or cause to be furnished to the Trustee, semi-annually, not more than 15 days after each January 15 and July 15 in each year beginning with January 15,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8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Preservation and Disclosure of Lists.</w:t>
      </w:r>
      <w:r>
        <w:rPr>
          <w:rFonts w:ascii="Times New Roman" w:cs="Times New Roman" w:eastAsia="Times New Roman" w:hAnsi="Times New Roman"/>
          <w:sz w:val="18"/>
          <w:szCs w:val="18"/>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dispose of any list furnished to it as provided in Section 5.01 upon receipt of a new list so furnished.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EMEDIES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Events of Default.</w:t>
      </w:r>
      <w:r>
        <w:rPr>
          <w:rFonts w:ascii="Times New Roman" w:cs="Times New Roman" w:eastAsia="Times New Roman" w:hAnsi="Times New Roman"/>
          <w:sz w:val="18"/>
          <w:szCs w:val="18"/>
          <w:color w:val="auto"/>
        </w:rPr>
        <w:t xml:space="preserv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121" w:lineRule="exact"/>
        <w:rPr>
          <w:sz w:val="20"/>
          <w:szCs w:val="20"/>
          <w:color w:val="auto"/>
        </w:rPr>
      </w:pPr>
    </w:p>
    <w:p>
      <w:pPr>
        <w:ind w:left="680" w:hanging="244"/>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and the default continues for a period of 30 days;</w:t>
      </w:r>
    </w:p>
    <w:p>
      <w:pPr>
        <w:spacing w:after="0" w:line="225"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Optional Redemption, upon any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right="500" w:firstLine="436"/>
        <w:spacing w:after="0" w:line="282"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and such failure continues for three Business Days;</w:t>
      </w:r>
    </w:p>
    <w:p>
      <w:pPr>
        <w:spacing w:after="0" w:line="161"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give (i) a Fundamental Change Company Notice in accordance with Section 15.02(c) or notice of a Make-Whole Fundamental Change in accordance with Section 14.03(b), in either case when due and such failure continues for two Business Days, or (ii) notice of a specified corporate transaction or event in accordance with Section 14.01(b)(ii) or 14.01(b)(iii) when due and such failure continues for one Business Day;</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 11;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47" w:name="page48"/>
    <w:bookmarkEnd w:id="47"/>
    <w:p>
      <w:pPr>
        <w:ind w:right="220" w:firstLine="436"/>
        <w:spacing w:after="0" w:line="282"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61"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Significant Subsidiary of the Company with respect to any mortgage, agreement or other instrument under which there may be outstanding, or by which there may be secured or evidenced, any indebtedness for money borrowed with a principal amount in excess of $75,000,000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Notes then outstanding in accordance with this Indenture;</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8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the Company or any Significant Subsidiary seeking liquidation,</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r>
        <w:rPr>
          <w:rFonts w:ascii="Times New Roman" w:cs="Times New Roman" w:eastAsia="Times New Roman" w:hAnsi="Times New Roman"/>
          <w:sz w:val="18"/>
          <w:szCs w:val="18"/>
          <w:color w:val="auto"/>
        </w:rPr>
        <w:t>. If one or more Events of Default shall have occurred and be continuing, then, and in each and every such case (other than an Event of Default specified in Section 6.01(h) or Section 6.01(i) with respect to the Company), unless the principal of, and accrued and unpaid interest, if any, on,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48" w:name="page49"/>
    <w:bookmarkEnd w:id="4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principal of, and accrued and unpaid interest, if any, on, all the outstanding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occurs and is continuing, 100% of the principal of, and accrued and unpaid interest, if any, on, all Notes shall become and shall automatically be immediately due and payable.</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p>
    <w:p>
      <w:pPr>
        <w:spacing w:after="0" w:line="188"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For the avoidance of doubt, and without limiting the manner in which any Default or Event of Default can be cured: (i) a failure by the Company to send a notice in accordance with this Indenture and any related Default (or Event of Default) shall be deemed cured and shall cease to continue upon delivery of such notice to the applicable recipient; (ii) if the Company fails to make any payment of principal of or interest on the Notes (or delivery of any other consideration in respect thereof) when due, such Default (or Event of Default) shall be deemed cured and shall cease to continue upon the making of such payment or delivery, as applicable, together with any accrued interest thereon, if applicable; and (iii)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provided that, for the avoidance of doubt,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Additional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 For the avoidance of doubt, nothing in the immediately preceding two sentences shall constitute a waiver of or in any way limit the Trustee’s or any Holder’s right to institute suit for any damages incurred as a result of an Event of Default under this Indenture even if such Event of Default is subsequently cured.</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6.03. </w:t>
      </w:r>
      <w:r>
        <w:rPr>
          <w:rFonts w:ascii="Times New Roman" w:cs="Times New Roman" w:eastAsia="Times New Roman" w:hAnsi="Times New Roman"/>
          <w:sz w:val="18"/>
          <w:szCs w:val="18"/>
          <w:i w:val="1"/>
          <w:iCs w:val="1"/>
          <w:color w:val="auto"/>
        </w:rPr>
        <w:t>Additional Interest</w:t>
      </w:r>
      <w:r>
        <w:rPr>
          <w:rFonts w:ascii="Times New Roman" w:cs="Times New Roman" w:eastAsia="Times New Roman" w:hAnsi="Times New Roman"/>
          <w:sz w:val="18"/>
          <w:szCs w:val="18"/>
          <w:color w:val="auto"/>
        </w:rPr>
        <w:t>. Notwithstanding anything in this Indenture or in the Notes to the contrary, to the extent the Company elects,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remedy for an Event of Default relating to the Company’s failure to comply with its obligations as set forth in Section 4.06(b) (such default,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for the first 365 days after the occurrence of such an Event of Default, consist exclusively of the right to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Interest on the Notes at a rate equal to (x) 0.25% per annum of the principal amount of the Notes outstanding for each day that such Event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is continuing during the first 180 days after the occurrence of such Event of Default and (y) 0.50% per annum of the principal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outstanding from the 181st day to, and including, the 365th day following the occurrence of such Event of Default, as long as such Event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is continuing. Subject to the last paragraph of this Section 6.03, Additional Interest payable pursuant to this Section 6.03 shall be in addition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 lieu of, any Additional Interest payable pursuant to Section 4.06(d) or Section 4.06(e). If the Company so elects, such Additional Interest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in the same manner and on the same dates as the stated interest payable on the Notes. On the 366th day after such Event of Default (if the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Default relating to the Company’s failure to comply with its obligations as set forth in Section 4.06(b) is not cured or waived prior to such 366th day),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shall be immediately subject to acceleration as provided in Section 6.02. The provisions of this paragraph will not affect the rights of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the occurrence of any Event of Default other than the Company’s failure to comply with its obligations as set forth in Section 4.06(b).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event the Company does not elect to pay Additional Interest following an Event of Default in accordance with this Section 6.03 or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elected to make such payment but does not pay the Additional Interest when due, the Notes shall be immediately subject to acceleration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6.02 as a result of the Event of Default pursuant to Section 6.01(f) if such Event of Default is then continuing.</w:t>
      </w:r>
    </w:p>
    <w:p>
      <w:pPr>
        <w:spacing w:after="0" w:line="20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order to elect to pay Additional Interest as the sole remedy during the first 365 days after the occurrence of any Event of Default relating to the Company’s failure to comply with its obligations as set forth in Section 4.06(b) in accordance with the two immediately preceding paragraphs, the Company must notify all Holders of the Notes, the Trustee and the Paying Agent (if other than the Trustee) in writing of such election prior to the beginning of such 365-day period. Upon the failure to timely give such notice, the Notes shall be immediately subject to acceleration as provided in Section 6.02.</w:t>
      </w:r>
    </w:p>
    <w:p>
      <w:pPr>
        <w:spacing w:after="0" w:line="183"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In no event shall Additional Interest payable at the Company’s election for failure to comply with its obligations as set forth in Section 4.06(b)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and other than current reports on Form 8-K), pursuant to Section 4.06(d), accrue at a rate in excess of 0.50% per annum pursuant to this Indenture, regardless of the number of events or circumstances giving rise to the requirement to pay such Additional Interest.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68" w:right="479" w:bottom="1440" w:gutter="0" w:footer="0" w:header="0"/>
        </w:sectPr>
      </w:pPr>
    </w:p>
    <w:bookmarkStart w:id="50" w:name="page51"/>
    <w:bookmarkEnd w:id="50"/>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6.04</w:t>
      </w:r>
      <w:r>
        <w:rPr>
          <w:rFonts w:ascii="Times New Roman" w:cs="Times New Roman" w:eastAsia="Times New Roman" w:hAnsi="Times New Roman"/>
          <w:sz w:val="18"/>
          <w:szCs w:val="18"/>
          <w:i w:val="1"/>
          <w:iCs w:val="1"/>
          <w:color w:val="auto"/>
        </w:rPr>
        <w:t>. Payments of Notes on Default; Suit Therefor.</w:t>
      </w:r>
      <w:r>
        <w:rPr>
          <w:rFonts w:ascii="Times New Roman" w:cs="Times New Roman" w:eastAsia="Times New Roman" w:hAnsi="Times New Roman"/>
          <w:sz w:val="18"/>
          <w:szCs w:val="18"/>
          <w:color w:val="auto"/>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8" w:right="459" w:bottom="1440" w:gutter="0" w:footer="0" w:header="0"/>
        </w:sectPr>
      </w:pPr>
    </w:p>
    <w:bookmarkStart w:id="51" w:name="page52"/>
    <w:bookmarkEnd w:id="51"/>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64"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party to any such proceedings.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1"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Section 6.05</w:t>
      </w:r>
      <w:r>
        <w:rPr>
          <w:rFonts w:ascii="Times New Roman" w:cs="Times New Roman" w:eastAsia="Times New Roman" w:hAnsi="Times New Roman"/>
          <w:sz w:val="18"/>
          <w:szCs w:val="18"/>
          <w:i w:val="1"/>
          <w:iCs w:val="1"/>
          <w:color w:val="auto"/>
        </w:rPr>
        <w:t>. Application of Monies Collected by Trustee.</w:t>
      </w:r>
      <w:r>
        <w:rPr>
          <w:rFonts w:ascii="Times New Roman" w:cs="Times New Roman" w:eastAsia="Times New Roman" w:hAnsi="Times New Roman"/>
          <w:sz w:val="18"/>
          <w:szCs w:val="18"/>
          <w:color w:val="auto"/>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in all of its capacities under this Indenture;</w:t>
      </w:r>
    </w:p>
    <w:p>
      <w:pPr>
        <w:spacing w:after="0" w:line="225" w:lineRule="exact"/>
        <w:rPr>
          <w:sz w:val="20"/>
          <w:szCs w:val="20"/>
          <w:color w:val="auto"/>
        </w:rPr>
      </w:pPr>
    </w:p>
    <w:p>
      <w:pPr>
        <w:jc w:val="both"/>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interest on, and any cash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conversion of, 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52" w:name="page53"/>
    <w:bookmarkEnd w:id="52"/>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6.06</w:t>
      </w:r>
      <w:r>
        <w:rPr>
          <w:rFonts w:ascii="Times New Roman" w:cs="Times New Roman" w:eastAsia="Times New Roman" w:hAnsi="Times New Roman"/>
          <w:sz w:val="18"/>
          <w:szCs w:val="18"/>
          <w:i w:val="1"/>
          <w:iCs w:val="1"/>
          <w:color w:val="auto"/>
        </w:rPr>
        <w:t>. Proceedings by Holders.</w:t>
      </w:r>
      <w:r>
        <w:rPr>
          <w:rFonts w:ascii="Times New Roman" w:cs="Times New Roman" w:eastAsia="Times New Roman" w:hAnsi="Times New Roman"/>
          <w:sz w:val="18"/>
          <w:szCs w:val="18"/>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77" w:lineRule="exact"/>
        <w:rPr>
          <w:sz w:val="20"/>
          <w:szCs w:val="20"/>
          <w:color w:val="auto"/>
        </w:rPr>
      </w:pPr>
    </w:p>
    <w:p>
      <w:pPr>
        <w:ind w:left="680" w:hanging="244"/>
        <w:spacing w:after="0"/>
        <w:tabs>
          <w:tab w:leader="none" w:pos="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previously shall have given to the Trustee written notice of an Event of Default and of the continuance thereof, as herein provided;</w:t>
      </w:r>
    </w:p>
    <w:p>
      <w:pPr>
        <w:spacing w:after="0" w:line="236" w:lineRule="exact"/>
        <w:rPr>
          <w:rFonts w:ascii="Times New Roman" w:cs="Times New Roman" w:eastAsia="Times New Roman" w:hAnsi="Times New Roman"/>
          <w:sz w:val="17"/>
          <w:szCs w:val="17"/>
          <w:color w:val="auto"/>
        </w:rPr>
      </w:pPr>
    </w:p>
    <w:p>
      <w:pPr>
        <w:ind w:right="500" w:firstLine="436"/>
        <w:spacing w:after="0" w:line="282"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61" w:lineRule="exact"/>
        <w:rPr>
          <w:rFonts w:ascii="Times New Roman" w:cs="Times New Roman" w:eastAsia="Times New Roman" w:hAnsi="Times New Roman"/>
          <w:sz w:val="18"/>
          <w:szCs w:val="18"/>
          <w:color w:val="auto"/>
        </w:rPr>
      </w:pPr>
    </w:p>
    <w:p>
      <w:pPr>
        <w:ind w:right="500" w:firstLine="436"/>
        <w:spacing w:after="0" w:line="282"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to the Trustee such security or indemnity reasonably satisfactory to it against any loss, claim, liability or expense to be incurred therein or thereby;</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or provision, of such security or indemnity, shall have neglected or refused to institute any such action, suit or proceeding;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53" w:name="page54"/>
    <w:bookmarkEnd w:id="53"/>
    <w:p>
      <w:pPr>
        <w:ind w:left="4" w:firstLine="436"/>
        <w:spacing w:after="0" w:line="254"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direction that, in the opinion of the Trustee, is inconsistent with such written request shall have been given to the Trustee by the Holders of a majority of the aggregate principal amount of the Notes then outstanding within such 60-day period pursuant to Section 6.09,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88" w:lineRule="exact"/>
        <w:rPr>
          <w:sz w:val="20"/>
          <w:szCs w:val="20"/>
          <w:color w:val="auto"/>
        </w:rPr>
      </w:pPr>
    </w:p>
    <w:p>
      <w:pPr>
        <w:jc w:val="both"/>
        <w:ind w:left="4" w:right="460" w:firstLine="440"/>
        <w:spacing w:after="0" w:line="276" w:lineRule="auto"/>
        <w:rPr>
          <w:sz w:val="20"/>
          <w:szCs w:val="20"/>
          <w:color w:val="auto"/>
        </w:rPr>
      </w:pPr>
      <w:r>
        <w:rPr>
          <w:rFonts w:ascii="Times New Roman" w:cs="Times New Roman" w:eastAsia="Times New Roman" w:hAnsi="Times New Roman"/>
          <w:sz w:val="17"/>
          <w:szCs w:val="17"/>
          <w:color w:val="auto"/>
        </w:rPr>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w:t>
      </w:r>
    </w:p>
    <w:p>
      <w:pPr>
        <w:spacing w:after="0" w:line="1" w:lineRule="exact"/>
        <w:rPr>
          <w:sz w:val="20"/>
          <w:szCs w:val="20"/>
          <w:color w:val="auto"/>
        </w:rPr>
      </w:pPr>
    </w:p>
    <w:p>
      <w:pPr>
        <w:ind w:left="4" w:right="60" w:hanging="4"/>
        <w:spacing w:after="0" w:line="260"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79"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Section 6.07</w:t>
      </w:r>
      <w:r>
        <w:rPr>
          <w:rFonts w:ascii="Times New Roman" w:cs="Times New Roman" w:eastAsia="Times New Roman" w:hAnsi="Times New Roman"/>
          <w:sz w:val="18"/>
          <w:szCs w:val="18"/>
          <w:i w:val="1"/>
          <w:iCs w:val="1"/>
          <w:color w:val="auto"/>
        </w:rPr>
        <w:t>. Proceedings by Trustee.</w:t>
      </w:r>
      <w:r>
        <w:rPr>
          <w:rFonts w:ascii="Times New Roman" w:cs="Times New Roman" w:eastAsia="Times New Roman" w:hAnsi="Times New Roman"/>
          <w:sz w:val="18"/>
          <w:szCs w:val="18"/>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3"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Section 6.08</w:t>
      </w:r>
      <w:r>
        <w:rPr>
          <w:rFonts w:ascii="Times New Roman" w:cs="Times New Roman" w:eastAsia="Times New Roman" w:hAnsi="Times New Roman"/>
          <w:sz w:val="18"/>
          <w:szCs w:val="18"/>
          <w:i w:val="1"/>
          <w:iCs w:val="1"/>
          <w:color w:val="auto"/>
        </w:rPr>
        <w:t>. Remedies Cumulative and Continuing.</w:t>
      </w:r>
      <w:r>
        <w:rPr>
          <w:rFonts w:ascii="Times New Roman" w:cs="Times New Roman" w:eastAsia="Times New Roman" w:hAnsi="Times New Roman"/>
          <w:sz w:val="18"/>
          <w:szCs w:val="18"/>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85" w:lineRule="exact"/>
        <w:rPr>
          <w:sz w:val="20"/>
          <w:szCs w:val="20"/>
          <w:color w:val="auto"/>
        </w:rPr>
      </w:pPr>
    </w:p>
    <w:p>
      <w:pPr>
        <w:ind w:left="4" w:right="420" w:firstLine="440"/>
        <w:spacing w:after="0" w:line="267" w:lineRule="auto"/>
        <w:rPr>
          <w:sz w:val="20"/>
          <w:szCs w:val="20"/>
          <w:color w:val="auto"/>
        </w:rPr>
      </w:pPr>
      <w:r>
        <w:rPr>
          <w:rFonts w:ascii="Times New Roman" w:cs="Times New Roman" w:eastAsia="Times New Roman" w:hAnsi="Times New Roman"/>
          <w:sz w:val="18"/>
          <w:szCs w:val="18"/>
          <w:color w:val="auto"/>
        </w:rPr>
        <w:t>Section 6.09</w:t>
      </w:r>
      <w:r>
        <w:rPr>
          <w:rFonts w:ascii="Times New Roman" w:cs="Times New Roman" w:eastAsia="Times New Roman" w:hAnsi="Times New Roman"/>
          <w:sz w:val="18"/>
          <w:szCs w:val="18"/>
          <w:i w:val="1"/>
          <w:iCs w:val="1"/>
          <w:color w:val="auto"/>
        </w:rPr>
        <w:t>. Direction of Proceedings and Waiver of Defaults by Majority of Holders.</w:t>
      </w:r>
      <w:r>
        <w:rPr>
          <w:rFonts w:ascii="Times New Roman" w:cs="Times New Roman" w:eastAsia="Times New Roman" w:hAnsi="Times New Roman"/>
          <w:sz w:val="18"/>
          <w:szCs w:val="18"/>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4"/>
          </w:cols>
          <w:pgMar w:left="436" w:top="270" w:right="439" w:bottom="1440" w:gutter="0" w:footer="0" w:header="0"/>
        </w:sectPr>
      </w:pPr>
    </w:p>
    <w:bookmarkStart w:id="54" w:name="page55"/>
    <w:bookmarkEnd w:id="54"/>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trust or power conferred on the Trustee with respect to the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such direction shall not be in conflict with any rule of law or with this Indenture, and (b) the Trustee may take any other action deemed proper by the Trustee and that is not inconsistent with such direction. The Trustee may refuse to follow any direction that it determines is unduly prejudicial to the rights of any other Holder (it being understood that the Trustee shall not have an affirmative duty to ascertain whether or not any such direction is unduly prejudicial to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(including, for the avoidance of doubt, any acceleration as a result of such Default or Event of Default) except any continuing defaults relating to (i) a default in the payment of accrued and unpaid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82"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Section 6.10</w:t>
      </w:r>
      <w:r>
        <w:rPr>
          <w:rFonts w:ascii="Times New Roman" w:cs="Times New Roman" w:eastAsia="Times New Roman" w:hAnsi="Times New Roman"/>
          <w:sz w:val="18"/>
          <w:szCs w:val="18"/>
          <w:i w:val="1"/>
          <w:iCs w:val="1"/>
          <w:color w:val="auto"/>
        </w:rPr>
        <w:t>. Notice of Defaults.</w:t>
      </w:r>
      <w:r>
        <w:rPr>
          <w:rFonts w:ascii="Times New Roman" w:cs="Times New Roman" w:eastAsia="Times New Roman" w:hAnsi="Times New Roman"/>
          <w:sz w:val="18"/>
          <w:szCs w:val="18"/>
          <w:color w:val="auto"/>
        </w:rPr>
        <w:t xml:space="preserve"> The Trustee shall, within 90 days after a Responsible Officer obtains actual knowledge of the occurrence of a Default that is then continuing, deliver to all Holders notice of all Defaults actually known to a Responsible Officer, unless such Defaults shall have been cured or waived before the giving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it determines that the withholding of such notice is in the interests of the Holders.</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6.11</w:t>
      </w:r>
      <w:r>
        <w:rPr>
          <w:rFonts w:ascii="Times New Roman" w:cs="Times New Roman" w:eastAsia="Times New Roman" w:hAnsi="Times New Roman"/>
          <w:sz w:val="18"/>
          <w:szCs w:val="18"/>
          <w:i w:val="1"/>
          <w:iCs w:val="1"/>
          <w:color w:val="auto"/>
        </w:rPr>
        <w:t>. Undertaking to Pay Costs.</w:t>
      </w:r>
      <w:r>
        <w:rPr>
          <w:rFonts w:ascii="Times New Roman" w:cs="Times New Roman" w:eastAsia="Times New Roman" w:hAnsi="Times New Roman"/>
          <w:sz w:val="18"/>
          <w:szCs w:val="18"/>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w:t>
      </w:r>
    </w:p>
    <w:p>
      <w:pPr>
        <w:spacing w:after="0" w:line="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Section 6.11 (to the extent permitted by law) shall not apply to any suit instituted by the Trustee, to any suit instituted by any Holder, or group of Holders, holding in the aggregate more than 10% in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8" w:right="459" w:bottom="1440" w:gutter="0" w:footer="0" w:header="0"/>
        </w:sectPr>
      </w:pPr>
    </w:p>
    <w:bookmarkStart w:id="55" w:name="page56"/>
    <w:bookmarkEnd w:id="55"/>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Duties and Responsibilities of Trustee.</w:t>
      </w:r>
      <w:r>
        <w:rPr>
          <w:rFonts w:ascii="Times New Roman" w:cs="Times New Roman" w:eastAsia="Times New Roman" w:hAnsi="Times New Roman"/>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claim, liability or expense that might be incurred by it in compliance with such request or direction.</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54" w:lineRule="exact"/>
        <w:rPr>
          <w:sz w:val="20"/>
          <w:szCs w:val="20"/>
          <w:color w:val="auto"/>
        </w:rPr>
      </w:pPr>
    </w:p>
    <w:p>
      <w:pPr>
        <w:ind w:left="680" w:hanging="244"/>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07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58" w:lineRule="auto"/>
        <w:tabs>
          <w:tab w:leader="none" w:pos="112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6" w:name="page57"/>
    <w:bookmarkEnd w:id="56"/>
    <w:p>
      <w:pPr>
        <w:ind w:right="140" w:firstLine="436"/>
        <w:spacing w:after="0" w:line="282"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error of judgment made in good faith by a Responsible Officer or Officers of the Trustee,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9"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61"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execution of the trusts and powers under this Indenture;</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83" w:lineRule="exact"/>
        <w:rPr>
          <w:rFonts w:ascii="Times New Roman" w:cs="Times New Roman" w:eastAsia="Times New Roman" w:hAnsi="Times New Roman"/>
          <w:sz w:val="18"/>
          <w:szCs w:val="18"/>
          <w:color w:val="auto"/>
        </w:rPr>
      </w:pPr>
    </w:p>
    <w:p>
      <w:pPr>
        <w:jc w:val="both"/>
        <w:ind w:right="280" w:firstLine="436"/>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7" w:name="page58"/>
    <w:bookmarkEnd w:id="57"/>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provisions contained in this Indenture shall require the Trustee to expend or risk its own funds or otherwise incur personal financial liability in the performance of any of its duties or in the exercise of any of its rights or powers. Prior to taking any action under this Indenture, the Trustee shall receive indemnification or security satisfactory to it against any loss, liability or expense caused by taking or not taking such action.</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7.02</w:t>
      </w:r>
      <w:r>
        <w:rPr>
          <w:rFonts w:ascii="Times New Roman" w:cs="Times New Roman" w:eastAsia="Times New Roman" w:hAnsi="Times New Roman"/>
          <w:sz w:val="18"/>
          <w:szCs w:val="18"/>
          <w:i w:val="1"/>
          <w:iCs w:val="1"/>
          <w:color w:val="auto"/>
        </w:rPr>
        <w:t>. Reliance on Documents, Opinions, Etc.</w:t>
      </w:r>
      <w:r>
        <w:rPr>
          <w:rFonts w:ascii="Times New Roman" w:cs="Times New Roman" w:eastAsia="Times New Roman" w:hAnsi="Times New Roman"/>
          <w:sz w:val="18"/>
          <w:szCs w:val="18"/>
          <w:color w:val="auto"/>
        </w:rPr>
        <w:t xml:space="preserve"> Except as otherwise provided in Section 7.01:</w:t>
      </w:r>
    </w:p>
    <w:p>
      <w:pPr>
        <w:spacing w:after="0" w:line="119" w:lineRule="exact"/>
        <w:rPr>
          <w:sz w:val="20"/>
          <w:szCs w:val="20"/>
          <w:color w:val="auto"/>
        </w:rPr>
      </w:pPr>
    </w:p>
    <w:p>
      <w:pPr>
        <w:ind w:right="80" w:firstLine="436"/>
        <w:spacing w:after="0" w:line="266"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75" w:lineRule="exact"/>
        <w:rPr>
          <w:rFonts w:ascii="Times New Roman" w:cs="Times New Roman" w:eastAsia="Times New Roman" w:hAnsi="Times New Roman"/>
          <w:sz w:val="18"/>
          <w:szCs w:val="18"/>
          <w:color w:val="auto"/>
        </w:rPr>
      </w:pPr>
    </w:p>
    <w:p>
      <w:pPr>
        <w:ind w:right="100" w:firstLine="436"/>
        <w:spacing w:after="0" w:line="266"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75" w:lineRule="exact"/>
        <w:rPr>
          <w:rFonts w:ascii="Times New Roman" w:cs="Times New Roman" w:eastAsia="Times New Roman" w:hAnsi="Times New Roman"/>
          <w:sz w:val="18"/>
          <w:szCs w:val="18"/>
          <w:color w:val="auto"/>
        </w:rPr>
      </w:pPr>
    </w:p>
    <w:p>
      <w:pPr>
        <w:ind w:right="160" w:firstLine="436"/>
        <w:spacing w:after="0" w:line="258"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custodians, nominees or attorneys and the Trustee shall not be responsible for any misconduct or negligence on the part of any agent, custodian, nominee or attorney appointed by it with due care hereunder;</w:t>
      </w:r>
    </w:p>
    <w:p>
      <w:pPr>
        <w:spacing w:after="0" w:line="18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70" w:right="439" w:bottom="1440" w:gutter="0" w:footer="0" w:header="0"/>
        </w:sectPr>
      </w:pPr>
    </w:p>
    <w:bookmarkStart w:id="58" w:name="page59"/>
    <w:bookmarkEnd w:id="58"/>
    <w:p>
      <w:pPr>
        <w:ind w:right="40" w:firstLine="436"/>
        <w:spacing w:after="0" w:line="266"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spacing w:after="0" w:line="175" w:lineRule="exact"/>
        <w:rPr>
          <w:rFonts w:ascii="Times New Roman" w:cs="Times New Roman" w:eastAsia="Times New Roman" w:hAnsi="Times New Roman"/>
          <w:sz w:val="18"/>
          <w:szCs w:val="18"/>
          <w:color w:val="auto"/>
        </w:rPr>
      </w:pPr>
    </w:p>
    <w:p>
      <w:pPr>
        <w:ind w:right="60" w:firstLine="436"/>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w:t>
      </w:r>
    </w:p>
    <w:p>
      <w:pPr>
        <w:spacing w:after="0" w:line="18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Section 7.03</w:t>
      </w:r>
      <w:r>
        <w:rPr>
          <w:rFonts w:ascii="Times New Roman" w:cs="Times New Roman" w:eastAsia="Times New Roman" w:hAnsi="Times New Roman"/>
          <w:sz w:val="18"/>
          <w:szCs w:val="18"/>
          <w:i w:val="1"/>
          <w:iCs w:val="1"/>
          <w:color w:val="auto"/>
        </w:rPr>
        <w:t>. No Responsibility for Recitals, Etc.</w:t>
      </w:r>
      <w:r>
        <w:rPr>
          <w:rFonts w:ascii="Times New Roman" w:cs="Times New Roman" w:eastAsia="Times New Roman" w:hAnsi="Times New Roman"/>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the Offering Memorandum or of the Notes. The Trustee shall not be accountable for the use or application by the Company of any Notes or the proceeds of any Notes authenticated and delivered by the Trustee in conformity with the provisions of this Indenture.</w:t>
      </w:r>
    </w:p>
    <w:p>
      <w:pPr>
        <w:spacing w:after="0" w:line="183" w:lineRule="exact"/>
        <w:rPr>
          <w:sz w:val="20"/>
          <w:szCs w:val="20"/>
          <w:color w:val="auto"/>
        </w:rPr>
      </w:pPr>
    </w:p>
    <w:p>
      <w:pPr>
        <w:jc w:val="both"/>
        <w:ind w:right="340" w:firstLine="440"/>
        <w:spacing w:after="0" w:line="261" w:lineRule="auto"/>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Trustee, Paying Agents, Conversion Agents, Bid Solicitation Agent or Note Registrar May Own Notes.</w:t>
      </w:r>
      <w:r>
        <w:rPr>
          <w:rFonts w:ascii="Times New Roman" w:cs="Times New Roman" w:eastAsia="Times New Roman" w:hAnsi="Times New Roman"/>
          <w:sz w:val="18"/>
          <w:szCs w:val="18"/>
          <w:color w:val="auto"/>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7.05</w:t>
      </w:r>
      <w:r>
        <w:rPr>
          <w:rFonts w:ascii="Times New Roman" w:cs="Times New Roman" w:eastAsia="Times New Roman" w:hAnsi="Times New Roman"/>
          <w:sz w:val="18"/>
          <w:szCs w:val="18"/>
          <w:i w:val="1"/>
          <w:iCs w:val="1"/>
          <w:color w:val="auto"/>
        </w:rPr>
        <w:t>. Monies and Shares of Class A Common Stock to Be Held in Trust.</w:t>
      </w:r>
      <w:r>
        <w:rPr>
          <w:rFonts w:ascii="Times New Roman" w:cs="Times New Roman" w:eastAsia="Times New Roman" w:hAnsi="Times New Roman"/>
          <w:sz w:val="18"/>
          <w:szCs w:val="18"/>
          <w:color w:val="auto"/>
        </w:rPr>
        <w:t xml:space="preserve"> All monies and shares of Class A Common Stock received by the Trustee shall, until used or applied as herein provided, be held in trust for the purposes for which they were received. Money and shares of Class A Common Stock held by the Trustee in trust hereunder need not be segregated from other funds except to the extent required by law. The Trustee shall be under no liability for interest on any money or shares of Class A Common Stock received by it hereunder except as may be agreed from time to time by the Company and the Trustee.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0"/>
          </w:cols>
          <w:pgMar w:left="440" w:top="270" w:right="499" w:bottom="1440" w:gutter="0" w:footer="0" w:header="0"/>
        </w:sectPr>
      </w:pPr>
    </w:p>
    <w:bookmarkStart w:id="59" w:name="page60"/>
    <w:bookmarkEnd w:id="5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7.06</w:t>
      </w:r>
      <w:r>
        <w:rPr>
          <w:rFonts w:ascii="Times New Roman" w:cs="Times New Roman" w:eastAsia="Times New Roman" w:hAnsi="Times New Roman"/>
          <w:sz w:val="18"/>
          <w:szCs w:val="18"/>
          <w:i w:val="1"/>
          <w:iCs w:val="1"/>
          <w:color w:val="auto"/>
        </w:rPr>
        <w:t>. Compensation and Expenses of Trustee.</w:t>
      </w:r>
      <w:r>
        <w:rPr>
          <w:rFonts w:ascii="Times New Roman" w:cs="Times New Roman" w:eastAsia="Times New Roman" w:hAnsi="Times New Roman"/>
          <w:sz w:val="18"/>
          <w:szCs w:val="18"/>
          <w:color w:val="auto"/>
        </w:rPr>
        <w:t xml:space="preserve">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and, for the avoidance of doubt, such claim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9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74"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Section 7.07</w:t>
      </w:r>
      <w:r>
        <w:rPr>
          <w:rFonts w:ascii="Times New Roman" w:cs="Times New Roman" w:eastAsia="Times New Roman" w:hAnsi="Times New Roman"/>
          <w:sz w:val="18"/>
          <w:szCs w:val="18"/>
          <w:i w:val="1"/>
          <w:iCs w:val="1"/>
          <w:color w:val="auto"/>
        </w:rPr>
        <w:t>. Officer’s Certificate as Evidence.</w:t>
      </w:r>
      <w:r>
        <w:rPr>
          <w:rFonts w:ascii="Times New Roman" w:cs="Times New Roman" w:eastAsia="Times New Roman" w:hAnsi="Times New Roman"/>
          <w:sz w:val="18"/>
          <w:szCs w:val="18"/>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0"/>
          </w:cols>
          <w:pgMar w:left="440" w:top="268" w:right="499" w:bottom="1440" w:gutter="0" w:footer="0" w:header="0"/>
        </w:sectPr>
      </w:pPr>
    </w:p>
    <w:bookmarkStart w:id="60" w:name="page61"/>
    <w:bookmarkEnd w:id="60"/>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7.08</w:t>
      </w:r>
      <w:r>
        <w:rPr>
          <w:rFonts w:ascii="Times New Roman" w:cs="Times New Roman" w:eastAsia="Times New Roman" w:hAnsi="Times New Roman"/>
          <w:sz w:val="18"/>
          <w:szCs w:val="18"/>
          <w:i w:val="1"/>
          <w:iCs w:val="1"/>
          <w:color w:val="auto"/>
        </w:rPr>
        <w:t>. Eligibility of Trustee.</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7.09</w:t>
      </w:r>
      <w:r>
        <w:rPr>
          <w:rFonts w:ascii="Times New Roman" w:cs="Times New Roman" w:eastAsia="Times New Roman" w:hAnsi="Times New Roman"/>
          <w:sz w:val="18"/>
          <w:szCs w:val="18"/>
          <w:i w:val="1"/>
          <w:iCs w:val="1"/>
          <w:color w:val="auto"/>
        </w:rPr>
        <w:t>. Resignation or Removal of Trustee.</w:t>
      </w:r>
    </w:p>
    <w:p>
      <w:pPr>
        <w:spacing w:after="0" w:line="227" w:lineRule="exact"/>
        <w:rPr>
          <w:sz w:val="20"/>
          <w:szCs w:val="20"/>
          <w:color w:val="auto"/>
        </w:rPr>
      </w:pPr>
    </w:p>
    <w:p>
      <w:pPr>
        <w:ind w:right="20" w:firstLine="436"/>
        <w:spacing w:after="0" w:line="254"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117"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0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7.08 and shall fail to resign after written request therefor by the Company or by any such Holder, or</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68" w:right="459" w:bottom="1440" w:gutter="0" w:footer="0" w:header="0"/>
        </w:sectPr>
      </w:pPr>
    </w:p>
    <w:bookmarkStart w:id="61" w:name="page62"/>
    <w:bookmarkEnd w:id="61"/>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76" w:lineRule="exact"/>
        <w:rPr>
          <w:sz w:val="20"/>
          <w:szCs w:val="20"/>
          <w:color w:val="auto"/>
        </w:rPr>
      </w:pPr>
    </w:p>
    <w:p>
      <w:pPr>
        <w:ind w:right="160" w:firstLine="436"/>
        <w:spacing w:after="0" w:line="281" w:lineRule="auto"/>
        <w:tabs>
          <w:tab w:leader="none" w:pos="68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64" w:lineRule="exact"/>
        <w:rPr>
          <w:rFonts w:ascii="Times New Roman" w:cs="Times New Roman" w:eastAsia="Times New Roman" w:hAnsi="Times New Roman"/>
          <w:sz w:val="17"/>
          <w:szCs w:val="17"/>
          <w:color w:val="auto"/>
        </w:rPr>
      </w:pPr>
    </w:p>
    <w:p>
      <w:pPr>
        <w:ind w:right="220" w:firstLine="436"/>
        <w:spacing w:after="0" w:line="28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6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Section 7.10</w:t>
      </w:r>
      <w:r>
        <w:rPr>
          <w:rFonts w:ascii="Times New Roman" w:cs="Times New Roman" w:eastAsia="Times New Roman" w:hAnsi="Times New Roman"/>
          <w:sz w:val="18"/>
          <w:szCs w:val="18"/>
          <w:i w:val="1"/>
          <w:iCs w:val="1"/>
          <w:color w:val="auto"/>
        </w:rPr>
        <w:t>. Acceptance by Successor Trustee.</w:t>
      </w:r>
      <w:r>
        <w:rPr>
          <w:rFonts w:ascii="Times New Roman" w:cs="Times New Roman" w:eastAsia="Times New Roman" w:hAnsi="Times New Roman"/>
          <w:sz w:val="18"/>
          <w:szCs w:val="18"/>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2" w:name="page63"/>
    <w:bookmarkEnd w:id="62"/>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7.11</w:t>
      </w:r>
      <w:r>
        <w:rPr>
          <w:rFonts w:ascii="Times New Roman" w:cs="Times New Roman" w:eastAsia="Times New Roman" w:hAnsi="Times New Roman"/>
          <w:sz w:val="18"/>
          <w:szCs w:val="18"/>
          <w:i w:val="1"/>
          <w:iCs w:val="1"/>
          <w:color w:val="auto"/>
        </w:rPr>
        <w:t>. Succession by Merger, Etc.</w:t>
      </w:r>
      <w:r>
        <w:rPr>
          <w:rFonts w:ascii="Times New Roman" w:cs="Times New Roman" w:eastAsia="Times New Roman" w:hAnsi="Times New Roman"/>
          <w:sz w:val="18"/>
          <w:szCs w:val="18"/>
          <w:color w:val="auto"/>
        </w:rPr>
        <w:t xml:space="preserve"> 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organization or other entity succeeding to all or substantially all of the corporate trust business of the Trustee such organization or other entity shall be eligible under the provisions of Section 7.08.</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90"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Section 7.12</w:t>
      </w:r>
      <w:r>
        <w:rPr>
          <w:rFonts w:ascii="Times New Roman" w:cs="Times New Roman" w:eastAsia="Times New Roman" w:hAnsi="Times New Roman"/>
          <w:sz w:val="18"/>
          <w:szCs w:val="18"/>
          <w:i w:val="1"/>
          <w:iCs w:val="1"/>
          <w:color w:val="auto"/>
        </w:rPr>
        <w:t>. Trustee’s Application for Instructions from the Company.</w:t>
      </w:r>
      <w:r>
        <w:rPr>
          <w:rFonts w:ascii="Times New Roman" w:cs="Times New Roman" w:eastAsia="Times New Roman" w:hAnsi="Times New Roman"/>
          <w:sz w:val="18"/>
          <w:szCs w:val="18"/>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68" w:right="439" w:bottom="1440" w:gutter="0" w:footer="0" w:header="0"/>
        </w:sectPr>
      </w:pPr>
    </w:p>
    <w:bookmarkStart w:id="63" w:name="page64"/>
    <w:bookmarkEnd w:id="63"/>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205" w:lineRule="exact"/>
        <w:rPr>
          <w:sz w:val="20"/>
          <w:szCs w:val="20"/>
          <w:color w:val="auto"/>
        </w:rPr>
      </w:pPr>
    </w:p>
    <w:p>
      <w:pPr>
        <w:jc w:val="both"/>
        <w:ind w:left="4" w:right="220" w:firstLine="440"/>
        <w:spacing w:after="0" w:line="273" w:lineRule="auto"/>
        <w:rPr>
          <w:sz w:val="20"/>
          <w:szCs w:val="20"/>
          <w:color w:val="auto"/>
        </w:rPr>
      </w:pPr>
      <w:r>
        <w:rPr>
          <w:rFonts w:ascii="Times New Roman" w:cs="Times New Roman" w:eastAsia="Times New Roman" w:hAnsi="Times New Roman"/>
          <w:sz w:val="17"/>
          <w:szCs w:val="17"/>
          <w:color w:val="auto"/>
        </w:rPr>
        <w:t>Section 8.01</w:t>
      </w:r>
      <w:r>
        <w:rPr>
          <w:rFonts w:ascii="Times New Roman" w:cs="Times New Roman" w:eastAsia="Times New Roman" w:hAnsi="Times New Roman"/>
          <w:sz w:val="17"/>
          <w:szCs w:val="17"/>
          <w:i w:val="1"/>
          <w:iCs w:val="1"/>
          <w:color w:val="auto"/>
        </w:rPr>
        <w:t>. Action by Holders.</w:t>
      </w:r>
      <w:r>
        <w:rPr>
          <w:rFonts w:ascii="Times New Roman" w:cs="Times New Roman" w:eastAsia="Times New Roman" w:hAnsi="Times New Roman"/>
          <w:sz w:val="17"/>
          <w:szCs w:val="17"/>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w:t>
      </w:r>
    </w:p>
    <w:p>
      <w:pPr>
        <w:spacing w:after="0" w:line="1" w:lineRule="exact"/>
        <w:rPr>
          <w:sz w:val="20"/>
          <w:szCs w:val="20"/>
          <w:color w:val="auto"/>
        </w:rPr>
      </w:pPr>
    </w:p>
    <w:p>
      <w:pPr>
        <w:ind w:left="4" w:right="40" w:hanging="4"/>
        <w:spacing w:after="0" w:line="252"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88"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Section 8.02</w:t>
      </w:r>
      <w:r>
        <w:rPr>
          <w:rFonts w:ascii="Times New Roman" w:cs="Times New Roman" w:eastAsia="Times New Roman" w:hAnsi="Times New Roman"/>
          <w:sz w:val="18"/>
          <w:szCs w:val="18"/>
          <w:i w:val="1"/>
          <w:iCs w:val="1"/>
          <w:color w:val="auto"/>
        </w:rPr>
        <w:t>. Proof of Execution by Holders.</w:t>
      </w:r>
      <w:r>
        <w:rPr>
          <w:rFonts w:ascii="Times New Roman" w:cs="Times New Roman" w:eastAsia="Times New Roman" w:hAnsi="Times New Roman"/>
          <w:sz w:val="18"/>
          <w:szCs w:val="18"/>
          <w:color w:val="auto"/>
        </w:rPr>
        <w:t xml:space="preserve">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 The holding of Notes shall be proved by the Note Register or by a certificate of the Note Registrar. The record of any Holders’ meeting shall be proved in the manner provided in Section 9.06.</w:t>
      </w:r>
    </w:p>
    <w:p>
      <w:pPr>
        <w:spacing w:after="0" w:line="180"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Section 8.03</w:t>
      </w:r>
      <w:r>
        <w:rPr>
          <w:rFonts w:ascii="Times New Roman" w:cs="Times New Roman" w:eastAsia="Times New Roman" w:hAnsi="Times New Roman"/>
          <w:sz w:val="17"/>
          <w:szCs w:val="17"/>
          <w:i w:val="1"/>
          <w:iCs w:val="1"/>
          <w:color w:val="auto"/>
        </w:rPr>
        <w:t>. Who Are Deemed Absolute Owners.</w:t>
      </w:r>
      <w:r>
        <w:rPr>
          <w:rFonts w:ascii="Times New Roman" w:cs="Times New Roman" w:eastAsia="Times New Roman" w:hAnsi="Times New Roman"/>
          <w:sz w:val="17"/>
          <w:szCs w:val="17"/>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Class A Common Stock so paid or delivered, effectual to satisfy and discharge the liability for monies payable or shares deliverable upon any such Note. Notwithstanding anything to the contrary in this Indenture or the Notes, any holder of a beneficial interest in a Global Note may directly enforce against the Company, without the consent, solicitation, proxy, authorization or any other action of the Depositary or any other Person (x) such holder’s right to convert a Note in which it holds such beneficial interest on account of a Deemed Redemption pursuant to Section 14.01(b)(v), and</w:t>
      </w:r>
    </w:p>
    <w:p>
      <w:pPr>
        <w:spacing w:after="0" w:line="3" w:lineRule="exact"/>
        <w:rPr>
          <w:sz w:val="20"/>
          <w:szCs w:val="20"/>
          <w:color w:val="auto"/>
        </w:rPr>
      </w:pPr>
    </w:p>
    <w:p>
      <w:pPr>
        <w:ind w:left="4" w:right="140" w:hanging="4"/>
        <w:spacing w:after="0" w:line="260"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right to exchange such beneficial interest for a Note in certificated form in accordance with the provisions of this Indenture following an Event of Default.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64" w:name="page65"/>
    <w:bookmarkEnd w:id="64"/>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8.04</w:t>
      </w:r>
      <w:r>
        <w:rPr>
          <w:rFonts w:ascii="Times New Roman" w:cs="Times New Roman" w:eastAsia="Times New Roman" w:hAnsi="Times New Roman"/>
          <w:sz w:val="18"/>
          <w:szCs w:val="18"/>
          <w:i w:val="1"/>
          <w:iCs w:val="1"/>
          <w:color w:val="auto"/>
        </w:rPr>
        <w:t>. Company-Owned Notes Disregarded.</w:t>
      </w:r>
      <w:r>
        <w:rPr>
          <w:rFonts w:ascii="Times New Roman" w:cs="Times New Roman" w:eastAsia="Times New Roman" w:hAnsi="Times New Roman"/>
          <w:sz w:val="18"/>
          <w:szCs w:val="18"/>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9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8.05</w:t>
      </w:r>
      <w:r>
        <w:rPr>
          <w:rFonts w:ascii="Times New Roman" w:cs="Times New Roman" w:eastAsia="Times New Roman" w:hAnsi="Times New Roman"/>
          <w:sz w:val="18"/>
          <w:szCs w:val="18"/>
          <w:i w:val="1"/>
          <w:iCs w:val="1"/>
          <w:color w:val="auto"/>
        </w:rPr>
        <w:t>. Revocation of Consents; Future Holders Bound.</w:t>
      </w:r>
      <w:r>
        <w:rPr>
          <w:rFonts w:ascii="Times New Roman" w:cs="Times New Roman" w:eastAsia="Times New Roman" w:hAnsi="Times New Roman"/>
          <w:sz w:val="18"/>
          <w:szCs w:val="18"/>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EETINGS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9.01</w:t>
      </w:r>
      <w:r>
        <w:rPr>
          <w:rFonts w:ascii="Times New Roman" w:cs="Times New Roman" w:eastAsia="Times New Roman" w:hAnsi="Times New Roman"/>
          <w:sz w:val="18"/>
          <w:szCs w:val="18"/>
          <w:i w:val="1"/>
          <w:iCs w:val="1"/>
          <w:color w:val="auto"/>
        </w:rPr>
        <w:t>. Purpose of Meetings.</w:t>
      </w:r>
      <w:r>
        <w:rPr>
          <w:rFonts w:ascii="Times New Roman" w:cs="Times New Roman" w:eastAsia="Times New Roman" w:hAnsi="Times New Roman"/>
          <w:sz w:val="18"/>
          <w:szCs w:val="18"/>
          <w:color w:val="auto"/>
        </w:rPr>
        <w:t xml:space="preserve"> A meeting of Holders may be called at any time and from time to time pursuant to the provisions of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 for any of the following purposes:</w:t>
      </w:r>
    </w:p>
    <w:p>
      <w:pPr>
        <w:spacing w:after="0" w:line="99" w:lineRule="exact"/>
        <w:rPr>
          <w:sz w:val="20"/>
          <w:szCs w:val="20"/>
          <w:color w:val="auto"/>
        </w:rPr>
      </w:pPr>
    </w:p>
    <w:p>
      <w:pPr>
        <w:jc w:val="both"/>
        <w:ind w:right="80" w:firstLine="436"/>
        <w:spacing w:after="0" w:line="266"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68" w:right="479" w:bottom="1440" w:gutter="0" w:footer="0" w:header="0"/>
        </w:sectPr>
      </w:pPr>
    </w:p>
    <w:bookmarkStart w:id="65" w:name="page66"/>
    <w:bookmarkEnd w:id="65"/>
    <w:p>
      <w:pPr>
        <w:ind w:left="700" w:hanging="26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remove the Trustee and nominate a successor trustee pursuant to the provisions of Article 7;</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10.02; or</w:t>
      </w:r>
    </w:p>
    <w:p>
      <w:pPr>
        <w:spacing w:after="0" w:line="225"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6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9.02</w:t>
      </w:r>
      <w:r>
        <w:rPr>
          <w:rFonts w:ascii="Times New Roman" w:cs="Times New Roman" w:eastAsia="Times New Roman" w:hAnsi="Times New Roman"/>
          <w:sz w:val="18"/>
          <w:szCs w:val="18"/>
          <w:i w:val="1"/>
          <w:iCs w:val="1"/>
          <w:color w:val="auto"/>
        </w:rPr>
        <w:t>. Call of Meetings by Trustee.</w:t>
      </w:r>
      <w:r>
        <w:rPr>
          <w:rFonts w:ascii="Times New Roman" w:cs="Times New Roman" w:eastAsia="Times New Roman" w:hAnsi="Times New Roman"/>
          <w:sz w:val="18"/>
          <w:szCs w:val="18"/>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8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9.03</w:t>
      </w:r>
      <w:r>
        <w:rPr>
          <w:rFonts w:ascii="Times New Roman" w:cs="Times New Roman" w:eastAsia="Times New Roman" w:hAnsi="Times New Roman"/>
          <w:sz w:val="18"/>
          <w:szCs w:val="18"/>
          <w:i w:val="1"/>
          <w:iCs w:val="1"/>
          <w:color w:val="auto"/>
        </w:rPr>
        <w:t>. Call of Meetings by Company or Holders.</w:t>
      </w:r>
      <w:r>
        <w:rPr>
          <w:rFonts w:ascii="Times New Roman" w:cs="Times New Roman" w:eastAsia="Times New Roman" w:hAnsi="Times New Roman"/>
          <w:sz w:val="18"/>
          <w:szCs w:val="18"/>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83" w:lineRule="exact"/>
        <w:rPr>
          <w:sz w:val="20"/>
          <w:szCs w:val="20"/>
          <w:color w:val="auto"/>
        </w:rPr>
      </w:pPr>
    </w:p>
    <w:p>
      <w:pPr>
        <w:jc w:val="both"/>
        <w:ind w:firstLine="440"/>
        <w:spacing w:after="0" w:line="281" w:lineRule="auto"/>
        <w:rPr>
          <w:sz w:val="20"/>
          <w:szCs w:val="20"/>
          <w:color w:val="auto"/>
        </w:rPr>
      </w:pPr>
      <w:r>
        <w:rPr>
          <w:rFonts w:ascii="Times New Roman" w:cs="Times New Roman" w:eastAsia="Times New Roman" w:hAnsi="Times New Roman"/>
          <w:sz w:val="17"/>
          <w:szCs w:val="17"/>
          <w:color w:val="auto"/>
        </w:rPr>
        <w:t>Section 9.04</w:t>
      </w:r>
      <w:r>
        <w:rPr>
          <w:rFonts w:ascii="Times New Roman" w:cs="Times New Roman" w:eastAsia="Times New Roman" w:hAnsi="Times New Roman"/>
          <w:sz w:val="17"/>
          <w:szCs w:val="17"/>
          <w:i w:val="1"/>
          <w:iCs w:val="1"/>
          <w:color w:val="auto"/>
        </w:rPr>
        <w:t>. Qualifications for Voting.</w:t>
      </w:r>
      <w:r>
        <w:rPr>
          <w:rFonts w:ascii="Times New Roman" w:cs="Times New Roman" w:eastAsia="Times New Roman" w:hAnsi="Times New Roman"/>
          <w:sz w:val="17"/>
          <w:szCs w:val="17"/>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64"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Section 9.05</w:t>
      </w:r>
      <w:r>
        <w:rPr>
          <w:rFonts w:ascii="Times New Roman" w:cs="Times New Roman" w:eastAsia="Times New Roman" w:hAnsi="Times New Roman"/>
          <w:sz w:val="18"/>
          <w:szCs w:val="18"/>
          <w:i w:val="1"/>
          <w:iCs w:val="1"/>
          <w:color w:val="auto"/>
        </w:rPr>
        <w:t>. Regulations.</w:t>
      </w:r>
      <w:r>
        <w:rPr>
          <w:rFonts w:ascii="Times New Roman" w:cs="Times New Roman" w:eastAsia="Times New Roman" w:hAnsi="Times New Roman"/>
          <w:sz w:val="18"/>
          <w:szCs w:val="18"/>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66" w:name="page67"/>
    <w:bookmarkEnd w:id="66"/>
    <w:p>
      <w:pPr>
        <w:jc w:val="both"/>
        <w:ind w:right="3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9.06</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3"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Section 9.07</w:t>
      </w:r>
      <w:r>
        <w:rPr>
          <w:rFonts w:ascii="Times New Roman" w:cs="Times New Roman" w:eastAsia="Times New Roman" w:hAnsi="Times New Roman"/>
          <w:sz w:val="18"/>
          <w:szCs w:val="18"/>
          <w:i w:val="1"/>
          <w:iCs w:val="1"/>
          <w:color w:val="auto"/>
        </w:rPr>
        <w:t>. No Delay of Rights by Meeting.</w:t>
      </w:r>
      <w:r>
        <w:rPr>
          <w:rFonts w:ascii="Times New Roman" w:cs="Times New Roman" w:eastAsia="Times New Roman" w:hAnsi="Times New Roman"/>
          <w:sz w:val="18"/>
          <w:szCs w:val="18"/>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NDENTURES</w:t>
      </w:r>
    </w:p>
    <w:p>
      <w:pPr>
        <w:spacing w:after="0" w:line="20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18"/>
          <w:szCs w:val="18"/>
          <w:i w:val="1"/>
          <w:iCs w:val="1"/>
          <w:color w:val="auto"/>
        </w:rPr>
        <w:t>. Supplemental Indentures Without Consent of Holders.</w:t>
      </w:r>
      <w:r>
        <w:rPr>
          <w:rFonts w:ascii="Times New Roman" w:cs="Times New Roman" w:eastAsia="Times New Roman" w:hAnsi="Times New Roman"/>
          <w:sz w:val="18"/>
          <w:szCs w:val="18"/>
          <w:color w:val="auto"/>
        </w:rPr>
        <w:t xml:space="preserve"> The Company and the Trustee, at the Company’s expense, may from time to time and at any time enter into an indenture or indentures supplemental hereto for one or more of the following purposes:</w:t>
      </w:r>
    </w:p>
    <w:p>
      <w:pPr>
        <w:spacing w:after="0" w:line="52" w:lineRule="exact"/>
        <w:rPr>
          <w:sz w:val="20"/>
          <w:szCs w:val="20"/>
          <w:color w:val="auto"/>
        </w:rPr>
      </w:pPr>
    </w:p>
    <w:p>
      <w:pPr>
        <w:ind w:left="680" w:hanging="244"/>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Entity of the obligations of the Company under this Indenture pursuant to Article 11;</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25" w:lineRule="exact"/>
        <w:rPr>
          <w:rFonts w:ascii="Times New Roman" w:cs="Times New Roman" w:eastAsia="Times New Roman" w:hAnsi="Times New Roman"/>
          <w:sz w:val="18"/>
          <w:szCs w:val="18"/>
          <w:color w:val="auto"/>
        </w:rPr>
      </w:pPr>
    </w:p>
    <w:p>
      <w:pPr>
        <w:ind w:right="100" w:firstLine="436"/>
        <w:spacing w:after="0" w:line="282"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or Events of Default of the Company for the benefit of the Holders or surrender any right or power conferred upon the Company;</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6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 as certified by the Company in an Officer’s Certificate;</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Share Exchange Event, to provide that the Notes are convertible into Reference Property, subject to the provisions of Section 14.02, and make such related changes to the terms of the Notes to the extent expressly required by Section 14.07;</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Indenture or the Notes to the “Description of Notes” section of the Offering Memorandum as evidenced in an Officer’s Certificate;</w:t>
      </w:r>
    </w:p>
    <w:p>
      <w:pPr>
        <w:spacing w:after="0" w:line="161" w:lineRule="exact"/>
        <w:rPr>
          <w:rFonts w:ascii="Times New Roman" w:cs="Times New Roman" w:eastAsia="Times New Roman" w:hAnsi="Times New Roman"/>
          <w:sz w:val="18"/>
          <w:szCs w:val="18"/>
          <w:color w:val="auto"/>
        </w:rPr>
      </w:pPr>
    </w:p>
    <w:p>
      <w:pPr>
        <w:ind w:right="680" w:firstLine="436"/>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Depositary, including The Depository Trust Company, so long as such amendment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with respect to the Notes;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Conversion Rate as provided in this Indenture;</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Note Registrar, Paying Agent, Bid Solicitation Agent or Conversion Agent to facilitate the administration of the trusts under this Indenture by more than one trustee; or</w:t>
      </w:r>
    </w:p>
    <w:p>
      <w:pPr>
        <w:spacing w:after="0" w:line="161" w:lineRule="exact"/>
        <w:rPr>
          <w:rFonts w:ascii="Times New Roman" w:cs="Times New Roman" w:eastAsia="Times New Roman" w:hAnsi="Times New Roman"/>
          <w:sz w:val="18"/>
          <w:szCs w:val="18"/>
          <w:color w:val="auto"/>
        </w:rPr>
      </w:pPr>
    </w:p>
    <w:p>
      <w:pPr>
        <w:ind w:right="260" w:firstLine="436"/>
        <w:spacing w:after="0" w:line="266" w:lineRule="auto"/>
        <w:tabs>
          <w:tab w:leader="none" w:pos="7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irrevocably elect a Settlement Method or a Specified Dollar Amount, or eliminate the Company’s right to elect a Settlement Method (including at the Company’s option upon an Irrevocable 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election or elimination shall affect any Settlement Method theretofore elected (or deemed to be elected) with respect to any Note pursuant to the provisions of Article 14.</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68" w:name="page69"/>
    <w:bookmarkEnd w:id="68"/>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58"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6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10.02</w:t>
      </w:r>
      <w:r>
        <w:rPr>
          <w:rFonts w:ascii="Times New Roman" w:cs="Times New Roman" w:eastAsia="Times New Roman" w:hAnsi="Times New Roman"/>
          <w:sz w:val="18"/>
          <w:szCs w:val="18"/>
          <w:i w:val="1"/>
          <w:iCs w:val="1"/>
          <w:color w:val="auto"/>
        </w:rPr>
        <w:t>. Supplemental Indentures with Consent of Holders.</w:t>
      </w:r>
      <w:r>
        <w:rPr>
          <w:rFonts w:ascii="Times New Roman" w:cs="Times New Roman" w:eastAsia="Times New Roman" w:hAnsi="Times New Roman"/>
          <w:sz w:val="18"/>
          <w:szCs w:val="18"/>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consent of each Holder of an outstanding Note affected, no such supplemental indenture shall:</w:t>
      </w:r>
    </w:p>
    <w:p>
      <w:pPr>
        <w:spacing w:after="0" w:line="76" w:lineRule="exact"/>
        <w:rPr>
          <w:sz w:val="20"/>
          <w:szCs w:val="20"/>
          <w:color w:val="auto"/>
        </w:rPr>
      </w:pPr>
    </w:p>
    <w:p>
      <w:pPr>
        <w:ind w:left="680" w:hanging="244"/>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interest on any Note;</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Maturity Date of any Note;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this Indenture, make any change that adversely affects the conversion rights of any Notes;</w:t>
      </w:r>
    </w:p>
    <w:p>
      <w:pPr>
        <w:spacing w:after="0" w:line="225" w:lineRule="exact"/>
        <w:rPr>
          <w:rFonts w:ascii="Times New Roman" w:cs="Times New Roman" w:eastAsia="Times New Roman" w:hAnsi="Times New Roman"/>
          <w:sz w:val="18"/>
          <w:szCs w:val="18"/>
          <w:color w:val="auto"/>
        </w:rPr>
      </w:pPr>
    </w:p>
    <w:p>
      <w:pPr>
        <w:jc w:val="both"/>
        <w:ind w:right="380" w:firstLine="436"/>
        <w:spacing w:after="0" w:line="266"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a currency, or at a place of payment, other than that stated in the Note;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 or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 10 that requires each Holder’s consent or in the waiver provisions in Section 6.02 or Section 6.09.</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70" w:right="479" w:bottom="1440" w:gutter="0" w:footer="0" w:header="0"/>
        </w:sectPr>
      </w:pPr>
    </w:p>
    <w:bookmarkStart w:id="69" w:name="page70"/>
    <w:bookmarkEnd w:id="69"/>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supplemental indenture. It shall be sufficient if such Holders approve the substance thereof. After any supplemental indenture under Section 10.01 or this Section 10.02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spacing w:after="0" w:line="17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10.03</w:t>
      </w:r>
      <w:r>
        <w:rPr>
          <w:rFonts w:ascii="Times New Roman" w:cs="Times New Roman" w:eastAsia="Times New Roman" w:hAnsi="Times New Roman"/>
          <w:sz w:val="18"/>
          <w:szCs w:val="18"/>
          <w:i w:val="1"/>
          <w:iCs w:val="1"/>
          <w:color w:val="auto"/>
        </w:rPr>
        <w:t>. Effect of Supplemental Indentures.</w:t>
      </w:r>
      <w:r>
        <w:rPr>
          <w:rFonts w:ascii="Times New Roman" w:cs="Times New Roman" w:eastAsia="Times New Roman" w:hAnsi="Times New Roman"/>
          <w:sz w:val="18"/>
          <w:szCs w:val="18"/>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3"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Section 10.04</w:t>
      </w:r>
      <w:r>
        <w:rPr>
          <w:rFonts w:ascii="Times New Roman" w:cs="Times New Roman" w:eastAsia="Times New Roman" w:hAnsi="Times New Roman"/>
          <w:sz w:val="18"/>
          <w:szCs w:val="18"/>
          <w:i w:val="1"/>
          <w:iCs w:val="1"/>
          <w:color w:val="auto"/>
        </w:rPr>
        <w:t>. Notation on Notes.</w:t>
      </w:r>
      <w:r>
        <w:rPr>
          <w:rFonts w:ascii="Times New Roman" w:cs="Times New Roman" w:eastAsia="Times New Roman" w:hAnsi="Times New Roman"/>
          <w:sz w:val="18"/>
          <w:szCs w:val="18"/>
          <w:color w:val="auto"/>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10.05</w:t>
      </w:r>
      <w:r>
        <w:rPr>
          <w:rFonts w:ascii="Times New Roman" w:cs="Times New Roman" w:eastAsia="Times New Roman" w:hAnsi="Times New Roman"/>
          <w:sz w:val="18"/>
          <w:szCs w:val="18"/>
          <w:i w:val="1"/>
          <w:iCs w:val="1"/>
          <w:color w:val="auto"/>
        </w:rPr>
        <w:t>. Evidence of Compliance of Supplemental Indenture to Be Furnished to Trustee.</w:t>
      </w:r>
      <w:r>
        <w:rPr>
          <w:rFonts w:ascii="Times New Roman" w:cs="Times New Roman" w:eastAsia="Times New Roman" w:hAnsi="Times New Roman"/>
          <w:sz w:val="18"/>
          <w:szCs w:val="18"/>
          <w:color w:val="auto"/>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to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20"/>
          </w:cols>
          <w:pgMar w:left="440" w:top="270" w:right="5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EASE</w:t>
      </w:r>
    </w:p>
    <w:p>
      <w:pPr>
        <w:spacing w:after="0" w:line="20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Section 11.01</w:t>
      </w:r>
      <w:r>
        <w:rPr>
          <w:rFonts w:ascii="Times New Roman" w:cs="Times New Roman" w:eastAsia="Times New Roman" w:hAnsi="Times New Roman"/>
          <w:sz w:val="18"/>
          <w:szCs w:val="18"/>
          <w:i w:val="1"/>
          <w:iCs w:val="1"/>
          <w:color w:val="auto"/>
        </w:rPr>
        <w:t>. Company May Consolidate, Etc. on Certain Terms.</w:t>
      </w:r>
      <w:r>
        <w:rPr>
          <w:rFonts w:ascii="Times New Roman" w:cs="Times New Roman" w:eastAsia="Times New Roman" w:hAnsi="Times New Roman"/>
          <w:sz w:val="18"/>
          <w:szCs w:val="18"/>
          <w:color w:val="auto"/>
        </w:rPr>
        <w:t xml:space="preserve"> Subject to the provisions of Section 11.02,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(each,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70" w:lineRule="exact"/>
        <w:rPr>
          <w:sz w:val="20"/>
          <w:szCs w:val="20"/>
          <w:color w:val="auto"/>
        </w:rPr>
      </w:pPr>
    </w:p>
    <w:p>
      <w:pPr>
        <w:ind w:right="20" w:firstLine="436"/>
        <w:spacing w:after="0" w:line="268"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if not the Company, shall be a Qualified Successor Entity organized and existing under the laws of the United States of America, any state thereof or the District of Columbia, and the Successor Entity (if not the Company) shall expressly assume, by supplemental indenture all of the obligations of the Company under the Notes and this Indenture; and</w:t>
      </w:r>
    </w:p>
    <w:p>
      <w:pPr>
        <w:spacing w:after="0" w:line="174"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shall have occurred and be continuing under this Indenture.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7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11.02</w:t>
      </w:r>
      <w:r>
        <w:rPr>
          <w:rFonts w:ascii="Times New Roman" w:cs="Times New Roman" w:eastAsia="Times New Roman" w:hAnsi="Times New Roman"/>
          <w:sz w:val="18"/>
          <w:szCs w:val="18"/>
          <w:i w:val="1"/>
          <w:iCs w:val="1"/>
          <w:color w:val="auto"/>
        </w:rPr>
        <w:t>. Successor Entity to Be Substituted.</w:t>
      </w:r>
      <w:r>
        <w:rPr>
          <w:rFonts w:ascii="Times New Roman" w:cs="Times New Roman" w:eastAsia="Times New Roman" w:hAnsi="Times New Roman"/>
          <w:sz w:val="18"/>
          <w:szCs w:val="18"/>
          <w:color w:val="auto"/>
        </w:rPr>
        <w:t xml:space="preserve"> In case of any such Business Combination Event and upon the assumption by the Successor Entity,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Entity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70" w:right="479" w:bottom="1440" w:gutter="0" w:footer="0" w:header="0"/>
        </w:sectPr>
      </w:pPr>
    </w:p>
    <w:bookmarkStart w:id="71" w:name="page72"/>
    <w:bookmarkEnd w:id="71"/>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Business Combination Event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 In case of any Business Combination Event, such changes in phraseology and form (but not in substance) may be made in the Notes thereafter to be issued as may be appropriate.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IRECTORS</w:t>
      </w:r>
    </w:p>
    <w:p>
      <w:pPr>
        <w:spacing w:after="0" w:line="20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12.01</w:t>
      </w:r>
      <w:r>
        <w:rPr>
          <w:rFonts w:ascii="Times New Roman" w:cs="Times New Roman" w:eastAsia="Times New Roman" w:hAnsi="Times New Roman"/>
          <w:sz w:val="18"/>
          <w:szCs w:val="18"/>
          <w:i w:val="1"/>
          <w:iCs w:val="1"/>
          <w:color w:val="auto"/>
        </w:rPr>
        <w:t>. Indenture and Notes Solely Corporate Obligations.</w:t>
      </w:r>
      <w:r>
        <w:rPr>
          <w:rFonts w:ascii="Times New Roman" w:cs="Times New Roman" w:eastAsia="Times New Roman" w:hAnsi="Times New Roman"/>
          <w:sz w:val="18"/>
          <w:szCs w:val="18"/>
          <w:color w:val="auto"/>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14.01</w:t>
      </w:r>
      <w:r>
        <w:rPr>
          <w:rFonts w:ascii="Times New Roman" w:cs="Times New Roman" w:eastAsia="Times New Roman" w:hAnsi="Times New Roman"/>
          <w:sz w:val="18"/>
          <w:szCs w:val="18"/>
          <w:i w:val="1"/>
          <w:iCs w:val="1"/>
          <w:color w:val="auto"/>
        </w:rPr>
        <w:t>. Conversion Privilege.</w:t>
      </w:r>
    </w:p>
    <w:p>
      <w:pPr>
        <w:spacing w:after="0" w:line="227" w:lineRule="exact"/>
        <w:rPr>
          <w:sz w:val="20"/>
          <w:szCs w:val="20"/>
          <w:color w:val="auto"/>
        </w:rPr>
      </w:pPr>
    </w:p>
    <w:p>
      <w:pPr>
        <w:ind w:right="220" w:firstLine="436"/>
        <w:spacing w:after="0" w:line="261"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upon compliance with the provisions of this Article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April 15, 2030 under the circumstances and during the periods set forth in Section 14.01(b), and (ii) regardless of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2" w:name="page73"/>
    <w:bookmarkEnd w:id="7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described in Section 14.01(b), on or after April 15, 2030 and prior to the close of business on the second Scheduled Trading Day immediately preceding the Maturity Date, in each case, at an initial conversion rate of 11.8778 shares of Class A Common Stock (subject to adjustment as provided in this Article 14,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The Trustee shall have no obligation to make any determination as to whether any of the conditions described in Section 14.01(b) have been satisfied.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ind w:left="440" w:right="20" w:firstLine="419"/>
        <w:spacing w:after="0" w:line="251" w:lineRule="auto"/>
        <w:tabs>
          <w:tab w:leader="none" w:pos="10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April 15, 2030, a Holder may surrender all or any portion of its Notes for conversion at any time during the five Business Day period immediately after any ten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Class A Common Stock on each such Trading Day and the Conversion Rate on each such Trading Day. The Trading Prices shall be determined by the Bid Solicitation Agent pursuant to this subsection (b)(i) and the definition of Trading Price set forth in this Indenture. The Bid Solicitation Agent (if other than the Company) shall have no obligation to determine the Trading Price per $1,000 principal amount of Notes unless the Company has requested such determination, and the Company shall have no obligation to make such request (or, if the Company is acting as Bid Solicitation Agent, the Company shall have no obligation to determine the Trading Price per $1,000 principal amount of Notes) unless a Holder or Holders of at least $5,000,000 aggregate principal amount of Notes provides the Company with reasonable evidence that the Trading Price per $1,000 principal amount of Notes on any Trading Day would be less than 98% of the product of the Last Reported Sale Price of the Class A Common Stock on such Trading Day and the Conversion Rate on such Trading Day, at which time the Company shall instruct three independent nationally recognized securities dealers to deliver bids and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Class A Common Stock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gives such instruction to the Bid Solicitation Agent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on any date shall be deemed to be less than 98% of the product of the Last Reported Sale Price of the Class A Common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70" w:right="439" w:bottom="1440" w:gutter="0" w:footer="0" w:header="0"/>
        </w:sectPr>
      </w:pPr>
    </w:p>
    <w:bookmarkStart w:id="73" w:name="page74"/>
    <w:bookmarkEnd w:id="73"/>
    <w:p>
      <w:pPr>
        <w:ind w:right="2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and the Conversion Rate on each Trading Day of such failure. If the Trading Price condition set forth above has been met, the Company shall so notify the Holders, the Trustee and the Conversion Agent (if other than the Trustee) in writing. Any such determination shall be conclusive absent manifest error. If, at any time after the Trading Price condition set forth above has been met, the Trading Price per $1,000 principal amount of Notes is greater than or equal to 98% of the product of the Last Reported Sale Price of the Class A Common Stock and the Conversion Rate for such date, the Company shall so notify the Holders, the Trustee and the Conversion Agent (if other than the Trustee) in writing and thereafter neither the Company nor the Bid Solicitation Agent (if other than the Company) shall be required to solicit bids (or determine the Trading Price of the Notes as set forth in this Indenture) again unless a new Holder request is made as provided in this subsection (b)(i).</w:t>
      </w:r>
    </w:p>
    <w:p>
      <w:pPr>
        <w:spacing w:after="0" w:line="84" w:lineRule="exact"/>
        <w:rPr>
          <w:sz w:val="20"/>
          <w:szCs w:val="20"/>
          <w:color w:val="auto"/>
        </w:rPr>
      </w:pPr>
    </w:p>
    <w:p>
      <w:pPr>
        <w:ind w:left="680" w:hanging="26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April 15, 2030, the Company elects to:</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56" w:lineRule="auto"/>
        <w:tabs>
          <w:tab w:leader="none" w:pos="12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Class A Common Stock any rights, options or warrants (other than in connection with a stockholder rights plan prior to the separation of such rights from the Class A Common Stock) entitling them, for a period of not more than 60 calendar days after the announcement date of such distribution, to subscribe for or purchase shares of the Class A Common Stock at a price per share that is less than the average of the Last Reported Sale Prices of the Class A Common Stock for the 10 consecutive Trading Day period ending on, and including, the Trading Day immediately preceding the date of announcement of such distribution; or</w:t>
      </w:r>
    </w:p>
    <w:p>
      <w:pPr>
        <w:spacing w:after="0" w:line="79" w:lineRule="exact"/>
        <w:rPr>
          <w:rFonts w:ascii="Times New Roman" w:cs="Times New Roman" w:eastAsia="Times New Roman" w:hAnsi="Times New Roman"/>
          <w:sz w:val="18"/>
          <w:szCs w:val="18"/>
          <w:color w:val="auto"/>
        </w:rPr>
      </w:pPr>
    </w:p>
    <w:p>
      <w:pPr>
        <w:ind w:left="540" w:right="100" w:firstLine="408"/>
        <w:spacing w:after="0" w:line="261" w:lineRule="auto"/>
        <w:tabs>
          <w:tab w:leader="none" w:pos="122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Class A Common Stock the Company’s assets, securities or rights to purchase securities of the Company (other than in connection with a stockholder rights plan prior to separation of such rights from the Class A Common Stock), which distribution has a per share value, as reasonably determined by the Company in good faith, exceeding 10% of the Last Reported Sale Price of the Class A Common Stock on the Trading Day preceding the date of announcement for such distribution,</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then, in either case, the Company shall notify all Holders of the Notes, the Trustee and the Conversion Agent (if other than the Trustee) in writing at least 26 Scheduled Trading Days prior to the Ex-Dividend Date for such distribution (or, if later in the case of any such separation of rights issued pursuant to a stockholder rights plan, as soon as reasonably practicable after the Company becomes aware that such separation or triggering event has occurred or will occur);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is then otherwise permitted to settle conversions of Notes by Physical Settlement (and, for the avoidance of doubt, has not irrevocably elected another Settlement Method for conversions of Notes), then the Company may instead elect to provide such notice at least five Scheduled Trading Days prior to such Ex-Dividend Date, in which case the Company shall be required to settle all conversions of Notes with a Conversion Date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60"/>
          </w:cols>
          <w:pgMar w:left="880" w:top="270" w:right="459" w:bottom="1440" w:gutter="0" w:footer="0" w:header="0"/>
        </w:sectPr>
      </w:pPr>
    </w:p>
    <w:bookmarkStart w:id="74" w:name="page75"/>
    <w:bookmarkEnd w:id="7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occurring during the period on or after the date the Company provides such notice and before such Ex-Dividend Date (or, if earlier, the date the Company announces that such issuance or distribution will not take place) by Physical Settlement, and the Company shall describe the same in such notice. Once the Company has given such notice, a Holder may surrender all or any portion of its Notes for conversion at any time until the earlier of (1) the close of business on the Business Day immediately preceding the Ex-Dividend Date for such distribution and (2) the Company’s announcement that such distribution will not take place, in each case, even if the Notes are not otherwise convertible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may not convert their Notes pursuant to this subsection (b)(ii) if they participate, at the same time and upon the same terms as holders of the Class A Common Stock and solely as a result of holding the Notes, in any of the transactions described in clause (A) or (B) of this subsection (b)(ii) without having to convert their Notes as if they held a number of shares of Class A Common Stock equal to the Conversion Rate,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the principal amount (expressed in thousands) of Notes held by such Holder.</w:t>
      </w:r>
    </w:p>
    <w:p>
      <w:pPr>
        <w:spacing w:after="0" w:line="80" w:lineRule="exact"/>
        <w:rPr>
          <w:sz w:val="20"/>
          <w:szCs w:val="20"/>
          <w:color w:val="auto"/>
        </w:rPr>
      </w:pPr>
    </w:p>
    <w:p>
      <w:pPr>
        <w:ind w:firstLine="419"/>
        <w:spacing w:after="0" w:line="252" w:lineRule="auto"/>
        <w:tabs>
          <w:tab w:leader="none" w:pos="7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 transaction or event that constitutes a Fundamental Change or a Make-Whole Fundamental Change occurs prior to the close of business on the Business Day immediately preceding April 15, 2030, regardless of whether a Holder has the right to require the Company to repurchase the Notes pursuant to Section 15.02, or (B) the Company is a party to a Share Exchange Event (other than a Share Exchange Event that is solely for the purpose of changing the Company’s jurisdiction of organization that (x) does not constitute a Fundamental Change or a Make-Whole Fundamental Change and (y) results in a reclassification, conversion or exchange of outstanding shares of Class A Common Stock solely into shares of common stock of the surviving entity and such common stock becomes Reference Property for the Notes) that occurs prior to the close of business on the Business Day immediately preceding April 15, 2030, (each such Fundamental Change, Make-Whole Fundamental Change or Share Exchange Event,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all or any portion of a Holder’s Notes may be surrendered for conversion at any time from or after the effective date of such Corporate Event until the earlier of (x) 35 Trading Days after the effective date of the Corporate Event (or, if the Company gives notice after the effective date of such Corporate Event, until 35 Trading Days after the date the Company gives notice of such Corporate Event) or, if such Corporate Event also constitutes a Fundamental Change (other than an Exempted Fundamental Change), until the close of business on the Business Day immediately preceding the related Fundamental Change Repurchase Date and (y) the close of business on the second Scheduled Trading Day immediately preceding the Maturity Date. The Company shall notify Holders, the Trustee and the Conversion Agent (if other than the Trustee) in writing as promptly as practicable following the effective date of such Corporate Event, but in no event later than one Business Day after the effective date of such Corporate Event.</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60"/>
          </w:cols>
          <w:pgMar w:left="880" w:top="270" w:right="459" w:bottom="1440" w:gutter="0" w:footer="0" w:header="0"/>
        </w:sectPr>
      </w:pPr>
    </w:p>
    <w:bookmarkStart w:id="75" w:name="page76"/>
    <w:bookmarkEnd w:id="75"/>
    <w:p>
      <w:pPr>
        <w:ind w:right="160" w:firstLine="419"/>
        <w:spacing w:after="0" w:line="258" w:lineRule="auto"/>
        <w:tabs>
          <w:tab w:leader="none" w:pos="7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close of business on the Business Day immediately preceding April 15, 2030, a Holder may surrender all or any portion of its Notes for conversion at any time during any calendar quarter commencing after the calendar quarter ending on September 30, 2025 (and only during such calendar quarter), if the Last Reported Sale Price of the Class A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spacing w:after="0" w:line="75"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Notes for Optional Redemption pursuant to Article 16, then a Holder may surrender all or any portion of its Called Notes for conversion at any time prior to the close of business on the second Scheduled Trading Day immediately preceding the Redemption Date, even if the Called Notes are not otherwise convertible at such time. After that time, the right to convert such Called Notes on account of the Company’s delivery of a Notice of Redemption shall expire, unless the Company defaults in the payment of the Redemption Price, in which case a Holder of Called Notes may convert all or a portion of its Called Notes until the close of business on the Scheduled Trading Day immediately preceding the date on which the Redemption Price has been paid or duly provided for. If the Company elects to redeem fewer than all of the outstanding Notes pursuant to Article 16, and the Holder of any Note (or any owner of a beneficial interest in any Global Note) is reasonably not able to determine, prior to the close of business on the 24th Scheduled Trading Day immediately preceding the relevant Redemption Date (or if, as permitted by Section 16.02(a), the Company delivers a Notice of Redemption not less than 15 calendar days nor more than 45 Scheduled Trading Days prior to the related Redemption Date, then prior to close of business on the 14th calendar day immediately before the relevant Redemption Date), whether such Note or beneficial interest, as applicable, is to be redeemed pursuant to such Optional Redemption (and, as a result thereof, convertible on account of the related Notice of Redemption in accordance with the provisions of this Indenture), then such Holder or owner, as applicable, will be entitled to convert such Note or beneficial interest, as applicable, at any time during the related Redemption Period, and each such conversion will be deemed to be of a Note called for Optional Redemption, and such Note or beneficial interest will be deemed called for Optional Redemption solely for the purposes of such conversion (“</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If a Holder elects to convert Called Notes during the related Redemption Period, such conversion will be deemed “in connection with” the relevant Notice of Redemption pursuant to Section 14.03(a), and the Company will, under certain circumstances, increase the Conversion Rate for such Called Notes pursuant to Section 14.03. Accordingly, if the Company elects to redeem fewer than all of the outstanding Notes pursuant to Article 16, Holders of the Notes that are not Called Notes shall not be entitled to convert such Notes pursuant to this Section 14.01(b)(v) and shall not be entitled to an increase in the Conversion Rate on account of the Notice of Redemption for conversions of such Notes during the related Redemption Period, even if such Notes are otherwise convertible pursuant to any other provision of this Section 14.01(b).</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60"/>
          </w:cols>
          <w:pgMar w:left="880" w:top="270" w:right="459" w:bottom="1440" w:gutter="0" w:footer="0" w:header="0"/>
        </w:sectPr>
      </w:pPr>
    </w:p>
    <w:bookmarkStart w:id="76" w:name="page77"/>
    <w:bookmarkEnd w:id="7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14.02</w:t>
      </w:r>
      <w:r>
        <w:rPr>
          <w:rFonts w:ascii="Times New Roman" w:cs="Times New Roman" w:eastAsia="Times New Roman" w:hAnsi="Times New Roman"/>
          <w:sz w:val="18"/>
          <w:szCs w:val="18"/>
          <w:i w:val="1"/>
          <w:iCs w:val="1"/>
          <w:color w:val="auto"/>
        </w:rPr>
        <w:t>. Conversion Procedure; Settlement Upon Conversion.</w:t>
      </w:r>
    </w:p>
    <w:p>
      <w:pPr>
        <w:spacing w:after="0" w:line="227" w:lineRule="exact"/>
        <w:rPr>
          <w:sz w:val="20"/>
          <w:szCs w:val="20"/>
          <w:color w:val="auto"/>
        </w:rPr>
      </w:pPr>
    </w:p>
    <w:p>
      <w:pPr>
        <w:ind w:left="4" w:right="160" w:firstLine="436"/>
        <w:spacing w:after="0" w:line="269" w:lineRule="auto"/>
        <w:tabs>
          <w:tab w:leader="none" w:pos="689"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Times New Roman" w:cs="Times New Roman" w:eastAsia="Times New Roman" w:hAnsi="Times New Roman"/>
          <w:sz w:val="17"/>
          <w:szCs w:val="17"/>
          <w:b w:val="1"/>
          <w:bCs w:val="1"/>
          <w:color w:val="auto"/>
        </w:rPr>
        <w:t>Cash Settlement</w:t>
      </w:r>
      <w:r>
        <w:rPr>
          <w:rFonts w:ascii="Times New Roman" w:cs="Times New Roman" w:eastAsia="Times New Roman" w:hAnsi="Times New Roman"/>
          <w:sz w:val="17"/>
          <w:szCs w:val="17"/>
          <w:color w:val="auto"/>
        </w:rPr>
        <w:t>”), shares of Class A Common Stock, together with cash, if applicable, in lieu of delivering any fractional share of Class A Common Stock in accordance with subsection (j) of this Section 14.02 (“</w:t>
      </w:r>
      <w:r>
        <w:rPr>
          <w:rFonts w:ascii="Times New Roman" w:cs="Times New Roman" w:eastAsia="Times New Roman" w:hAnsi="Times New Roman"/>
          <w:sz w:val="17"/>
          <w:szCs w:val="17"/>
          <w:b w:val="1"/>
          <w:bCs w:val="1"/>
          <w:color w:val="auto"/>
        </w:rPr>
        <w:t>Physical Settlement</w:t>
      </w:r>
      <w:r>
        <w:rPr>
          <w:rFonts w:ascii="Times New Roman" w:cs="Times New Roman" w:eastAsia="Times New Roman" w:hAnsi="Times New Roman"/>
          <w:sz w:val="17"/>
          <w:szCs w:val="17"/>
          <w:color w:val="auto"/>
        </w:rPr>
        <w:t>”) or a combination of cash and shares of Class A Common Stock, together with cash, if applicable, in lieu of delivering any fractional share of Class A Common Stock in accordance with subsection</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14.02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at its election, as set forth in this Section 14.02.</w:t>
      </w:r>
    </w:p>
    <w:p>
      <w:pPr>
        <w:spacing w:after="0" w:line="98" w:lineRule="exact"/>
        <w:rPr>
          <w:rFonts w:ascii="Times New Roman" w:cs="Times New Roman" w:eastAsia="Times New Roman" w:hAnsi="Times New Roman"/>
          <w:sz w:val="18"/>
          <w:szCs w:val="18"/>
          <w:color w:val="auto"/>
        </w:rPr>
      </w:pPr>
    </w:p>
    <w:p>
      <w:pPr>
        <w:ind w:left="444" w:right="660" w:firstLine="419"/>
        <w:spacing w:after="0" w:line="282" w:lineRule="auto"/>
        <w:tabs>
          <w:tab w:leader="none" w:pos="108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conversions of Called Notes for which the relevant Conversion Date occurs during the related Redemption Period, and all conversions for which the relevant Conversion Date occurs on or after April 15, 2030, shall be settled using the same Settlement Method.</w:t>
      </w:r>
    </w:p>
    <w:p>
      <w:pPr>
        <w:spacing w:after="0" w:line="53" w:lineRule="exact"/>
        <w:rPr>
          <w:rFonts w:ascii="Times New Roman" w:cs="Times New Roman" w:eastAsia="Times New Roman" w:hAnsi="Times New Roman"/>
          <w:sz w:val="18"/>
          <w:szCs w:val="18"/>
          <w:color w:val="auto"/>
        </w:rPr>
      </w:pPr>
    </w:p>
    <w:p>
      <w:pPr>
        <w:ind w:left="444" w:right="120" w:firstLine="419"/>
        <w:spacing w:after="0" w:line="256" w:lineRule="auto"/>
        <w:tabs>
          <w:tab w:leader="none" w:pos="113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conversions of Called Notes for which the relevant Conversion Date occurs during the related Redemption Period, and any conversions for which the relevant Conversion Date occurs on or after April 15, 2030, and except to the extent the Company has irrevocably elected Physical Settlement pursuant to Section 14.01(b)(ii) in a notice as described in such Section or has previously made an Irrevocable Election with respect to all subsequent conversions of the Notes pursuant to the second paragraph of Section 14.02(a)(iii), the Company shall use the same Settlement Method for all conversions with the same Conversion Date, but the Company shall not have any obligation to use the same Settlement Method with respect to conversions with different Conversion Dates.</w:t>
      </w:r>
    </w:p>
    <w:p>
      <w:pPr>
        <w:spacing w:after="0" w:line="79" w:lineRule="exact"/>
        <w:rPr>
          <w:rFonts w:ascii="Times New Roman" w:cs="Times New Roman" w:eastAsia="Times New Roman" w:hAnsi="Times New Roman"/>
          <w:sz w:val="18"/>
          <w:szCs w:val="18"/>
          <w:color w:val="auto"/>
        </w:rPr>
      </w:pPr>
    </w:p>
    <w:p>
      <w:pPr>
        <w:ind w:left="444" w:firstLine="419"/>
        <w:spacing w:after="0" w:line="253" w:lineRule="auto"/>
        <w:tabs>
          <w:tab w:leader="none" w:pos="118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respect of any Conversion Date (or any conversions of Called Notes for which the relevant Conversion Date occurs during the related Redemption Period, or any conversions for which the relevant Conversion Date occurs on or after April 15, 2030 or for which the Company has irrevocably elected Physical Settlement pursuant to Section 14.01(b)(ii) in a notice as described in such Section), the Company elects to deliver a notice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 any conversions of Called Notes for which the relevant Conversion Date occurs during the related Redemption Period, in the related Notice of Redemption, (B) any conversions of Notes for which the relevant Conversion Date occurs on or after April 15, 2030, no later than April 15, 2030 or (C) any conversions for which the Company has irrevocably elected Physical Settlement pursuant to Section 14.01(b)(ii), in a notice as described in such Section or for which the Company has previously made an Irrevocable Election with respect to all subsequent conversions of the Notes, as described in the next succeeding paragraph). If the Company does not elect a Settlement Method prior to the deadline set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68" w:right="459" w:bottom="1440" w:gutter="0" w:footer="0" w:header="0"/>
        </w:sectPr>
      </w:pPr>
    </w:p>
    <w:bookmarkStart w:id="77" w:name="page78"/>
    <w:bookmarkEnd w:id="77"/>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forth in the immediately preceding sentence, the Company shall no longer have the right to elect a Settlement Method with respect to any conversion on such Conversion Date or during such period, and the Company shall be deemed to have elected the Default Settlement Method with respect to such conversion.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Combination Settlement (or is deemed to have elected Combination Settlement) in respect of its Conversion Obligation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as applicable a Specified Dollar Amount shall not constitute a Default under this Indenture.</w:t>
      </w:r>
    </w:p>
    <w:p>
      <w:pPr>
        <w:spacing w:after="0" w:line="64"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By notice to Holders, the Trustee and the Conversion Agent (if other than the Trustee), the Company may, from time to time, change the Default Settlement Method prior to April 15, 2030. By notice to all Holders, the Company may, prior to April 15, 2030, at its option, irrevocably elect to satisfy its Conversion Obligation with respect to the Notes through any Settlement Method that the Company is then permitted to elect, including Combination Settlement with a Specified Dollar Amount per $1,000 principal amount of Notes of $1,000 or with an ability to continue to set the Specified Dollar Amount per $1,000 principal amount of Notes at or above a specific amount set forth in such election notice (any such election, an “</w:t>
      </w:r>
      <w:r>
        <w:rPr>
          <w:rFonts w:ascii="Times New Roman" w:cs="Times New Roman" w:eastAsia="Times New Roman" w:hAnsi="Times New Roman"/>
          <w:sz w:val="18"/>
          <w:szCs w:val="18"/>
          <w:b w:val="1"/>
          <w:bCs w:val="1"/>
          <w:color w:val="auto"/>
        </w:rPr>
        <w:t>Irrevocable Election</w:t>
      </w:r>
      <w:r>
        <w:rPr>
          <w:rFonts w:ascii="Times New Roman" w:cs="Times New Roman" w:eastAsia="Times New Roman" w:hAnsi="Times New Roman"/>
          <w:sz w:val="18"/>
          <w:szCs w:val="18"/>
          <w:color w:val="auto"/>
        </w:rPr>
        <w:t xml:space="preserve">”). If the Company changes the Default Settlement Method or the Company irrevocably elects to fix the Settlement Method, in either case, to Combination Settlement with an ability to continue to set the Specified Dollar Amount per $1,000 principal amount of Notes at or above a specific amount, the Company will, after the date of such change or election, as the case may be, inform Holders converting their Notes, the Trustee and the Conversion Agent (if other than the Trustee) of such Specified Dollar Amount no later than the relevant deadline for election of a specified Settlement Method as set forth in the immediately preceding paragraph, or, if the Company does not timely notify Holders, such Specified Dollar Amount will be the specific amount set forth in the election notice or, if no specific amount was set forth in the election notice, such Specified Dollar Amount will be $1,000 per $1,000 principal amount of Notes. A change in the Default Settlement Method or an Irrevocable Election shall apply for all conversions of Notes with Conversion Dates occurring subsequent to delivery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change or election will affect any Settlement Method theretofore elected (or deemed to be elected) with respect to any Note. For the avoidance of doubt, such an Irrevocable Election, if made by the Company, will be effective without the need to amend this Indenture or the Notes, including pursuant to Section 10.01(m). However, the Company may nonetheless choose to execute such an amendment at its option. If the Company changes the Default Settlement Method or if the Company irrevocably fixes the Settlement Method pursuant to this paragraph, then, concurrently with providing notice to Holders, the Trustee and the Conversion Agent (if other than the Trustee) of such change or election, the Company shall either post the Default Settlement Method or fixed Settlement Method, as the case may be, on its website or disclose the same in a current report on Form 8-K (or any successor form) that is filed with the Commission.</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560"/>
          </w:cols>
          <w:pgMar w:left="880" w:top="270" w:right="459" w:bottom="1440" w:gutter="0" w:footer="0" w:header="0"/>
        </w:sectPr>
      </w:pPr>
    </w:p>
    <w:bookmarkStart w:id="78" w:name="page79"/>
    <w:bookmarkEnd w:id="78"/>
    <w:p>
      <w:pPr>
        <w:ind w:left="380" w:right="120" w:firstLine="419"/>
        <w:spacing w:after="0" w:line="282" w:lineRule="auto"/>
        <w:tabs>
          <w:tab w:leader="none" w:pos="11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cash, shares of Class A Common Stock or combination of cash and shares of Class A Common Stock in respect of any conversion of Notes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shall be computed as follows:</w:t>
      </w:r>
    </w:p>
    <w:p>
      <w:pPr>
        <w:spacing w:after="0" w:line="53" w:lineRule="exact"/>
        <w:rPr>
          <w:rFonts w:ascii="Times New Roman" w:cs="Times New Roman" w:eastAsia="Times New Roman" w:hAnsi="Times New Roman"/>
          <w:sz w:val="18"/>
          <w:szCs w:val="18"/>
          <w:color w:val="auto"/>
        </w:rPr>
      </w:pPr>
    </w:p>
    <w:p>
      <w:pPr>
        <w:jc w:val="both"/>
        <w:ind w:left="920" w:right="520" w:firstLine="408"/>
        <w:spacing w:after="0" w:line="266" w:lineRule="auto"/>
        <w:tabs>
          <w:tab w:leader="none" w:pos="161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Class A Common Stock equal to the Conversion Rate in effect on the Conversion Date;</w:t>
      </w:r>
    </w:p>
    <w:p>
      <w:pPr>
        <w:spacing w:after="0" w:line="67" w:lineRule="exact"/>
        <w:rPr>
          <w:rFonts w:ascii="Times New Roman" w:cs="Times New Roman" w:eastAsia="Times New Roman" w:hAnsi="Times New Roman"/>
          <w:sz w:val="18"/>
          <w:szCs w:val="18"/>
          <w:color w:val="auto"/>
        </w:rPr>
      </w:pPr>
    </w:p>
    <w:p>
      <w:pPr>
        <w:jc w:val="both"/>
        <w:ind w:left="920" w:right="120" w:firstLine="408"/>
        <w:spacing w:after="0" w:line="261" w:lineRule="auto"/>
        <w:tabs>
          <w:tab w:leader="none" w:pos="160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20 consecutive Trading Days during the related Observation Period; and</w:t>
      </w:r>
    </w:p>
    <w:p>
      <w:pPr>
        <w:spacing w:after="0" w:line="71" w:lineRule="exact"/>
        <w:rPr>
          <w:rFonts w:ascii="Times New Roman" w:cs="Times New Roman" w:eastAsia="Times New Roman" w:hAnsi="Times New Roman"/>
          <w:sz w:val="18"/>
          <w:szCs w:val="18"/>
          <w:color w:val="auto"/>
        </w:rPr>
      </w:pPr>
    </w:p>
    <w:p>
      <w:pPr>
        <w:ind w:left="920" w:right="300" w:firstLine="408"/>
        <w:spacing w:after="0" w:line="261" w:lineRule="auto"/>
        <w:tabs>
          <w:tab w:leader="none" w:pos="160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20 consecutive Trading Days during the related Observation Period.</w:t>
      </w:r>
    </w:p>
    <w:p>
      <w:pPr>
        <w:spacing w:after="0" w:line="71" w:lineRule="exact"/>
        <w:rPr>
          <w:rFonts w:ascii="Times New Roman" w:cs="Times New Roman" w:eastAsia="Times New Roman" w:hAnsi="Times New Roman"/>
          <w:sz w:val="18"/>
          <w:szCs w:val="18"/>
          <w:color w:val="auto"/>
        </w:rPr>
      </w:pPr>
    </w:p>
    <w:p>
      <w:pPr>
        <w:ind w:left="380" w:firstLine="419"/>
        <w:spacing w:after="0" w:line="256" w:lineRule="auto"/>
        <w:tabs>
          <w:tab w:leader="none" w:pos="105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Settlement Amounts (if applicable) and the Daily Conversion Values (if applicable) shall be determined by the Company promptly following the last day of the Observation Period. Promptly after such determination of the Daily Settlement Amounts (if applicable), the Daily Conversion Values (if applicable) and the amount of cash payable in lieu of delivering any fractional share of Class A Common Stock, the Company shall notify the Trustee and the Conversion Agent (if other than the Trustee) of the Daily Settlement Amounts (if applicable), the Daily Conversion Values (if applicable) and the amount of cash payable in lieu of delivering any fractional shares of Class A Common Stock. The Trustee and the Conversion Agent (if other than the Trustee) shall have no responsibility for any such determination.</w:t>
      </w:r>
    </w:p>
    <w:p>
      <w:pPr>
        <w:spacing w:after="0" w:line="187" w:lineRule="exact"/>
        <w:rPr>
          <w:sz w:val="20"/>
          <w:szCs w:val="20"/>
          <w:color w:val="auto"/>
        </w:rPr>
      </w:pPr>
    </w:p>
    <w:p>
      <w:pPr>
        <w:ind w:left="-60" w:right="40" w:firstLine="436"/>
        <w:spacing w:after="0" w:line="261"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00"/>
          </w:cols>
          <w:pgMar w:left="500" w:top="270" w:right="499" w:bottom="1440" w:gutter="0" w:footer="0" w:header="0"/>
        </w:sectPr>
      </w:pPr>
    </w:p>
    <w:bookmarkStart w:id="79" w:name="page80"/>
    <w:bookmarkEnd w:id="79"/>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(or a facsimile, PDF or other electronic transmission thereof) (a notice pursuant to the applicable procedures of the Depositary or a notice as set forth in the Form of Notice of Conversion,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 names (with addresses) in which such Holder wishes the certificate or certificates for any shares of Class A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spacing w:after="0" w:line="194"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72" w:lineRule="exact"/>
        <w:rPr>
          <w:sz w:val="20"/>
          <w:szCs w:val="20"/>
          <w:color w:val="auto"/>
        </w:rPr>
      </w:pPr>
    </w:p>
    <w:p>
      <w:pPr>
        <w:ind w:firstLine="436"/>
        <w:spacing w:after="0" w:line="254"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Physical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Conversion Date following the Regular Record Date immediately preceding the Maturity Date where Physical Settlement applies to the related conversion, the Company shall settle any such conversion on the Maturity Date), or on the second Business Day immediately following the last Trading Day of the Observation Period, in the case of any other Settlement Method. If any shares of Class A Common Stock are due to a converting Holder, the Company shall issue or cause to be issued, and deliver (if applicable) to the Conversion Agent or to such Holder, or such Holder’s nominee or nominees, the full number of shares of Class A Common Stock to which such Holder shall be entitled, in book-entry format through the Depositary, in satisfaction of the Company’s Conversion Obligation.</w:t>
      </w:r>
    </w:p>
    <w:p>
      <w:pPr>
        <w:spacing w:after="0" w:line="189"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0" w:name="page81"/>
    <w:bookmarkEnd w:id="80"/>
    <w:p>
      <w:pPr>
        <w:ind w:left="-40" w:right="160" w:firstLine="436"/>
        <w:spacing w:after="0" w:line="258" w:lineRule="auto"/>
        <w:tabs>
          <w:tab w:leader="none" w:pos="6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Holder submits a Note for conversion, the Company shall pay any documentary, stamp or similar issue or transfer tax due on the issue of any shares of Class A Common Stock upon conversion, unless the tax is due because the Holder requests such shares to be issued in a name other than the Holder’s name, in which case the Holder shall pay that tax. The Conversion Agent may refuse to deliver the certificates representing the shares of Class A Common Stock being issued in a name other than the Holder’s name until the Trustee receives a sum sufficient to pay any tax that is due by such Holder in accordance with the immediately preceding sentence.</w:t>
      </w:r>
    </w:p>
    <w:p>
      <w:pPr>
        <w:spacing w:after="0" w:line="183" w:lineRule="exact"/>
        <w:rPr>
          <w:rFonts w:ascii="Times New Roman" w:cs="Times New Roman" w:eastAsia="Times New Roman" w:hAnsi="Times New Roman"/>
          <w:sz w:val="18"/>
          <w:szCs w:val="18"/>
          <w:color w:val="auto"/>
        </w:rPr>
      </w:pPr>
    </w:p>
    <w:p>
      <w:pPr>
        <w:ind w:left="-40" w:right="420" w:firstLine="436"/>
        <w:spacing w:after="0" w:line="282" w:lineRule="auto"/>
        <w:tabs>
          <w:tab w:leader="none" w:pos="62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14.04, no adjustment shall be made for dividends on any shares of Class A Common Stock issued upon the conversion of any Note as provided in this Article 14.</w:t>
      </w:r>
    </w:p>
    <w:p>
      <w:pPr>
        <w:spacing w:after="0" w:line="161" w:lineRule="exact"/>
        <w:rPr>
          <w:rFonts w:ascii="Times New Roman" w:cs="Times New Roman" w:eastAsia="Times New Roman" w:hAnsi="Times New Roman"/>
          <w:sz w:val="18"/>
          <w:szCs w:val="18"/>
          <w:color w:val="auto"/>
        </w:rPr>
      </w:pPr>
    </w:p>
    <w:p>
      <w:pPr>
        <w:jc w:val="both"/>
        <w:ind w:left="-40" w:firstLine="436"/>
        <w:spacing w:after="0" w:line="266"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75" w:lineRule="exact"/>
        <w:rPr>
          <w:rFonts w:ascii="Times New Roman" w:cs="Times New Roman" w:eastAsia="Times New Roman" w:hAnsi="Times New Roman"/>
          <w:sz w:val="18"/>
          <w:szCs w:val="18"/>
          <w:color w:val="auto"/>
        </w:rPr>
      </w:pPr>
    </w:p>
    <w:p>
      <w:pPr>
        <w:ind w:left="-40" w:right="40" w:firstLine="436"/>
        <w:spacing w:after="0" w:line="25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shares of Class A Common Stock,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following the close of business on the Regular Record Date immediately preceding the Maturity Date; (2) for conversions of Called Notes during a Redemption Period; (3) if the Company has specified a Fundamental Change Repurchase Date that is after a Regular Record Date and on or prior to the Business Day immediately following the corresponding Interest Payment Date; or (4) to the extent of any overdue interest, if any overdue interest exists at the time of conversion with respect to such Note. Therefore, for the avoidance of doubt, all Holders of record on the Regular Record Date immediately preceding the Maturity Date shall receive the full interest payment due on the Maturity Date in cash regardless of whether their Notes have been converted following such Regular Record Date.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40"/>
          </w:cols>
          <w:pgMar w:left="480" w:top="270" w:right="479" w:bottom="1440" w:gutter="0" w:footer="0" w:header="0"/>
        </w:sectPr>
      </w:pPr>
    </w:p>
    <w:bookmarkStart w:id="81" w:name="page82"/>
    <w:bookmarkEnd w:id="81"/>
    <w:p>
      <w:pPr>
        <w:ind w:left="4" w:firstLine="436"/>
        <w:spacing w:after="0" w:line="261" w:lineRule="auto"/>
        <w:tabs>
          <w:tab w:leader="none" w:pos="6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in whose name the shares of Class A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179" w:lineRule="exact"/>
        <w:rPr>
          <w:rFonts w:ascii="Times New Roman" w:cs="Times New Roman" w:eastAsia="Times New Roman" w:hAnsi="Times New Roman"/>
          <w:sz w:val="18"/>
          <w:szCs w:val="18"/>
          <w:color w:val="auto"/>
        </w:rPr>
      </w:pPr>
    </w:p>
    <w:p>
      <w:pPr>
        <w:ind w:left="4" w:firstLine="436"/>
        <w:spacing w:after="0" w:line="256" w:lineRule="auto"/>
        <w:tabs>
          <w:tab w:leader="none" w:pos="6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 of Class A Common Stock upon conversion of the Notes and shall instead pay cash in lieu of delivering any fractional share of Class A Common Stock issuable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85" w:lineRule="exact"/>
        <w:rPr>
          <w:sz w:val="20"/>
          <w:szCs w:val="20"/>
          <w:color w:val="auto"/>
        </w:rPr>
      </w:pPr>
    </w:p>
    <w:p>
      <w:pPr>
        <w:ind w:left="4" w:right="140" w:firstLine="440"/>
        <w:spacing w:after="0" w:line="284" w:lineRule="auto"/>
        <w:rPr>
          <w:sz w:val="20"/>
          <w:szCs w:val="20"/>
          <w:color w:val="auto"/>
        </w:rPr>
      </w:pPr>
      <w:r>
        <w:rPr>
          <w:rFonts w:ascii="Times New Roman" w:cs="Times New Roman" w:eastAsia="Times New Roman" w:hAnsi="Times New Roman"/>
          <w:sz w:val="18"/>
          <w:szCs w:val="18"/>
          <w:color w:val="auto"/>
        </w:rPr>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 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 of Redemption.</w:t>
      </w:r>
    </w:p>
    <w:p>
      <w:pPr>
        <w:spacing w:after="0" w:line="160" w:lineRule="exact"/>
        <w:rPr>
          <w:sz w:val="20"/>
          <w:szCs w:val="20"/>
          <w:color w:val="auto"/>
        </w:rPr>
      </w:pPr>
    </w:p>
    <w:p>
      <w:pPr>
        <w:ind w:left="4" w:right="60" w:firstLine="436"/>
        <w:spacing w:after="0" w:line="268" w:lineRule="auto"/>
        <w:tabs>
          <w:tab w:leader="none" w:pos="689"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the Effective Date of a Make-Whole Fundamental Change occurs prior to the Maturity Date and a Holder elects to convert its Notes in connection with such Make-Whole Fundamental Change or (ii) the Company delivers a Notice of Redemption as provided under Section 16.02 and a Holder elects to convert its Called Notes in connection with such Notice of Redemption, as the case may be, the Company shall, under the circumstances described below, increase the Conversion Rate for the Notes so surrendered for conversion by a number of additional shares of Class A Common Stock (the “</w:t>
      </w:r>
      <w:r>
        <w:rPr>
          <w:rFonts w:ascii="Times New Roman" w:cs="Times New Roman" w:eastAsia="Times New Roman" w:hAnsi="Times New Roman"/>
          <w:sz w:val="17"/>
          <w:szCs w:val="17"/>
          <w:b w:val="1"/>
          <w:bCs w:val="1"/>
          <w:color w:val="auto"/>
        </w:rPr>
        <w:t>Additional Shares</w:t>
      </w:r>
      <w:r>
        <w:rPr>
          <w:rFonts w:ascii="Times New Roman" w:cs="Times New Roman" w:eastAsia="Times New Roman" w:hAnsi="Times New Roman"/>
          <w:sz w:val="17"/>
          <w:szCs w:val="17"/>
          <w:color w:val="auto"/>
        </w:rPr>
        <w:t xml:space="preserve">”), as described below. A conversion of Notes shall be deemed for these purposes to be “in connection with” a Make-Whole Fundamental Change if the relevant Conversion Date occurs during the period from, and including, the Effective Date of the Make-Whole Fundamental Change up to, and including, the Business Day immediately prior to the related Fundamental Change Repurchase Date (or, in the case of an Exempted Fundamental Change or a Make-Whole Fundamental Change that would have been a Fundamental Change but for the </w:t>
      </w:r>
      <w:r>
        <w:rPr>
          <w:rFonts w:ascii="Times New Roman" w:cs="Times New Roman" w:eastAsia="Times New Roman" w:hAnsi="Times New Roman"/>
          <w:sz w:val="17"/>
          <w:szCs w:val="17"/>
          <w:i w:val="1"/>
          <w:iCs w:val="1"/>
          <w:color w:val="auto"/>
        </w:rPr>
        <w:t>proviso</w:t>
      </w:r>
      <w:r>
        <w:rPr>
          <w:rFonts w:ascii="Times New Roman" w:cs="Times New Roman" w:eastAsia="Times New Roman" w:hAnsi="Times New Roman"/>
          <w:sz w:val="17"/>
          <w:szCs w:val="17"/>
          <w:color w:val="auto"/>
        </w:rPr>
        <w:t xml:space="preserve"> in clause</w:t>
      </w:r>
    </w:p>
    <w:p>
      <w:pPr>
        <w:ind w:left="4" w:right="40" w:hanging="4"/>
        <w:spacing w:after="0" w:line="252" w:lineRule="auto"/>
        <w:tabs>
          <w:tab w:leader="none" w:pos="2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thereof, the 35th Trading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A conversion of Notes shall be deemed for these purposes to be “in connection with” a Notice of Redemption if such Notes are Called Notes with respect to such Notice of Redemption and the relevant Conversion Date occurs during the related Redemption Period. For the avoidance of doubt, if the Company elects to redeem fewer than all of the outstanding Notes pursuant to Article 16, Holders of the Notes that are not Called Notes shall not be entitled to convert such Notes pursuant to Section 14.01(b)(v) and shall not be entitled to an increase in the Conversion Rate for conversions of such Notes (on account of the Notice of Redemption) during the applicable Redemption Period, even if such Notes are otherwise convertible pursuant to Section 14.01(b)(i)-(iv).</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82" w:name="page83"/>
    <w:bookmarkEnd w:id="82"/>
    <w:p>
      <w:pPr>
        <w:ind w:left="-20" w:right="60" w:firstLine="436"/>
        <w:spacing w:after="0" w:line="253" w:lineRule="auto"/>
        <w:tabs>
          <w:tab w:leader="none" w:pos="6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surrender of Notes for conversion in connection with a Make-Whole Fundamental Change or a Notice of Redemption, the Company shall, at its option, satisfy the related Conversion Obligation by Physical Settlement, Cash Settlement or Combination Settlement in accordance with Section 14.02;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Stock Price. In such event, the Conversion Obligation shall be determined and paid to Holders in cash on the fifth Business Day following the Conversion Date. The Company shall notify the Holders, the Trustee and the Conversion Agent (if other than the Trustee) in writing of the Effective Date of any Make-Whole Fundamental Change no later than five Business Days after such Effective Date.</w:t>
      </w:r>
    </w:p>
    <w:p>
      <w:pPr>
        <w:spacing w:after="0" w:line="194" w:lineRule="exact"/>
        <w:rPr>
          <w:rFonts w:ascii="Times New Roman" w:cs="Times New Roman" w:eastAsia="Times New Roman" w:hAnsi="Times New Roman"/>
          <w:sz w:val="18"/>
          <w:szCs w:val="18"/>
          <w:color w:val="auto"/>
        </w:rPr>
      </w:pPr>
    </w:p>
    <w:p>
      <w:pPr>
        <w:ind w:left="-20" w:firstLine="436"/>
        <w:spacing w:after="0" w:line="253" w:lineRule="auto"/>
        <w:tabs>
          <w:tab w:leader="none" w:pos="6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or the date the Company delivers the Notice of Redemption, as the case may be (in each case,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price (the “</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paid (or deemed to be paid) per share of the Class A Common Stock in the Make-Whole Fundamental Change or determined with respect to the Notice of Redemption, as the case may be. If the holders of the Class A Common Stock receive in exchange for their Class A Common Stock only cash in a Make-Whole Fundamental Change described in clause (b) of the definition of Fundamental Change, the Stock Price shall be the cash amount paid per share. Otherwise, the Stock Price shall be the average of the Last Reported Sale Prices of the Class A Common Stock over the five consecutive Trading Day period ending on, and including, the Trading Day immediately preceding the applicable Effective Date. If a conversion of Called Notes during a Redemption Period would also be deemed to be in connection with a Make-Whole Fundamental Change, a Holder of any such Notes to be converted shall be entitled to a single increase to the Conversion Rate with respect to the first to occur of the Effective Date of the Notice of Redemption or the Make-Whole Fundamental Change, as applicable, and the later event shall be deemed not to have occurred for purposes of such conversion for purposes of this Section 14.03.</w:t>
      </w:r>
    </w:p>
    <w:p>
      <w:pPr>
        <w:spacing w:after="0" w:line="189" w:lineRule="exact"/>
        <w:rPr>
          <w:rFonts w:ascii="Times New Roman" w:cs="Times New Roman" w:eastAsia="Times New Roman" w:hAnsi="Times New Roman"/>
          <w:sz w:val="18"/>
          <w:szCs w:val="18"/>
          <w:color w:val="auto"/>
        </w:rPr>
      </w:pPr>
    </w:p>
    <w:p>
      <w:pPr>
        <w:ind w:left="-20" w:right="120" w:firstLine="436"/>
        <w:spacing w:after="0" w:line="258" w:lineRule="auto"/>
        <w:tabs>
          <w:tab w:leader="none" w:pos="6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60" w:top="270" w:right="459" w:bottom="1440" w:gutter="0" w:footer="0" w:header="0"/>
        </w:sectPr>
      </w:pPr>
    </w:p>
    <w:bookmarkStart w:id="83" w:name="page84"/>
    <w:bookmarkEnd w:id="83"/>
    <w:p>
      <w:pPr>
        <w:ind w:right="180" w:firstLine="436"/>
        <w:spacing w:after="0" w:line="282" w:lineRule="auto"/>
        <w:tabs>
          <w:tab w:leader="none" w:pos="6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sets forth the number of Additional Shares by which the Conversion Rate shall be increased per $1,000 principal amount of Notes pursuant to this Section 14.03 for each Stock Price and Effective Date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080" w:type="dxa"/>
            <w:vAlign w:val="bottom"/>
            <w:vMerge w:val="restart"/>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$63.54</w:t>
            </w:r>
          </w:p>
        </w:tc>
        <w:tc>
          <w:tcPr>
            <w:tcW w:w="160" w:type="dxa"/>
            <w:vAlign w:val="bottom"/>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$70.00</w:t>
            </w:r>
          </w:p>
        </w:tc>
        <w:tc>
          <w:tcPr>
            <w:tcW w:w="160" w:type="dxa"/>
            <w:vAlign w:val="bottom"/>
          </w:tcPr>
          <w:p>
            <w:pPr>
              <w:spacing w:after="0"/>
              <w:rPr>
                <w:sz w:val="12"/>
                <w:szCs w:val="12"/>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$84.19</w:t>
            </w:r>
          </w:p>
        </w:tc>
        <w:tc>
          <w:tcPr>
            <w:tcW w:w="180" w:type="dxa"/>
            <w:vAlign w:val="bottom"/>
          </w:tcPr>
          <w:p>
            <w:pPr>
              <w:spacing w:after="0"/>
              <w:rPr>
                <w:sz w:val="12"/>
                <w:szCs w:val="12"/>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$95.00</w:t>
            </w:r>
          </w:p>
        </w:tc>
        <w:tc>
          <w:tcPr>
            <w:tcW w:w="160" w:type="dxa"/>
            <w:vAlign w:val="bottom"/>
          </w:tcPr>
          <w:p>
            <w:pPr>
              <w:spacing w:after="0"/>
              <w:rPr>
                <w:sz w:val="12"/>
                <w:szCs w:val="12"/>
                <w:color w:val="auto"/>
              </w:rPr>
            </w:pPr>
          </w:p>
        </w:tc>
        <w:tc>
          <w:tcPr>
            <w:tcW w:w="56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109.45</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125.00</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150.00</w:t>
            </w:r>
          </w:p>
        </w:tc>
        <w:tc>
          <w:tcPr>
            <w:tcW w:w="16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200.00</w:t>
            </w:r>
          </w:p>
        </w:tc>
        <w:tc>
          <w:tcPr>
            <w:tcW w:w="160" w:type="dxa"/>
            <w:vAlign w:val="bottom"/>
          </w:tcPr>
          <w:p>
            <w:pPr>
              <w:spacing w:after="0"/>
              <w:rPr>
                <w:sz w:val="12"/>
                <w:szCs w:val="12"/>
                <w:color w:val="auto"/>
              </w:rPr>
            </w:pPr>
          </w:p>
        </w:tc>
        <w:tc>
          <w:tcPr>
            <w:tcW w:w="56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250.00</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July 3, 2025</w:t>
            </w: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3.8603</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3.2077</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2.1949</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1.6746</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1.1860</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0.8289</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0.4701</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0.1396</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0.0257</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15, 2026</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3.8603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3.2077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2.1949</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1.6746</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1.1689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0.7989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0.4363</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0.1172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0.0166</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15, 2027</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3.8603</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3.2077</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2.1841</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1.5978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1.0690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0.7014</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0.3562</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0.0765</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0.0044</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15, 2028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3.8603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3.2077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2.0091</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1.4014</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0.8767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0.5325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0.2343</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0.0291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15, 2029</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3.8603</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3.0179</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1.6124</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1.0025</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0.5314</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0.2651</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0.0777</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15, 2030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3.8603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2.4079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exact Stock Price and Effective Date may not be set forth in the table above, in which case:</w:t>
      </w:r>
    </w:p>
    <w:p>
      <w:pPr>
        <w:spacing w:after="0" w:line="117" w:lineRule="exact"/>
        <w:rPr>
          <w:sz w:val="20"/>
          <w:szCs w:val="20"/>
          <w:color w:val="auto"/>
        </w:rPr>
      </w:pPr>
    </w:p>
    <w:p>
      <w:pPr>
        <w:jc w:val="both"/>
        <w:ind w:left="440" w:right="340" w:firstLine="419"/>
        <w:spacing w:after="0" w:line="261" w:lineRule="auto"/>
        <w:tabs>
          <w:tab w:leader="none" w:pos="10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above or the Effective Date is between two Effective Dates in the table, the number of Additional Shares by which the Conversion Rate shall be increased shall be determined by a straight-line interpolation between the number of Additional Shares set forth for the higher and lower Stock Prices and the earlier and later Effective Dates, as applicable, based on a 365-day year;</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greater than $300.00 per share (subject to adjustment in the same manner as the Stock Prices set forth in the column headings of the table above pursuant to subsection (d) above), no Additional Shares shall be added to the Conversion Rate; and</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$63.54 per share (subject to adjustment in the same manner as the Stock Prices set forth in the column headings of the table above pursuant to subsection (d) above), no Additional Shares shall be added to the Conversion Rate.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15.7381 shares of Class A Common Stock, subject to adjustment in the same manner as the Conversion Rate pursuant to Section 14.04.</w:t>
      </w:r>
    </w:p>
    <w:p>
      <w:pPr>
        <w:spacing w:after="0" w:line="162" w:lineRule="exact"/>
        <w:rPr>
          <w:sz w:val="20"/>
          <w:szCs w:val="20"/>
          <w:color w:val="auto"/>
        </w:rPr>
      </w:pPr>
    </w:p>
    <w:p>
      <w:pPr>
        <w:ind w:right="40" w:firstLine="436"/>
        <w:spacing w:after="0" w:line="282" w:lineRule="auto"/>
        <w:tabs>
          <w:tab w:leader="none" w:pos="6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that would otherwise be required pursuant to Section 14.04 in respect of a Make-Whole Fundamental Change.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440" w:top="270" w:right="439" w:bottom="1440" w:gutter="0" w:footer="0" w:header="0"/>
        </w:sectPr>
      </w:pPr>
    </w:p>
    <w:bookmarkStart w:id="84" w:name="page85"/>
    <w:bookmarkEnd w:id="84"/>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14.04</w:t>
      </w:r>
      <w:r>
        <w:rPr>
          <w:rFonts w:ascii="Times New Roman" w:cs="Times New Roman" w:eastAsia="Times New Roman" w:hAnsi="Times New Roman"/>
          <w:sz w:val="18"/>
          <w:szCs w:val="18"/>
          <w:i w:val="1"/>
          <w:iCs w:val="1"/>
          <w:color w:val="auto"/>
        </w:rPr>
        <w:t>. Adjustment of Conversion Rate.</w:t>
      </w:r>
      <w:r>
        <w:rPr>
          <w:rFonts w:ascii="Times New Roman" w:cs="Times New Roman" w:eastAsia="Times New Roman" w:hAnsi="Times New Roman"/>
          <w:sz w:val="18"/>
          <w:szCs w:val="18"/>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Class A Common Stock and solely as a result of holding the Notes, in any of the transactions described in this Section 14.04, without having to convert their Notes, as if they held a number of shares of Class A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184" w:lineRule="exact"/>
        <w:rPr>
          <w:sz w:val="20"/>
          <w:szCs w:val="20"/>
          <w:color w:val="auto"/>
        </w:rPr>
      </w:pPr>
    </w:p>
    <w:p>
      <w:pPr>
        <w:ind w:right="120" w:firstLine="436"/>
        <w:spacing w:after="0" w:line="282"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shares of Class A Common Stock as a dividend or distribution on shares of the Class A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131445</wp:posOffset>
            </wp:positionV>
            <wp:extent cx="1003300"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033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10300" w:type="dxa"/>
            <w:vAlign w:val="bottom"/>
          </w:tcPr>
          <w:p>
            <w:pPr>
              <w:spacing w:after="0"/>
              <w:rPr>
                <w:sz w:val="20"/>
                <w:szCs w:val="20"/>
                <w:color w:val="auto"/>
              </w:rPr>
            </w:pPr>
          </w:p>
        </w:tc>
      </w:tr>
      <w:tr>
        <w:trPr>
          <w:trHeight w:val="31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of such dividend or distribution, or</w:t>
            </w:r>
          </w:p>
        </w:tc>
      </w:tr>
      <w:tr>
        <w:trPr>
          <w:trHeight w:val="234"/>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immediately prior to the open of business on the Effective Date of such share split or share combination, as applicable;</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or Effective Date;</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Class A Common Stock outstanding immediately prior to the open of business on such Ex-Dividend Date or Effective</w:t>
            </w:r>
          </w:p>
        </w:tc>
      </w:tr>
      <w:tr>
        <w:trPr>
          <w:trHeight w:val="234"/>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(before giving effect to any such dividend, distribution, split or combination); and</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Class A Common Stock outstanding immediately after giving effect to such dividend, distribution, share split or share</w:t>
            </w:r>
          </w:p>
        </w:tc>
      </w:tr>
      <w:tr>
        <w:trPr>
          <w:trHeight w:val="234"/>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combination.</w:t>
            </w: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68" w:right="479" w:bottom="1440" w:gutter="0" w:footer="0" w:header="0"/>
        </w:sectPr>
      </w:pPr>
    </w:p>
    <w:bookmarkStart w:id="85" w:name="page86"/>
    <w:bookmarkEnd w:id="85"/>
    <w:p>
      <w:pPr>
        <w:ind w:left="4" w:firstLine="436"/>
        <w:spacing w:after="0" w:line="258" w:lineRule="auto"/>
        <w:tabs>
          <w:tab w:leader="none" w:pos="69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distributes to all or substantially all holders of the Class A Common Stock any rights, options or warrants (other than pursuant to a stockholder rights plan) entitling them, for a period of not more than 60 calendar days after the announcement date of such distribution, to subscribe for or purchase shares of the Class A Common Stock at a price per share that is less than the average of the Last Reported Sale Prices of the Class A Common Stock for the 10 consecutive Trading Day period ending on, and including, the Trading Day immediately preceding the date of announcement of such distribution,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145415</wp:posOffset>
            </wp:positionV>
            <wp:extent cx="1209040" cy="386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90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8"/>
              </w:rPr>
              <w:t>where,</w:t>
            </w:r>
          </w:p>
        </w:tc>
        <w:tc>
          <w:tcPr>
            <w:tcW w:w="300" w:type="dxa"/>
            <w:vAlign w:val="bottom"/>
          </w:tcPr>
          <w:p>
            <w:pPr>
              <w:spacing w:after="0"/>
              <w:rPr>
                <w:sz w:val="20"/>
                <w:szCs w:val="20"/>
                <w:color w:val="auto"/>
              </w:rPr>
            </w:pPr>
          </w:p>
        </w:tc>
        <w:tc>
          <w:tcPr>
            <w:tcW w:w="9560" w:type="dxa"/>
            <w:vAlign w:val="bottom"/>
          </w:tcPr>
          <w:p>
            <w:pPr>
              <w:spacing w:after="0"/>
              <w:rPr>
                <w:sz w:val="20"/>
                <w:szCs w:val="20"/>
                <w:color w:val="auto"/>
              </w:rPr>
            </w:pPr>
          </w:p>
        </w:tc>
      </w:tr>
      <w:tr>
        <w:trPr>
          <w:trHeight w:val="35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distribution;</w:t>
            </w:r>
          </w:p>
        </w:tc>
      </w:tr>
      <w:tr>
        <w:trPr>
          <w:trHeight w:val="28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35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number of shares of Class A Common Stock outstanding immediately prior to the open of business on such Ex-Dividend Date;</w:t>
            </w:r>
          </w:p>
        </w:tc>
      </w:tr>
    </w:tbl>
    <w:p>
      <w:pPr>
        <w:spacing w:after="0" w:line="59" w:lineRule="exact"/>
        <w:rPr>
          <w:sz w:val="20"/>
          <w:szCs w:val="20"/>
          <w:color w:val="auto"/>
        </w:rPr>
      </w:pPr>
    </w:p>
    <w:p>
      <w:pPr>
        <w:ind w:left="544" w:hanging="544"/>
        <w:spacing w:after="0"/>
        <w:tabs>
          <w:tab w:leader="none" w:pos="5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Class A Common Stock distributable pursuant to such rights, options or warrants; and</w:t>
      </w:r>
    </w:p>
    <w:p>
      <w:pPr>
        <w:spacing w:after="0" w:line="129" w:lineRule="exact"/>
        <w:rPr>
          <w:sz w:val="20"/>
          <w:szCs w:val="20"/>
          <w:color w:val="auto"/>
        </w:rPr>
      </w:pPr>
    </w:p>
    <w:p>
      <w:pPr>
        <w:ind w:left="964" w:right="40" w:hanging="964"/>
        <w:spacing w:after="0" w:line="267" w:lineRule="auto"/>
        <w:tabs>
          <w:tab w:leader="none" w:pos="53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shares of Class A Common Stock equal to the aggregate price payable to exercise such rights, options or warrants,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the average of the Last Reported Sale Prices of the Class A Common Stock over the 10 consecutive Trading Day period ending 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Trading Day immediately preceding the date of announcement of the distribution of such rights, options or warrants.</w:t>
      </w:r>
    </w:p>
    <w:p>
      <w:pPr>
        <w:spacing w:after="0" w:line="175"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Any increase made under this Section 14.04(b) shall be made successively whenever any such rights, options or warrants are distributed and shall become effective immediately after the open of business on the Ex-Dividend Date for such distribution. To the extent that shares of the Class A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Class A Common Stock actually delivered. If such rights, options or warrants are not so distributed, the Conversion Rate shall be decreased to the Conversion Rate that would then be in effect if such Ex-Dividend Date for such distribution had not occurred.</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4"/>
          </w:cols>
          <w:pgMar w:left="436" w:top="270" w:right="499" w:bottom="1440" w:gutter="0" w:footer="0" w:header="0"/>
        </w:sectPr>
      </w:pPr>
    </w:p>
    <w:bookmarkStart w:id="86" w:name="page87"/>
    <w:bookmarkEnd w:id="86"/>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14.04(b) and for the purpose of Section 14.01(b)(ii)(A), in determining whether any rights, options or warrants entitle the holders of Class A Common Stock to subscribe for or purchase shares of the Class A Common Stock at a price per share that is less than such average of the Last Reported Sale Prices of the Class A Common Stock for the 10 consecutive Trading Day period ending on, and including, the Trading Day immediately preceding the date of announcement of such distribution, and in determining the aggregate offering price of such shares of Class A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87" w:lineRule="exact"/>
        <w:rPr>
          <w:sz w:val="20"/>
          <w:szCs w:val="20"/>
          <w:color w:val="auto"/>
        </w:rPr>
      </w:pPr>
    </w:p>
    <w:p>
      <w:pPr>
        <w:ind w:left="4" w:right="60" w:firstLine="987"/>
        <w:spacing w:after="0" w:line="261" w:lineRule="auto"/>
        <w:tabs>
          <w:tab w:leader="none" w:pos="12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shares of its Capital Stock, evidences of its indebtedness, other assets or property of the Company or rights, options or warrants to acquire its Capital Stock or other securities, to all or substantially all holders of the Class A Common Stock, excluding</w:t>
      </w:r>
    </w:p>
    <w:p>
      <w:pPr>
        <w:ind w:left="4" w:hanging="4"/>
        <w:spacing w:after="0" w:line="265" w:lineRule="auto"/>
        <w:tabs>
          <w:tab w:leader="none" w:pos="21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distributions or issuances (including share splits) as to which an adjustment was effected (or would have been effected but for the 1% Exception) pursuant to Section 14.04(a) or Section 14.04(b), (ii) except as otherwise provided in Section 14.11, rights issued pursuant to any stockholder rights plan of the Company then in effect, (iii) distributions of Reference Property in exchange for, or upon conversion of, Class A Common Stock in a Share Exchange Event, (iv) dividends or distributions paid exclusively in cash as to which the provisions set forth in Section 14.04(d) shall apply, and</w:t>
      </w:r>
    </w:p>
    <w:p>
      <w:pPr>
        <w:ind w:left="4" w:right="200" w:hanging="4"/>
        <w:spacing w:after="0" w:line="255"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146685</wp:posOffset>
            </wp:positionV>
            <wp:extent cx="1380490" cy="386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804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8"/>
              </w:rPr>
              <w:t>where,</w:t>
            </w:r>
          </w:p>
        </w:tc>
        <w:tc>
          <w:tcPr>
            <w:tcW w:w="300" w:type="dxa"/>
            <w:vAlign w:val="bottom"/>
          </w:tcPr>
          <w:p>
            <w:pPr>
              <w:spacing w:after="0"/>
              <w:rPr>
                <w:sz w:val="20"/>
                <w:szCs w:val="20"/>
                <w:color w:val="auto"/>
              </w:rPr>
            </w:pPr>
          </w:p>
        </w:tc>
        <w:tc>
          <w:tcPr>
            <w:tcW w:w="10000" w:type="dxa"/>
            <w:vAlign w:val="bottom"/>
          </w:tcPr>
          <w:p>
            <w:pPr>
              <w:spacing w:after="0"/>
              <w:rPr>
                <w:sz w:val="20"/>
                <w:szCs w:val="20"/>
                <w:color w:val="auto"/>
              </w:rPr>
            </w:pPr>
          </w:p>
        </w:tc>
      </w:tr>
      <w:tr>
        <w:trPr>
          <w:trHeight w:val="35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distribution;</w:t>
            </w:r>
          </w:p>
        </w:tc>
      </w:tr>
      <w:tr>
        <w:trPr>
          <w:trHeight w:val="28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292"/>
        </w:trPr>
        <w:tc>
          <w:tcPr>
            <w:tcW w:w="500" w:type="dxa"/>
            <w:vAlign w:val="bottom"/>
          </w:tcPr>
          <w:p>
            <w:pPr>
              <w:spacing w:after="0" w:line="292" w:lineRule="exact"/>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average of the Last Reported Sale Prices of the Class A Common Stock over the 10 consecutive Trading Day period ending on, and</w:t>
            </w: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including, the Trading Day immediately preceding the Ex-Dividend Date for such distribution; and</w:t>
            </w:r>
          </w:p>
        </w:tc>
      </w:tr>
      <w:tr>
        <w:trPr>
          <w:trHeight w:val="31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fair market value (as determined by the Company in good faith) of the Distributed Property with respect to each outstanding share of</w:t>
            </w: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Class A Common Stock on the Ex-Dividend Date for such distribution.</w:t>
            </w:r>
          </w:p>
        </w:tc>
      </w:tr>
      <w:tr>
        <w:trPr>
          <w:trHeight w:val="365"/>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75</w:t>
            </w:r>
          </w:p>
        </w:tc>
      </w:tr>
    </w:tbl>
    <w:p>
      <w:pPr>
        <w:sectPr>
          <w:pgSz w:w="11900" w:h="16838" w:orient="portrait"/>
          <w:cols w:equalWidth="0" w:num="1">
            <w:col w:w="11004"/>
          </w:cols>
          <w:pgMar w:left="436" w:top="270" w:right="459" w:bottom="1440" w:gutter="0" w:footer="0" w:header="0"/>
        </w:sectPr>
      </w:pPr>
    </w:p>
    <w:bookmarkStart w:id="87" w:name="page88"/>
    <w:bookmarkEnd w:id="87"/>
    <w:p>
      <w:pPr>
        <w:ind w:right="80"/>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increase made under the portion of this Section 14.04(c) above shall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in respect of each $1,000 principal amount thereof, at the same time and upon the same terms as holders of the Class A Common Stock receive the Distributed Property, the amount and kind of Distributed Property such Holder would have received if such Holder owned a number of shares of Class A Common Stock equal to the Conversion Rate in effect on the Ex-Dividend Date for the distribution.</w:t>
      </w:r>
    </w:p>
    <w:p>
      <w:pPr>
        <w:spacing w:after="0" w:line="20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With respect to an adjustment pursuant to this Section 14.04(c) where there has been a payment of a dividend or other distribution on the Class A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142875</wp:posOffset>
            </wp:positionV>
            <wp:extent cx="1474470" cy="386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744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8"/>
              </w:rPr>
              <w:t>where,</w:t>
            </w:r>
          </w:p>
        </w:tc>
        <w:tc>
          <w:tcPr>
            <w:tcW w:w="300" w:type="dxa"/>
            <w:vAlign w:val="bottom"/>
          </w:tcPr>
          <w:p>
            <w:pPr>
              <w:spacing w:after="0"/>
              <w:rPr>
                <w:sz w:val="20"/>
                <w:szCs w:val="20"/>
                <w:color w:val="auto"/>
              </w:rPr>
            </w:pPr>
          </w:p>
        </w:tc>
        <w:tc>
          <w:tcPr>
            <w:tcW w:w="10080" w:type="dxa"/>
            <w:vAlign w:val="bottom"/>
          </w:tcPr>
          <w:p>
            <w:pPr>
              <w:spacing w:after="0"/>
              <w:rPr>
                <w:sz w:val="20"/>
                <w:szCs w:val="20"/>
                <w:color w:val="auto"/>
              </w:rPr>
            </w:pPr>
          </w:p>
        </w:tc>
      </w:tr>
      <w:tr>
        <w:trPr>
          <w:trHeight w:val="35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end of the Valuation Period;</w:t>
            </w:r>
          </w:p>
        </w:tc>
      </w:tr>
      <w:tr>
        <w:trPr>
          <w:trHeight w:val="28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Conversion Rate in effect immediately after the end of the Valuation Period;</w:t>
            </w:r>
          </w:p>
        </w:tc>
      </w:tr>
      <w:tr>
        <w:trPr>
          <w:trHeight w:val="292"/>
        </w:trPr>
        <w:tc>
          <w:tcPr>
            <w:tcW w:w="500" w:type="dxa"/>
            <w:vAlign w:val="bottom"/>
          </w:tcPr>
          <w:p>
            <w:pPr>
              <w:spacing w:after="0" w:line="292" w:lineRule="exact"/>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6"/>
                <w:szCs w:val="26"/>
                <w:color w:val="auto"/>
                <w:vertAlign w:val="subscript"/>
              </w:rPr>
              <w:t>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average of the Last Reported Sale Prices of the Capital Stock or similar equity interest distributed to holders of the Class A Common</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applicable to one share of the Class A Common Stock (determined by reference to the definition of Last Reported Sale Price as set</w:t>
            </w:r>
          </w:p>
        </w:tc>
      </w:tr>
      <w:tr>
        <w:trPr>
          <w:trHeight w:val="212"/>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forth in Section 1.01 as if references therein to Class A Common Stock were to such Capital Stock or similar equity interest) over the first</w:t>
            </w:r>
          </w:p>
        </w:tc>
      </w:tr>
      <w:tr>
        <w:trPr>
          <w:trHeight w:val="238"/>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 consecutive Trading Day period after,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tc>
      </w:tr>
      <w:tr>
        <w:trPr>
          <w:trHeight w:val="35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6"/>
                <w:szCs w:val="26"/>
                <w:color w:val="auto"/>
                <w:vertAlign w:val="subscript"/>
              </w:rPr>
              <w:t>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average of the Last Reported Sale Prices of the Class A Common Stock over the Valuation Period.</w:t>
            </w:r>
          </w:p>
        </w:tc>
      </w:tr>
    </w:tbl>
    <w:p>
      <w:pPr>
        <w:spacing w:after="0" w:line="14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to be replaced with such lesser number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8" w:name="page89"/>
    <w:bookmarkEnd w:id="88"/>
    <w:p>
      <w:pPr>
        <w:ind w:left="4" w:right="2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Trading Days as have elapsed from, and including, the Ex-Dividend Date of such Spin-Off to, and including, such Trading Day in determining the Conversion Rate as of such Trading Day of such Observation Period.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64"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For purposes of this Section 14.04(c) (and subject in all respect to Section 14.11), rights, options or warrants distributed by the Company to all holders of the Class A Common Stock entitling them to subscribe for or purchase shares of the Company’s Capital Stock, including Class A Common Stock (either initially or under certain circumstances), which rights, options or warrants, until the occurrence of a specified event or events (“</w:t>
      </w:r>
      <w:r>
        <w:rPr>
          <w:rFonts w:ascii="Times New Roman" w:cs="Times New Roman" w:eastAsia="Times New Roman" w:hAnsi="Times New Roman"/>
          <w:sz w:val="17"/>
          <w:szCs w:val="17"/>
          <w:b w:val="1"/>
          <w:bCs w:val="1"/>
          <w:color w:val="auto"/>
        </w:rPr>
        <w:t>Trigger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Event</w:t>
      </w:r>
      <w:r>
        <w:rPr>
          <w:rFonts w:ascii="Times New Roman" w:cs="Times New Roman" w:eastAsia="Times New Roman" w:hAnsi="Times New Roman"/>
          <w:sz w:val="17"/>
          <w:szCs w:val="17"/>
          <w:color w:val="auto"/>
        </w:rPr>
        <w:t>”): (i) are deemed to be transferred with such shares of the Class A Common Stock; (ii) are not exercisable; and (iii) are also issued in respect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future issuances of the Class A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w:t>
      </w:r>
    </w:p>
    <w:p>
      <w:pPr>
        <w:spacing w:after="0" w:line="9" w:lineRule="exact"/>
        <w:rPr>
          <w:sz w:val="20"/>
          <w:szCs w:val="20"/>
          <w:color w:val="auto"/>
        </w:rPr>
      </w:pPr>
    </w:p>
    <w:p>
      <w:pPr>
        <w:ind w:left="4" w:right="40" w:hanging="4"/>
        <w:spacing w:after="0" w:line="252"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Class A Common Stock with respect to such rights, options or warrants (assuming such holder had retained such rights, options or warrants), made to all holders of Class A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4"/>
          </w:cols>
          <w:pgMar w:left="436" w:top="270" w:right="479" w:bottom="1440" w:gutter="0" w:footer="0" w:header="0"/>
        </w:sectPr>
      </w:pPr>
    </w:p>
    <w:bookmarkStart w:id="89" w:name="page90"/>
    <w:bookmarkEnd w:id="89"/>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Section 14.04(a), Section 14.04(b) and this Section 14.04(c), if any dividend or distribution to which this Section 14.04(c) is applicable also includes one or both of:</w:t>
      </w:r>
    </w:p>
    <w:p>
      <w:pPr>
        <w:spacing w:after="0" w:line="50" w:lineRule="exact"/>
        <w:rPr>
          <w:sz w:val="20"/>
          <w:szCs w:val="20"/>
          <w:color w:val="auto"/>
        </w:rPr>
      </w:pPr>
    </w:p>
    <w:p>
      <w:pPr>
        <w:ind w:left="744" w:hanging="304"/>
        <w:spacing w:after="0"/>
        <w:tabs>
          <w:tab w:leader="none" w:pos="7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shares of Class A Common Stock to which Section 14.04(a)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724" w:hanging="284"/>
        <w:spacing w:after="0"/>
        <w:tabs>
          <w:tab w:leader="none" w:pos="7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14.04(b)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Class A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88" w:lineRule="exact"/>
        <w:rPr>
          <w:sz w:val="20"/>
          <w:szCs w:val="20"/>
          <w:color w:val="auto"/>
        </w:rPr>
      </w:pPr>
    </w:p>
    <w:p>
      <w:pPr>
        <w:ind w:left="4" w:right="100" w:firstLine="436"/>
        <w:spacing w:after="0" w:line="282" w:lineRule="auto"/>
        <w:tabs>
          <w:tab w:leader="none" w:pos="69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makes any cash dividend or distribution to all or substantially all holders of the Class A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131445</wp:posOffset>
            </wp:positionV>
            <wp:extent cx="1697355" cy="394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973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8"/>
              </w:rPr>
              <w:t>where,</w:t>
            </w:r>
          </w:p>
        </w:tc>
        <w:tc>
          <w:tcPr>
            <w:tcW w:w="300" w:type="dxa"/>
            <w:vAlign w:val="bottom"/>
          </w:tcPr>
          <w:p>
            <w:pPr>
              <w:spacing w:after="0"/>
              <w:rPr>
                <w:sz w:val="20"/>
                <w:szCs w:val="20"/>
                <w:color w:val="auto"/>
              </w:rPr>
            </w:pPr>
          </w:p>
        </w:tc>
        <w:tc>
          <w:tcPr>
            <w:tcW w:w="9840" w:type="dxa"/>
            <w:vAlign w:val="bottom"/>
          </w:tcPr>
          <w:p>
            <w:pPr>
              <w:spacing w:after="0"/>
              <w:rPr>
                <w:sz w:val="20"/>
                <w:szCs w:val="20"/>
                <w:color w:val="auto"/>
              </w:rPr>
            </w:pPr>
          </w:p>
        </w:tc>
      </w:tr>
      <w:tr>
        <w:trPr>
          <w:trHeight w:val="35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dividend or distribution;</w:t>
            </w:r>
          </w:p>
        </w:tc>
      </w:tr>
      <w:tr>
        <w:trPr>
          <w:trHeight w:val="28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the Ex-Dividend Date for such dividend or distribution;</w:t>
            </w:r>
          </w:p>
        </w:tc>
      </w:tr>
      <w:tr>
        <w:trPr>
          <w:trHeight w:val="292"/>
        </w:trPr>
        <w:tc>
          <w:tcPr>
            <w:tcW w:w="500" w:type="dxa"/>
            <w:vAlign w:val="bottom"/>
          </w:tcPr>
          <w:p>
            <w:pPr>
              <w:spacing w:after="0" w:line="292" w:lineRule="exact"/>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Last Reported Sale Price of the Class A Common Stock on the Trading Day immediately preceding the Ex-Dividend Date for such</w:t>
            </w: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or distribution; and</w:t>
            </w:r>
          </w:p>
        </w:tc>
      </w:tr>
    </w:tbl>
    <w:p>
      <w:pPr>
        <w:spacing w:after="0" w:line="103" w:lineRule="exact"/>
        <w:rPr>
          <w:sz w:val="20"/>
          <w:szCs w:val="20"/>
          <w:color w:val="auto"/>
        </w:rPr>
      </w:pPr>
    </w:p>
    <w:p>
      <w:pPr>
        <w:ind w:left="544" w:hanging="544"/>
        <w:spacing w:after="0"/>
        <w:tabs>
          <w:tab w:leader="none" w:pos="5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the Company distributes to all or substantially all holders of the Class A Common Stock.</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4"/>
          </w:cols>
          <w:pgMar w:left="436" w:top="270" w:right="479" w:bottom="1440" w:gutter="0" w:footer="0" w:header="0"/>
        </w:sectPr>
      </w:pPr>
    </w:p>
    <w:bookmarkStart w:id="90" w:name="page91"/>
    <w:bookmarkEnd w:id="90"/>
    <w:p>
      <w:pPr>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declared. Notwithstanding the foregoing, if “C”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for each $1,000 principal amount of Notes it holds, at the same time and upon the same terms as holders of shares of the Class A Common Stock, the amount of cash that such Holder would have received if such Holder owned a number of shares of Class A Common Stock equal to the Conversion Rate on the Ex-Dividend Date for such cash dividend or distribution.</w:t>
      </w:r>
    </w:p>
    <w:p>
      <w:pPr>
        <w:spacing w:after="0" w:line="179" w:lineRule="exact"/>
        <w:rPr>
          <w:sz w:val="20"/>
          <w:szCs w:val="20"/>
          <w:color w:val="auto"/>
        </w:rPr>
      </w:pPr>
    </w:p>
    <w:p>
      <w:pPr>
        <w:ind w:right="20" w:firstLine="436"/>
        <w:spacing w:after="0" w:line="258"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the Class A Common Stock that is subject to the then applicable tender offer rules under the Exchange Act (other than any odd-lot tender offer), to the extent that the cash and value of any other consideration included in the payment per share of the Class A Common Stock exceeds the average of the Last Reported Sale Prices of the Class A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145415</wp:posOffset>
            </wp:positionV>
            <wp:extent cx="1594485" cy="386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944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8"/>
              </w:rPr>
              <w:t>where,</w:t>
            </w:r>
          </w:p>
        </w:tc>
        <w:tc>
          <w:tcPr>
            <w:tcW w:w="300" w:type="dxa"/>
            <w:vAlign w:val="bottom"/>
          </w:tcPr>
          <w:p>
            <w:pPr>
              <w:spacing w:after="0"/>
              <w:rPr>
                <w:sz w:val="20"/>
                <w:szCs w:val="20"/>
                <w:color w:val="auto"/>
              </w:rPr>
            </w:pPr>
          </w:p>
        </w:tc>
        <w:tc>
          <w:tcPr>
            <w:tcW w:w="10200" w:type="dxa"/>
            <w:vAlign w:val="bottom"/>
          </w:tcPr>
          <w:p>
            <w:pPr>
              <w:spacing w:after="0"/>
              <w:rPr>
                <w:sz w:val="20"/>
                <w:szCs w:val="20"/>
                <w:color w:val="auto"/>
              </w:rPr>
            </w:pPr>
          </w:p>
        </w:tc>
      </w:tr>
      <w:tr>
        <w:trPr>
          <w:trHeight w:val="279"/>
        </w:trPr>
        <w:tc>
          <w:tcPr>
            <w:tcW w:w="500" w:type="dxa"/>
            <w:vAlign w:val="bottom"/>
          </w:tcPr>
          <w:p>
            <w:pPr>
              <w:spacing w:after="0" w:line="278" w:lineRule="exact"/>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Conversion Rate in effect immediately prior to the close of business on the 10th Trading Day immediately following, and including, the</w:t>
            </w: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31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Conversion Rate in effect immediately after the close of business on the 10th Trading Day immediately following, and including, the</w:t>
            </w: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31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aggregate value of all cash and any other consideration (as determined by the Company in good faith) paid or payable for shares of</w:t>
            </w: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 Stock purchased in such tender or exchange offer;</w:t>
            </w:r>
          </w:p>
        </w:tc>
      </w:tr>
      <w:tr>
        <w:trPr>
          <w:trHeight w:val="292"/>
        </w:trPr>
        <w:tc>
          <w:tcPr>
            <w:tcW w:w="500" w:type="dxa"/>
            <w:vAlign w:val="bottom"/>
          </w:tcPr>
          <w:p>
            <w:pPr>
              <w:spacing w:after="0" w:line="292" w:lineRule="exact"/>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number of shares of Class A Common Stock outstanding immediately prior to the date such tender or exchange offer expires (prior to</w:t>
            </w: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giving effect to the purchase of all shares of Class A Common Stock accepted for purchase or exchange in such tender or exchange offer);</w:t>
            </w:r>
          </w:p>
        </w:tc>
      </w:tr>
      <w:tr>
        <w:trPr>
          <w:trHeight w:val="31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number of shares of Class A Common Stock outstanding immediately after the date such tender or exchange offer expires (after giving</w:t>
            </w: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to the purchase of all shares of Class A Common Stock accepted for purchase or exchange in such tender or exchange offer); and</w:t>
            </w:r>
          </w:p>
        </w:tc>
      </w:tr>
      <w:tr>
        <w:trPr>
          <w:trHeight w:val="31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SP’</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average of the Last Reported Sale Prices of the Class A Common Stock over the 10 consecutive Trading Day period commencing on,</w:t>
            </w: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including, the Trading Day next succeeding the date such tender or exchange offer expires.</w:t>
            </w:r>
          </w:p>
        </w:tc>
      </w:tr>
      <w:tr>
        <w:trPr>
          <w:trHeight w:val="364"/>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79</w:t>
            </w:r>
          </w:p>
        </w:tc>
      </w:tr>
    </w:tbl>
    <w:p>
      <w:pPr>
        <w:sectPr>
          <w:pgSz w:w="11900" w:h="16838" w:orient="portrait"/>
          <w:cols w:equalWidth="0" w:num="1">
            <w:col w:w="11000"/>
          </w:cols>
          <w:pgMar w:left="440" w:top="162" w:right="459" w:bottom="1440" w:gutter="0" w:footer="0" w:header="0"/>
        </w:sectPr>
      </w:pPr>
    </w:p>
    <w:bookmarkStart w:id="91" w:name="page92"/>
    <w:bookmarkEnd w:id="91"/>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 of such Observation Period.</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If the Company or one of its Subsidiaries is obligated to purchase shares of Class A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180" w:lineRule="exact"/>
        <w:rPr>
          <w:sz w:val="20"/>
          <w:szCs w:val="20"/>
          <w:color w:val="auto"/>
        </w:rPr>
      </w:pPr>
    </w:p>
    <w:p>
      <w:pPr>
        <w:ind w:firstLine="436"/>
        <w:spacing w:after="0" w:line="255" w:lineRule="auto"/>
        <w:tabs>
          <w:tab w:leader="none" w:pos="6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this Section 14.04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Class A Common Stock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Class A Common Stock on an unadjusted basis and participate in the related dividend, distribution or other event giving rise to such adjustment.</w:t>
      </w:r>
    </w:p>
    <w:p>
      <w:pPr>
        <w:spacing w:after="0" w:line="188" w:lineRule="exact"/>
        <w:rPr>
          <w:rFonts w:ascii="Times New Roman" w:cs="Times New Roman" w:eastAsia="Times New Roman" w:hAnsi="Times New Roman"/>
          <w:sz w:val="18"/>
          <w:szCs w:val="18"/>
          <w:color w:val="auto"/>
        </w:rPr>
      </w:pPr>
    </w:p>
    <w:p>
      <w:pPr>
        <w:jc w:val="both"/>
        <w:ind w:right="320" w:firstLine="436"/>
        <w:spacing w:after="0" w:line="266"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shares of the Class A Common Stock or any securities convertible into or exchangeable for shares of the Class A Common Stock or the right to purchase shares of the Class A Common Stock or such convertible or exchangeable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2" w:name="page93"/>
    <w:bookmarkEnd w:id="92"/>
    <w:p>
      <w:pPr>
        <w:ind w:firstLine="436"/>
        <w:spacing w:after="0" w:line="256"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those adjustments required by clauses (a), (b), (c), (d) and (e) of this Section 14.04,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Class A Common Stock or rights to purchase shares of Class A Common Stock in connection with a dividend or distribution of shares of Class A Common Stock (or rights to acquire shares of Class A Common Stock) or similar event.</w:t>
      </w:r>
    </w:p>
    <w:p>
      <w:pPr>
        <w:spacing w:after="0" w:line="18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14, the Conversion Rate shall not be adjusted:</w:t>
      </w:r>
    </w:p>
    <w:p>
      <w:pPr>
        <w:spacing w:after="0" w:line="11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07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at a price below the Conversion Price or otherwise, other than any such issuance described in clause (a), (b) or (c) of this Section 14.04;</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pursuant to any present or future plan providing for the reinvestment of dividends or interest payable on the Company’s securities and the investment of additional optional amounts in shares of Class A Common Stock under any plan;</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7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or options or rights to purchase those shares pursuant to any present or future employee, director or consultant benefit or incentive plan or program (including pursuant to any evergreen plan) of or assumed by the Company or any of the Company’s Subsidiaries;</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6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the Class A Common Stock pursuant to any option, warrant, right or exercisable, exchangeable or convertible security not described in clause (iii) of this subsection and outstanding as of the date the Notes were first issued;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third-party tender offer by any party other than a tender offer by one or more of the Company’s Subsidiaries as described in clause</w:t>
      </w:r>
    </w:p>
    <w:p>
      <w:pPr>
        <w:spacing w:after="0" w:line="2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14.04;</w:t>
      </w:r>
    </w:p>
    <w:p>
      <w:pPr>
        <w:spacing w:after="0" w:line="98" w:lineRule="exact"/>
        <w:rPr>
          <w:rFonts w:ascii="Times New Roman" w:cs="Times New Roman" w:eastAsia="Times New Roman" w:hAnsi="Times New Roman"/>
          <w:sz w:val="18"/>
          <w:szCs w:val="18"/>
          <w:color w:val="auto"/>
        </w:rPr>
      </w:pPr>
    </w:p>
    <w:p>
      <w:pPr>
        <w:jc w:val="both"/>
        <w:ind w:left="440" w:right="340" w:firstLine="419"/>
        <w:spacing w:after="0" w:line="289" w:lineRule="auto"/>
        <w:tabs>
          <w:tab w:leader="none" w:pos="116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repurchase of any shares of Class A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14.04;</w:t>
      </w:r>
    </w:p>
    <w:p>
      <w:pPr>
        <w:spacing w:after="0" w:line="49" w:lineRule="exact"/>
        <w:rPr>
          <w:rFonts w:ascii="Times New Roman" w:cs="Times New Roman" w:eastAsia="Times New Roman" w:hAnsi="Times New Roman"/>
          <w:sz w:val="17"/>
          <w:szCs w:val="17"/>
          <w:color w:val="auto"/>
        </w:rPr>
      </w:pPr>
    </w:p>
    <w:p>
      <w:pPr>
        <w:ind w:left="1220" w:hanging="361"/>
        <w:spacing w:after="0"/>
        <w:tabs>
          <w:tab w:leader="none" w:pos="12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(or lack of par value) of the Class A Common Stock; or</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if 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3" w:name="page94"/>
    <w:bookmarkEnd w:id="93"/>
    <w:p>
      <w:pPr>
        <w:ind w:right="640" w:firstLine="436"/>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calculations and other determinations under this Article 14 shall be made by the Company and shall be made to the nearest one-ten thousandth (1/10,000th) of a share.</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(in the case of Physical Settlement), (iii) on each Trading Day of any Observation Period related to any conversion of Notes (in the case of Cash Settlement or Combination Settlement), (iv) April 15, 2030, (v) on any date on which the Company delivers a Notice of Redemption and (vi) on the effective date of any Fundamental Change and/or Make-Whole Fundamental Change, in each case, unless the adjustment has already been made. The provisions described in the preceding sentence are referred to herein as the “</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40" w:firstLine="436"/>
        <w:spacing w:after="0" w:line="255"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88"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14.04, the number of shares of Class A Common Stock at any time outstanding shall not include shares of</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Class A Common Stock held in the treasury of the Company so long as the Company does not pay any dividend or make any distribution on shares of Class A Common Stock held in the treasury of the Company, but shall include shares of Class A Common Stock issuable in respect of scrip certificates issued in lieu of fractions of shares of Class A Common Stock.</w:t>
      </w:r>
    </w:p>
    <w:p>
      <w:pPr>
        <w:spacing w:after="0" w:line="184"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Section 14.05</w:t>
      </w:r>
      <w:r>
        <w:rPr>
          <w:rFonts w:ascii="Times New Roman" w:cs="Times New Roman" w:eastAsia="Times New Roman" w:hAnsi="Times New Roman"/>
          <w:sz w:val="18"/>
          <w:szCs w:val="18"/>
          <w:i w:val="1"/>
          <w:iCs w:val="1"/>
          <w:color w:val="auto"/>
        </w:rPr>
        <w:t>. Adjustments of Prices.</w:t>
      </w:r>
      <w:r>
        <w:rPr>
          <w:rFonts w:ascii="Times New Roman" w:cs="Times New Roman" w:eastAsia="Times New Roman" w:hAnsi="Times New Roman"/>
          <w:sz w:val="18"/>
          <w:szCs w:val="18"/>
          <w:color w:val="auto"/>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and the period, if any, for determining the Stock Price for purposes of a Make-Whole Fundamental Change or a Notice of Redemption), the Company shall, in good faith, make appropriate adjustments (without duplication in respect of any adjustment made pursuant to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70" w:right="479" w:bottom="1440" w:gutter="0" w:footer="0" w:header="0"/>
        </w:sectPr>
      </w:pPr>
    </w:p>
    <w:bookmarkStart w:id="94" w:name="page95"/>
    <w:bookmarkEnd w:id="94"/>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14.06</w:t>
      </w:r>
      <w:r>
        <w:rPr>
          <w:rFonts w:ascii="Times New Roman" w:cs="Times New Roman" w:eastAsia="Times New Roman" w:hAnsi="Times New Roman"/>
          <w:sz w:val="18"/>
          <w:szCs w:val="18"/>
          <w:i w:val="1"/>
          <w:iCs w:val="1"/>
          <w:color w:val="auto"/>
        </w:rPr>
        <w:t>. Shares to Be Fully Paid.</w:t>
      </w:r>
      <w:r>
        <w:rPr>
          <w:rFonts w:ascii="Times New Roman" w:cs="Times New Roman" w:eastAsia="Times New Roman" w:hAnsi="Times New Roman"/>
          <w:sz w:val="18"/>
          <w:szCs w:val="18"/>
          <w:color w:val="auto"/>
        </w:rPr>
        <w:t xml:space="preserve"> The Company shall at all times reserve, free from preemptive rights, out of its authorized but unissued shares or shares held in treasury, a number of shares of Class A Common Stock equal to the product of (a) the number of outstanding Notes and (b) the Conversion Rate (assuming the Conversion Rate has been increased by the maximum number of Additional Shares pursuant to Section 14.03), to provide for conversion of the Notes from time to time as such Notes are presented for conversion.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14.07</w:t>
      </w:r>
      <w:r>
        <w:rPr>
          <w:rFonts w:ascii="Times New Roman" w:cs="Times New Roman" w:eastAsia="Times New Roman" w:hAnsi="Times New Roman"/>
          <w:sz w:val="18"/>
          <w:szCs w:val="18"/>
          <w:i w:val="1"/>
          <w:iCs w:val="1"/>
          <w:color w:val="auto"/>
        </w:rPr>
        <w:t>. Effect of Recapitalizations, Reclassifications and Changes of the Class A Common Stock.</w:t>
      </w:r>
    </w:p>
    <w:p>
      <w:pPr>
        <w:spacing w:after="0" w:line="227" w:lineRule="exact"/>
        <w:rPr>
          <w:sz w:val="20"/>
          <w:szCs w:val="20"/>
          <w:color w:val="auto"/>
        </w:rPr>
      </w:pPr>
    </w:p>
    <w:p>
      <w:pPr>
        <w:ind w:left="680" w:hanging="244"/>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07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Class A Common Stock (other than a change to par value, or from par value to no par value, or changes resulting from a subdivision or combination),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or similar transaction involving the Company,</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7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each case, as a result of which the Class A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Class A Common Stock equal to the Conversion Rate immediately prior to such Share Exchange Event would have owned or been entitled to receive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xml:space="preserve">” meaning the kind and amount of Reference Property that a holder of one share of Class A Common Stock is entitled to receive) upon such Share Exchange Event and, prior to or at the effective time of such Share Exchange Event, the Company or the successor or acquiring Person, as the case may be, shall execute with the Trustee a supplemental indenture permitted under Section 10.01(g) providing for such change in the right to convert each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and after the effective time of the Share Exchange Event (A) the Company or the successor or acquiring Person, as the case may be,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68" w:right="459" w:bottom="1440" w:gutter="0" w:footer="0" w:header="0"/>
        </w:sectPr>
      </w:pPr>
    </w:p>
    <w:bookmarkStart w:id="95" w:name="page96"/>
    <w:bookmarkEnd w:id="95"/>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(II) any shares of Class A Common Stock that the Company would have been required to deliver upon conversion of the Notes in accordance with Section 14.02 shall instead be deliverable in the amount and type of Reference Property that a holder of that number of shares of Class A Common Stock would have received in such Share Exchange Event and (III) the Daily VWAP shall be calculated based on the value of a unit of Reference Property that a holder of one share of Class A Common Stock would have received in such Share Exchange Event.</w:t>
      </w:r>
    </w:p>
    <w:p>
      <w:pPr>
        <w:spacing w:after="0" w:line="180"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If the Share Exchange Event causes the Class A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Class A Common Stock, and (ii) the unit of Reference Property for purposes of the immediately preceding paragraph shall refer to the consideration referred to in clause</w:t>
      </w:r>
    </w:p>
    <w:p>
      <w:pPr>
        <w:spacing w:after="0" w:line="3" w:lineRule="exact"/>
        <w:rPr>
          <w:sz w:val="20"/>
          <w:szCs w:val="20"/>
          <w:color w:val="auto"/>
        </w:rPr>
      </w:pPr>
    </w:p>
    <w:p>
      <w:pPr>
        <w:ind w:left="4" w:right="20" w:hanging="4"/>
        <w:spacing w:after="0" w:line="252" w:lineRule="auto"/>
        <w:tabs>
          <w:tab w:leader="none" w:pos="2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attributable to one share of Class A Common Stock. If the holders of the Class A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price paid per share of Class A Common Stock in such Share Exchange Event and (B) the Company shall satisfy the Conversion Obligation by paying cash to converting Holders on the fifth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88"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If the Reference Property in respect of any such Share Exchange Event includes, in whole or in part, shares of Common Equity or American depositary receipts (or other interests) in respect thereof, such supplemental indenture described in the second immediately preceding paragraph shall provide for anti-dilution and other adjustments that shall be as nearly equivalent as is possible to the adjustments provided for in this Article 14 with respect to the portion of the Reference Property consisting of such Common Equity or American depositary receipts (or other interests) in respect thereof. If, in the case of any Share Exchange Event, the Reference Property includes shares of stock, securities or other property or assets (including any combination thereof), other than cash and/or cash equivalents, of a Person other than the Company or the successor or acquiring Person, as the case may be, in such Share Exchange Event, then such supplemental indenture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 including the provisions providing for the purchase rights set forth in Article 15.</w:t>
      </w:r>
    </w:p>
    <w:p>
      <w:pPr>
        <w:spacing w:after="0" w:line="194" w:lineRule="exact"/>
        <w:rPr>
          <w:sz w:val="20"/>
          <w:szCs w:val="20"/>
          <w:color w:val="auto"/>
        </w:rPr>
      </w:pPr>
    </w:p>
    <w:p>
      <w:pPr>
        <w:ind w:left="4" w:right="120" w:firstLine="436"/>
        <w:spacing w:after="0" w:line="266" w:lineRule="auto"/>
        <w:tabs>
          <w:tab w:leader="none" w:pos="69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4"/>
          </w:cols>
          <w:pgMar w:left="436" w:top="270" w:right="459" w:bottom="1440" w:gutter="0" w:footer="0" w:header="0"/>
        </w:sectPr>
      </w:pPr>
    </w:p>
    <w:bookmarkStart w:id="96" w:name="page97"/>
    <w:bookmarkEnd w:id="96"/>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76" w:lineRule="exact"/>
        <w:rPr>
          <w:sz w:val="20"/>
          <w:szCs w:val="20"/>
          <w:color w:val="auto"/>
        </w:rPr>
      </w:pPr>
    </w:p>
    <w:p>
      <w:pPr>
        <w:ind w:right="20" w:firstLine="436"/>
        <w:spacing w:after="0" w:line="261"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become a party to any Share Exchange Event unless its terms are consistent with this Section 14.07. None of the foregoing provisions shall affect the right of a Holder of Notes to convert its Notes into cash, shares of Class A Common Stock or a combination of cash and shares of Class A Common Stock, as applicable, as set forth in Section 14.01 and Section 14.02 prior to the effective date of such Share Exchange Event.</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Share Exchange Events.</w:t>
      </w:r>
    </w:p>
    <w:p>
      <w:pPr>
        <w:spacing w:after="0" w:line="223"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Section 14.08</w:t>
      </w:r>
      <w:r>
        <w:rPr>
          <w:rFonts w:ascii="Times New Roman" w:cs="Times New Roman" w:eastAsia="Times New Roman" w:hAnsi="Times New Roman"/>
          <w:sz w:val="18"/>
          <w:szCs w:val="18"/>
          <w:i w:val="1"/>
          <w:iCs w:val="1"/>
          <w:color w:val="auto"/>
        </w:rPr>
        <w:t>. Certain Covenants.</w:t>
      </w:r>
      <w:r>
        <w:rPr>
          <w:rFonts w:ascii="Times New Roman" w:cs="Times New Roman" w:eastAsia="Times New Roman" w:hAnsi="Times New Roman"/>
          <w:sz w:val="18"/>
          <w:szCs w:val="18"/>
          <w:color w:val="auto"/>
        </w:rPr>
        <w:t xml:space="preserve"> (a) The Company covenants that all shares of Class A Common Stock issued upon conversion of Notes will be fully paid and non-assessable by the Company and free from all taxes, liens and charges with respect to the issue thereof.</w:t>
      </w:r>
    </w:p>
    <w:p>
      <w:pPr>
        <w:spacing w:after="0" w:line="160" w:lineRule="exact"/>
        <w:rPr>
          <w:sz w:val="20"/>
          <w:szCs w:val="20"/>
          <w:color w:val="auto"/>
        </w:rPr>
      </w:pPr>
    </w:p>
    <w:p>
      <w:pPr>
        <w:ind w:firstLine="436"/>
        <w:spacing w:after="0" w:line="261"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shares of Class A Common Stock to be provided for the purpose of conversion of Notes hereunder require registration with or approval of any governmental authority under any federal or state law before such shares of Class A Common Stock may be validly issued upon conversion, the Company will, to the extent then permitted by the rules and interpretations of the Commission, secure such registration or approval, as the case may be.</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Class A Common Stock shall be listed on any national securities exchange or automated quotation system the Company will list and keep listed, so long as the Class A Common Stock shall be so listed on such exchange or automated quotation system, any Class A Common Stock issuable upon conversion of the Notes.</w:t>
      </w:r>
    </w:p>
    <w:p>
      <w:pPr>
        <w:spacing w:after="0" w:line="17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14.09</w:t>
      </w:r>
      <w:r>
        <w:rPr>
          <w:rFonts w:ascii="Times New Roman" w:cs="Times New Roman" w:eastAsia="Times New Roman" w:hAnsi="Times New Roman"/>
          <w:sz w:val="18"/>
          <w:szCs w:val="18"/>
          <w:i w:val="1"/>
          <w:iCs w:val="1"/>
          <w:color w:val="auto"/>
        </w:rPr>
        <w:t>. Responsibility of Trustee.</w:t>
      </w:r>
      <w:r>
        <w:rPr>
          <w:rFonts w:ascii="Times New Roman" w:cs="Times New Roman" w:eastAsia="Times New Roman" w:hAnsi="Times New Roman"/>
          <w:sz w:val="18"/>
          <w:szCs w:val="18"/>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Class A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Class A Common Stock or stock certificates or other securities or property or cash upon the surrender of any Note for the purpose of</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0"/>
          </w:cols>
          <w:pgMar w:left="440" w:top="270" w:right="479" w:bottom="1440" w:gutter="0" w:footer="0" w:header="0"/>
        </w:sectPr>
      </w:pPr>
    </w:p>
    <w:bookmarkStart w:id="97" w:name="page98"/>
    <w:bookmarkEnd w:id="9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14.10</w:t>
      </w:r>
      <w:r>
        <w:rPr>
          <w:rFonts w:ascii="Times New Roman" w:cs="Times New Roman" w:eastAsia="Times New Roman" w:hAnsi="Times New Roman"/>
          <w:sz w:val="18"/>
          <w:szCs w:val="18"/>
          <w:i w:val="1"/>
          <w:iCs w:val="1"/>
          <w:color w:val="auto"/>
        </w:rPr>
        <w:t>. [Intentionally Omitted].</w:t>
      </w:r>
    </w:p>
    <w:p>
      <w:pPr>
        <w:spacing w:after="0" w:line="225"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Section 14.11</w:t>
      </w:r>
      <w:r>
        <w:rPr>
          <w:rFonts w:ascii="Times New Roman" w:cs="Times New Roman" w:eastAsia="Times New Roman" w:hAnsi="Times New Roman"/>
          <w:sz w:val="18"/>
          <w:szCs w:val="18"/>
          <w:i w:val="1"/>
          <w:iCs w:val="1"/>
          <w:color w:val="auto"/>
        </w:rPr>
        <w:t>. Stockholder Rights Plans.</w:t>
      </w:r>
      <w:r>
        <w:rPr>
          <w:rFonts w:ascii="Times New Roman" w:cs="Times New Roman" w:eastAsia="Times New Roman" w:hAnsi="Times New Roman"/>
          <w:sz w:val="18"/>
          <w:szCs w:val="18"/>
          <w:color w:val="auto"/>
        </w:rPr>
        <w:t xml:space="preserve"> If the Company has a stockholder rights plan in effect upon conversion of the Notes, each share of Class A Common Stock, if any, issued upon such conversion shall be entitled to receive the appropriate number of rights, if any, and the certificates representing the Class A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Class A Common Stock in accordance with the provisions of the applicable stockholder rights plan, the Conversion Rate shall be adjusted at the time of separation as if the Company distributed to all or substantially all holders of the Class A Common Stock, Distributed Property as provided in Section 14.04(c), subject to readjustment in the event of the expiration, termination or redemption of such rights.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14.12</w:t>
      </w:r>
      <w:r>
        <w:rPr>
          <w:rFonts w:ascii="Times New Roman" w:cs="Times New Roman" w:eastAsia="Times New Roman" w:hAnsi="Times New Roman"/>
          <w:sz w:val="18"/>
          <w:szCs w:val="18"/>
          <w:i w:val="1"/>
          <w:iCs w:val="1"/>
          <w:color w:val="auto"/>
        </w:rPr>
        <w:t>. Exchange in Lieu of Conversion.</w:t>
      </w:r>
    </w:p>
    <w:p>
      <w:pPr>
        <w:spacing w:after="0" w:line="223" w:lineRule="exact"/>
        <w:rPr>
          <w:sz w:val="20"/>
          <w:szCs w:val="20"/>
          <w:color w:val="auto"/>
        </w:rPr>
      </w:pPr>
    </w:p>
    <w:p>
      <w:pPr>
        <w:ind w:right="20" w:firstLine="436"/>
        <w:spacing w:after="0" w:line="257" w:lineRule="auto"/>
        <w:tabs>
          <w:tab w:leader="none" w:pos="6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Holder surrenders its Notes for conversion, the Company may, at its election (an “</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direct the Conversion Agent to deliver, on or prior to the Trading Day immediately following the Conversion Date, such Notes to one or more financial institutions designated by the Company (each, a “</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for exchange in lieu of conversion. In order to accept any Notes surrendered for conversion, the Designated Financial Institution(s) must agree to timely pay and/or deliver, as the case may be, in exchange for such Notes, the cash, shares of Class A Common Stock or combination thereof that would otherwise be due upon conversion pursuant to Section 14.02 or such other amount agreed to by the Holder and the Designated Financial Institution(s) (the “</w:t>
      </w:r>
      <w:r>
        <w:rPr>
          <w:rFonts w:ascii="Times New Roman" w:cs="Times New Roman" w:eastAsia="Times New Roman" w:hAnsi="Times New Roman"/>
          <w:sz w:val="18"/>
          <w:szCs w:val="18"/>
          <w:b w:val="1"/>
          <w:bCs w:val="1"/>
          <w:color w:val="auto"/>
        </w:rPr>
        <w:t>Conversion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80"/>
          </w:cols>
          <w:pgMar w:left="440" w:top="270" w:right="479" w:bottom="1440" w:gutter="0" w:footer="0" w:header="0"/>
        </w:sectPr>
      </w:pPr>
    </w:p>
    <w:bookmarkStart w:id="98" w:name="page99"/>
    <w:bookmarkEnd w:id="98"/>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w:t>
      </w:r>
      <w:r>
        <w:rPr>
          <w:rFonts w:ascii="Times New Roman" w:cs="Times New Roman" w:eastAsia="Times New Roman" w:hAnsi="Times New Roman"/>
          <w:sz w:val="18"/>
          <w:szCs w:val="18"/>
          <w:color w:val="auto"/>
        </w:rPr>
        <w:t>”). If the Company makes an Exchange Election, the Company shall, by the close of business on the Trading Day following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consideration constituting the Conversion Obligation under this Indenture to be paid and/or delivered, as the case may be.</w:t>
      </w:r>
    </w:p>
    <w:p>
      <w:pPr>
        <w:spacing w:after="0" w:line="183" w:lineRule="exact"/>
        <w:rPr>
          <w:sz w:val="20"/>
          <w:szCs w:val="20"/>
          <w:color w:val="auto"/>
        </w:rPr>
      </w:pPr>
    </w:p>
    <w:p>
      <w:pPr>
        <w:ind w:firstLine="436"/>
        <w:spacing w:after="0" w:line="258"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delivered to the Designated Financial Institution(s) shall remain outstanding, subject to the applicable procedures of the Depositary. If the Designated Financial Institution(s) agree(s) to accept any Notes for exchange but does not timely pay and/or deliver, as the case may be, the related Conversion Consideration, or if such Designated Financial Institution does not accept the Notes for exchange, the Company shall pay and/or deliver, as the case may be, the relevant Conversion Consideration, as, and at the time, required pursuant to this Indenture as if the Company had not made the Exchange Election.</w:t>
      </w:r>
    </w:p>
    <w:p>
      <w:pPr>
        <w:spacing w:after="0" w:line="183"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any Designated Financial Institution(s) to which the Notes may be submitted for exchange does not require such Designated Financial Institution(s) to accept any Notes.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15.01</w:t>
      </w:r>
      <w:r>
        <w:rPr>
          <w:rFonts w:ascii="Times New Roman" w:cs="Times New Roman" w:eastAsia="Times New Roman" w:hAnsi="Times New Roman"/>
          <w:sz w:val="18"/>
          <w:szCs w:val="18"/>
          <w:i w:val="1"/>
          <w:iCs w:val="1"/>
          <w:color w:val="auto"/>
        </w:rPr>
        <w:t>. [Intentionally Omitted].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15.02</w:t>
      </w:r>
      <w:r>
        <w:rPr>
          <w:rFonts w:ascii="Times New Roman" w:cs="Times New Roman" w:eastAsia="Times New Roman" w:hAnsi="Times New Roman"/>
          <w:sz w:val="18"/>
          <w:szCs w:val="18"/>
          <w:i w:val="1"/>
          <w:iCs w:val="1"/>
          <w:color w:val="auto"/>
        </w:rPr>
        <w:t>. Repurchase at Option of Holders Upon a Fundamental Change.</w:t>
      </w:r>
    </w:p>
    <w:p>
      <w:pPr>
        <w:spacing w:after="0" w:line="227" w:lineRule="exact"/>
        <w:rPr>
          <w:sz w:val="20"/>
          <w:szCs w:val="20"/>
          <w:color w:val="auto"/>
        </w:rPr>
      </w:pPr>
    </w:p>
    <w:p>
      <w:pPr>
        <w:ind w:firstLine="436"/>
        <w:spacing w:after="0" w:line="253"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15.02(f), if a Fundamental Change occurs at any time,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Times New Roman" w:cs="Times New Roman" w:eastAsia="Times New Roman" w:hAnsi="Times New Roman"/>
          <w:sz w:val="18"/>
          <w:szCs w:val="18"/>
          <w:b w:val="1"/>
          <w:bCs w:val="1"/>
          <w:color w:val="auto"/>
        </w:rPr>
        <w:t>Fundamental Change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specified by the Company that is not less than 20 Business Days or more than 35 Business Days following the date of the Fundamental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Notice at a repurchase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excluding, the Fundamental Change Repurchase Date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the close of business on such Regular Record Date on, or at the Company’s election, before such Interest Payment Date, and the Fundamental Change Repurchase Price shall be equal to 100% of the principal amount of Notes to be repurchased pursuant to this Article 15).</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66" w:right="479" w:bottom="1440" w:gutter="0" w:footer="0" w:header="0"/>
        </w:sectPr>
      </w:pPr>
    </w:p>
    <w:bookmarkStart w:id="99" w:name="page100"/>
    <w:bookmarkEnd w:id="99"/>
    <w:p>
      <w:pPr>
        <w:ind w:left="700" w:hanging="264"/>
        <w:spacing w:after="0"/>
        <w:tabs>
          <w:tab w:leader="none" w:pos="7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Repurchases of Notes under this Section 15.02 shall be made, at the option of the Holder thereof, upon:</w:t>
      </w:r>
    </w:p>
    <w:p>
      <w:pPr>
        <w:spacing w:after="0" w:line="113" w:lineRule="exact"/>
        <w:rPr>
          <w:rFonts w:ascii="Times New Roman" w:cs="Times New Roman" w:eastAsia="Times New Roman" w:hAnsi="Times New Roman"/>
          <w:sz w:val="18"/>
          <w:szCs w:val="18"/>
          <w:color w:val="auto"/>
        </w:rPr>
      </w:pPr>
    </w:p>
    <w:p>
      <w:pPr>
        <w:ind w:left="440" w:right="20" w:firstLine="419"/>
        <w:spacing w:after="0" w:line="262" w:lineRule="auto"/>
        <w:tabs>
          <w:tab w:leader="none" w:pos="107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a Holder of a duly completed notice (the “</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in the form set forth in Attachment 2 to the Form of Note attached hereto as Exhibit A, if the Notes are Physical Notes, or in compliance with the Depositary’s applicable procedures for surrendering interests in Global Notes, if the Notes are Global Notes, in each case, on or before the close of business on the Business Day immediately preceding the Fundamental Change Repurchase Date; and</w:t>
      </w:r>
    </w:p>
    <w:p>
      <w:pPr>
        <w:spacing w:after="0" w:line="72"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or transfer being a condition to receipt by the Holder of the Fundamental Change Repurchase Price therefor.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Fundamental Change Repurchase Notice in respect of any Physical Notes to be repurchased shall state:</w:t>
      </w:r>
    </w:p>
    <w:p>
      <w:pPr>
        <w:spacing w:after="0" w:line="117" w:lineRule="exact"/>
        <w:rPr>
          <w:sz w:val="20"/>
          <w:szCs w:val="20"/>
          <w:color w:val="auto"/>
        </w:rPr>
      </w:pPr>
    </w:p>
    <w:p>
      <w:pPr>
        <w:ind w:left="1080" w:hanging="221"/>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to be delivered for repurchase;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 integral multiple thereof; and</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the Notes are Global Notes, to exercise the Fundamental Change repurchase right, Holders must surrender their Notes in accordance with applicable Depositary procedures.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Paying Agent shall promptly notify the Company of the receipt by it of any Fundamental Change Repurchase Notice or written notice of withdrawal thereof.</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40"/>
          </w:cols>
          <w:pgMar w:left="440" w:top="270" w:right="519" w:bottom="1440" w:gutter="0" w:footer="0" w:header="0"/>
        </w:sectPr>
      </w:pPr>
    </w:p>
    <w:bookmarkStart w:id="100" w:name="page101"/>
    <w:bookmarkEnd w:id="100"/>
    <w:p>
      <w:pPr>
        <w:ind w:right="60" w:firstLine="436"/>
        <w:spacing w:after="0" w:line="255" w:lineRule="auto"/>
        <w:tabs>
          <w:tab w:leader="none" w:pos="6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before the 20th Business Day after the occurrence of the effective date of a Fundamental Change, the Company shall provide to all Holders and the Trustee, the Conversion Agent (if other than the Trustee) and the Paying Agent (if other than the Trustee) a notice (the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Company Notice</w:t>
      </w:r>
      <w:r>
        <w:rPr>
          <w:rFonts w:ascii="Times New Roman" w:cs="Times New Roman" w:eastAsia="Times New Roman" w:hAnsi="Times New Roman"/>
          <w:sz w:val="18"/>
          <w:szCs w:val="18"/>
          <w:color w:val="auto"/>
        </w:rPr>
        <w:t>”) of the occurrence of the effective date of the Fundamental Change and of the resulting repurchase right at the option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arising as a result thereof. In the case of Physical Notes, such notice shall be delivered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Each Fundamental Change Company Notice shall specify:</w:t>
      </w:r>
    </w:p>
    <w:p>
      <w:pPr>
        <w:spacing w:after="0" w:line="80"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Fundamental Change;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Article 15;</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 if applicable;</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2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 as a result of the Fundamental Change (or related Make-Whole Fundamental Change);</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26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62"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At the Company’s written request given at least two (2) Business Days before such notice is to be sent (or such shorter period as shall be acceptable to the Trustee),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101" w:name="page102"/>
    <w:bookmarkEnd w:id="101"/>
    <w:p>
      <w:pPr>
        <w:ind w:left="4" w:right="220" w:firstLine="436"/>
        <w:spacing w:after="0" w:line="258" w:lineRule="auto"/>
        <w:tabs>
          <w:tab w:leader="none" w:pos="69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83" w:lineRule="exact"/>
        <w:rPr>
          <w:rFonts w:ascii="Times New Roman" w:cs="Times New Roman" w:eastAsia="Times New Roman" w:hAnsi="Times New Roman"/>
          <w:sz w:val="18"/>
          <w:szCs w:val="18"/>
          <w:color w:val="auto"/>
        </w:rPr>
      </w:pPr>
    </w:p>
    <w:p>
      <w:pPr>
        <w:ind w:left="4" w:right="140" w:firstLine="436"/>
        <w:spacing w:after="0" w:line="254" w:lineRule="auto"/>
        <w:tabs>
          <w:tab w:leader="none" w:pos="68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191" w:lineRule="exact"/>
        <w:rPr>
          <w:rFonts w:ascii="Times New Roman" w:cs="Times New Roman" w:eastAsia="Times New Roman" w:hAnsi="Times New Roman"/>
          <w:sz w:val="18"/>
          <w:szCs w:val="18"/>
          <w:color w:val="auto"/>
        </w:rPr>
      </w:pPr>
    </w:p>
    <w:p>
      <w:pPr>
        <w:ind w:left="4" w:firstLine="436"/>
        <w:spacing w:after="0" w:line="252" w:lineRule="auto"/>
        <w:tabs>
          <w:tab w:leader="none" w:pos="66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15.02, the Company shall not be required to send a Fundamental Change Company Notice, or offer to repurchase or repurchase any Notes, as set forth in this Article 15, in connection with a Fundamental Change occurring pursuant to clause (b)(A) or (B) of the definition thereof, if: (i) such Fundamental Change constitutes a Share Exchange Event whose Reference Property consists entirely of cash in U.S. dollars; (ii) immediately after such Fundamental Change, the Notes become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 (iii) the Company timely sends the notice relating to such Fundamental Change required pursuant to Section 14.01(b)(iii). Any Fundamental Change with respect to which, in accordance with the provisions described in this Section 15.02(f), the Company does not offer to repurchase any Notes is referred to as herein as an “</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For the avoidance of doubt, the maximum amount of accrued interest referred to in clause</w:t>
      </w:r>
    </w:p>
    <w:p>
      <w:pPr>
        <w:spacing w:after="0" w:line="5" w:lineRule="exact"/>
        <w:rPr>
          <w:rFonts w:ascii="Times New Roman" w:cs="Times New Roman" w:eastAsia="Times New Roman" w:hAnsi="Times New Roman"/>
          <w:sz w:val="18"/>
          <w:szCs w:val="18"/>
          <w:color w:val="auto"/>
        </w:rPr>
      </w:pPr>
    </w:p>
    <w:p>
      <w:pPr>
        <w:ind w:left="4" w:right="40" w:hanging="4"/>
        <w:spacing w:after="0" w:line="255" w:lineRule="auto"/>
        <w:tabs>
          <w:tab w:leader="none" w:pos="26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will be determined (A) by assuming that the Fundamental Change Repurchase Date occurs on the latest possible date permitted for the applicable Fundamental Change pursuant to the provisions of this Section 15.02; and (ii) without regard to the parenthetical in Section 15.02(a) relating to a Fundamental Change Repurchase Date that falls after a Regular Record Date and prior to the corresponding Interest Payment Date.</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64"/>
          </w:cols>
          <w:pgMar w:left="436" w:top="270" w:right="499" w:bottom="1440" w:gutter="0" w:footer="0" w:header="0"/>
        </w:sectPr>
      </w:pPr>
    </w:p>
    <w:bookmarkStart w:id="102" w:name="page103"/>
    <w:bookmarkEnd w:id="102"/>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15.03</w:t>
      </w:r>
      <w:r>
        <w:rPr>
          <w:rFonts w:ascii="Times New Roman" w:cs="Times New Roman" w:eastAsia="Times New Roman" w:hAnsi="Times New Roman"/>
          <w:sz w:val="18"/>
          <w:szCs w:val="18"/>
          <w:i w:val="1"/>
          <w:iCs w:val="1"/>
          <w:color w:val="auto"/>
        </w:rPr>
        <w:t>. Withdrawal of Fundamental Change Repurchase Notice.</w:t>
      </w:r>
      <w:r>
        <w:rPr>
          <w:rFonts w:ascii="Times New Roman" w:cs="Times New Roman" w:eastAsia="Times New Roman" w:hAnsi="Times New Roman"/>
          <w:sz w:val="18"/>
          <w:szCs w:val="18"/>
          <w:color w:val="auto"/>
        </w:rPr>
        <w:t xml:space="preserve"> (a) A Fundamental Change Repurchase Notice may be withdrawn (in whole or in part) in respect of Physical Notes by means of a written notice of withdrawal delivered to the Corporate Trust Office of the Paying Agent in accordance with this Section 15.03 at any time prior to the close of business on the Business Day immediately preceding the Fundamental Change Repurchase Date, specifying:</w:t>
      </w:r>
    </w:p>
    <w:p>
      <w:pPr>
        <w:spacing w:after="0" w:line="74" w:lineRule="exact"/>
        <w:rPr>
          <w:sz w:val="20"/>
          <w:szCs w:val="20"/>
          <w:color w:val="auto"/>
        </w:rPr>
      </w:pPr>
    </w:p>
    <w:p>
      <w:pPr>
        <w:ind w:left="440" w:right="540" w:firstLine="419"/>
        <w:spacing w:after="0" w:line="282" w:lineRule="auto"/>
        <w:tabs>
          <w:tab w:leader="none" w:pos="10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 which must be $1,000 or an integral multiple thereof,</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 of the Note in respect of which such notice of withdrawal is being submitted, and</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Notice, which portion must be in principal amounts of $1,000 or an integral multiple of $1,000;</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the Notes are Global Notes, Holders must withdraw their Notes subject to repurchase at any time prior to the close of business on the Business Day immediately preceding the Fundamental Change Repurchase Date in accordance with applicable procedures of the Depositary.</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15.04</w:t>
      </w:r>
      <w:r>
        <w:rPr>
          <w:rFonts w:ascii="Times New Roman" w:cs="Times New Roman" w:eastAsia="Times New Roman" w:hAnsi="Times New Roman"/>
          <w:sz w:val="18"/>
          <w:szCs w:val="18"/>
          <w:i w:val="1"/>
          <w:iCs w:val="1"/>
          <w:color w:val="auto"/>
        </w:rPr>
        <w:t>. Deposit of Fundamental Change Repurchase Price.</w:t>
      </w:r>
      <w:r>
        <w:rPr>
          <w:rFonts w:ascii="Times New Roman" w:cs="Times New Roman" w:eastAsia="Times New Roman" w:hAnsi="Times New Roman"/>
          <w:sz w:val="18"/>
          <w:szCs w:val="18"/>
          <w:color w:val="auto"/>
        </w:rPr>
        <w:t xml:space="preserve"> (a) The Company will deposit with the Trustee (or other Paying Agent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appointed by the Company, or if the Company is acting as its own Paying Agent, set aside, segregate and hold in trust as provided in Section 4.04) 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11:00 a.m., New York City time, on the Fundamental Change Repurchase Date an amount of money sufficient to repurchase all of the Notes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repurchased at the appropriate Fundamental Change Repurchase Price. Subject to receipt of funds and/or Notes by the Trustee (or other Paying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appointed by the Company), payment for Notes surrendered for repurchase (and not validly withdrawn prior to the close of business on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immediately preceding the Fundamental Change Repurchase Date) will be made on the later of (i) the Fundamental Change Repurchase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15.02) and (ii) the time of book-entry transfer or the delivery of such Note to the Trustee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Paying Agent appointed by the Company) by the Holder thereof in the manner required by Section 15.02 by mailing checks for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payable to the Holders of such Notes entitled thereto as they shall appear in the Note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to the Depositary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made by wire transfer of immediately available funds to the account of the Depositary or its nominee. The Trustee shall, promptly after such payment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upon written demand by the Company, return to the Company any funds in excess of the Fundamental Change Repurchase Price.</w:t>
      </w:r>
    </w:p>
    <w:p>
      <w:pPr>
        <w:spacing w:after="0" w:line="207" w:lineRule="exact"/>
        <w:rPr>
          <w:sz w:val="20"/>
          <w:szCs w:val="20"/>
          <w:color w:val="auto"/>
        </w:rPr>
      </w:pPr>
    </w:p>
    <w:p>
      <w:pPr>
        <w:ind w:right="80" w:firstLine="436"/>
        <w:spacing w:after="0" w:line="254" w:lineRule="auto"/>
        <w:tabs>
          <w:tab w:leader="none" w:pos="6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interest, if applicable).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68" w:right="479" w:bottom="1440" w:gutter="0" w:footer="0" w:header="0"/>
        </w:sectPr>
      </w:pPr>
    </w:p>
    <w:bookmarkStart w:id="103" w:name="page104"/>
    <w:bookmarkEnd w:id="103"/>
    <w:p>
      <w:pPr>
        <w:ind w:right="300" w:firstLine="436"/>
        <w:spacing w:after="0" w:line="266" w:lineRule="auto"/>
        <w:tabs>
          <w:tab w:leader="none" w:pos="6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r>
        <w:rPr>
          <w:rFonts w:ascii="Times New Roman" w:cs="Times New Roman" w:eastAsia="Times New Roman" w:hAnsi="Times New Roman"/>
          <w:sz w:val="18"/>
          <w:szCs w:val="18"/>
          <w:color w:val="auto"/>
        </w:rPr>
        <w:t>. In connection with any repurchase offer upon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Change pursuant to this Article 15, the Company will, if required:</w:t>
      </w:r>
    </w:p>
    <w:p>
      <w:pPr>
        <w:spacing w:after="0" w:line="207" w:lineRule="exact"/>
        <w:rPr>
          <w:sz w:val="20"/>
          <w:szCs w:val="20"/>
          <w:color w:val="auto"/>
        </w:rPr>
      </w:pPr>
    </w:p>
    <w:p>
      <w:pPr>
        <w:ind w:left="680" w:hanging="244"/>
        <w:spacing w:after="0"/>
        <w:tabs>
          <w:tab w:leader="none" w:pos="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tender offer rules under the Exchange Act that may then be applicable;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Schedule TO or any other required schedule under the Exchange Act; and</w:t>
      </w:r>
    </w:p>
    <w:p>
      <w:pPr>
        <w:spacing w:after="0" w:line="225"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in all material respects with all federal and state securities laws in connection with any offer by the Company to repurchase the Notes;</w:t>
      </w:r>
    </w:p>
    <w:p>
      <w:pPr>
        <w:spacing w:after="0" w:line="16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in each case, so as to permit the rights and obligations under this Article 15 to be exercised in the time and in the manner specified in this Article 15.</w:t>
      </w:r>
    </w:p>
    <w:p>
      <w:pPr>
        <w:spacing w:after="0" w:line="23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provisions of any securities laws or regulations enacted or adopted after the date of this Indenture conflict with the provisions of this Indenture relating to the Company’s obligations to repurchase the Notes upon a Fundamental Change, the Company shall comply with such securities laws and regulations and shall not be deemed to have breached its obligations under such provisions of this Indenture by virtue of such conflict.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EDEMPTION</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No sinking fund is provided for the Notes. The Notes shall not be redeemable by the Company prior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20, 2028. On or after July 20, 2028, the Company may redeem (an “</w:t>
      </w:r>
      <w:r>
        <w:rPr>
          <w:rFonts w:ascii="Times New Roman" w:cs="Times New Roman" w:eastAsia="Times New Roman" w:hAnsi="Times New Roman"/>
          <w:sz w:val="17"/>
          <w:szCs w:val="17"/>
          <w:b w:val="1"/>
          <w:bCs w:val="1"/>
          <w:color w:val="auto"/>
        </w:rPr>
        <w:t>Optional Redemption</w:t>
      </w:r>
      <w:r>
        <w:rPr>
          <w:rFonts w:ascii="Times New Roman" w:cs="Times New Roman" w:eastAsia="Times New Roman" w:hAnsi="Times New Roman"/>
          <w:sz w:val="17"/>
          <w:szCs w:val="17"/>
          <w:color w:val="auto"/>
        </w:rPr>
        <w:t>”) for cash all or any portion of the Notes (subject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 Redemption Limitation), at the Redemption Price, if the Last Reported Sale Price of the Class A Common Stock has been at least 130%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Price then in effect for at least 20 Trading Days (whether or not consecutive) during any 30 consecutive Trading Day period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Trading Day of such period) ending on, and including, the Trading Day immediately preceding the date on which the Company provides the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Redemption in accordance with Section 16.02.</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60"/>
          </w:cols>
          <w:pgMar w:left="440" w:top="270" w:right="499" w:bottom="1440" w:gutter="0" w:footer="0" w:header="0"/>
        </w:sectPr>
      </w:pPr>
    </w:p>
    <w:bookmarkStart w:id="104" w:name="page105"/>
    <w:bookmarkEnd w:id="1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16.02. </w:t>
      </w:r>
      <w:r>
        <w:rPr>
          <w:rFonts w:ascii="Times New Roman" w:cs="Times New Roman" w:eastAsia="Times New Roman" w:hAnsi="Times New Roman"/>
          <w:sz w:val="18"/>
          <w:szCs w:val="18"/>
          <w:i w:val="1"/>
          <w:iCs w:val="1"/>
          <w:color w:val="auto"/>
        </w:rPr>
        <w:t>Notice of Optional Redemption; Selection of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In case the Company exercises its Optional Redemption right to redeem all or, as the case may be, any part of the Notes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16.01, it shall fix a date for redemption (each, a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and it or, at its written request received by the Trustee not less than five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Days prior to the date such Notice of Redemption is to be sent (or such shorter period of time as may be acceptable to the Trustee), the Trustee,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name of and at the expense of the Company, shall deliver or cause to be delivered a written notice of such Optional Redemption (a “</w:t>
      </w:r>
      <w:r>
        <w:rPr>
          <w:rFonts w:ascii="Times New Roman" w:cs="Times New Roman" w:eastAsia="Times New Roman" w:hAnsi="Times New Roman"/>
          <w:sz w:val="18"/>
          <w:szCs w:val="18"/>
          <w:b w:val="1"/>
          <w:bCs w:val="1"/>
          <w:color w:val="auto"/>
        </w:rPr>
        <w:t>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not less than 25 nor more than 45 Scheduled Trading Days prior to the Redemption Date to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give such notice, it shall also give written notice of the Redemption Date to the Trustee, the Paying Agent (if other than the Trustee)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Conversion Agent (if other than the Trustee);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in accordance with the provisions of Section 14.02(a)(iii), the Company elects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delivery of a Settlement Notice to settle all conversions of Called Notes with a Conversion Date that occurs during the related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by Physical Settlement, then the Company may instead elect to choose a Redemption Date that is a Business Day not less than 15 calendar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 more than 45 Scheduled Trading Days after the date the Company sends such Notice of Redemption. The Redemption Date set forth in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Redemption must be a Business Day that is scheduled to be a Business Day as of the date of such Notice of Redemption, and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specify a Redemption Date that falls on or after the 21st Scheduled Trading Day immediately preceding the Maturity Date.</w:t>
      </w:r>
    </w:p>
    <w:p>
      <w:pPr>
        <w:spacing w:after="0" w:line="207" w:lineRule="exact"/>
        <w:rPr>
          <w:sz w:val="20"/>
          <w:szCs w:val="20"/>
          <w:color w:val="auto"/>
        </w:rPr>
      </w:pPr>
    </w:p>
    <w:p>
      <w:pPr>
        <w:ind w:firstLine="436"/>
        <w:spacing w:after="0" w:line="266"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Redemption shall specify:</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1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7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Note to be redeemed, and that interest thereon, if any, shall cease to accrue on and after payment of the Redemption Price in full on the Redemption Date;</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of Called Notes may surrender such Notes for conversion at any time during the related Redemption Period;</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6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Called Notes and the Settlement Method and Specified Dollar Amount, if applicable;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40" w:top="268" w:right="479" w:bottom="1440" w:gutter="0" w:footer="0" w:header="0"/>
        </w:sectPr>
      </w:pPr>
    </w:p>
    <w:bookmarkStart w:id="105" w:name="page106"/>
    <w:bookmarkEnd w:id="105"/>
    <w:p>
      <w:pPr>
        <w:ind w:left="440" w:right="1020" w:firstLine="419"/>
        <w:spacing w:after="0" w:line="282" w:lineRule="auto"/>
        <w:tabs>
          <w:tab w:leader="none" w:pos="12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Conversion Rate and, if applicable, the number of Additional Shares added to the Conversion Rate in accordance with Section 14.03;</w:t>
      </w:r>
    </w:p>
    <w:p>
      <w:pPr>
        <w:spacing w:after="0" w:line="5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117" w:lineRule="exact"/>
        <w:rPr>
          <w:rFonts w:ascii="Times New Roman" w:cs="Times New Roman" w:eastAsia="Times New Roman" w:hAnsi="Times New Roman"/>
          <w:sz w:val="18"/>
          <w:szCs w:val="18"/>
          <w:color w:val="auto"/>
        </w:rPr>
      </w:pPr>
    </w:p>
    <w:p>
      <w:pPr>
        <w:jc w:val="both"/>
        <w:ind w:left="440" w:right="700" w:firstLine="419"/>
        <w:spacing w:after="0" w:line="312" w:lineRule="auto"/>
        <w:tabs>
          <w:tab w:leader="none" w:pos="1168"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Redemption shall be irrevocable.</w:t>
      </w:r>
    </w:p>
    <w:p>
      <w:pPr>
        <w:spacing w:after="0" w:line="225" w:lineRule="exact"/>
        <w:rPr>
          <w:sz w:val="20"/>
          <w:szCs w:val="20"/>
          <w:color w:val="auto"/>
        </w:rPr>
      </w:pPr>
    </w:p>
    <w:p>
      <w:pPr>
        <w:ind w:firstLine="436"/>
        <w:spacing w:after="0" w:line="254"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redeem fewer than all of the outstanding Notes, at least $100,000,000 aggregate principal amount of Notes must be outstanding and not subject to Optional Redemption as of, and after giving effect to the delivery of, the relevant Notice of Redemption (such requirement, the “</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 xml:space="preserve">”). If fewer than all of the outstanding Notes are to be redeemed and the Notes to be redeemed are Global Notes, the Notes to be redeemed shall be selected by the Depositary in accordance with the applicable procedures of the Depositary. If fewer than all of the outstanding Notes are to be redeemed and the Notes to be redeemed are not Global Notes, the Trustee shall select the Notes or portions thereof to be redeemed (in principal amounts of $1,000 or multiples thereof) by lot,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by another method the Trustee considers to be fair and appropriate.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i w:val="1"/>
          <w:iCs w:val="1"/>
          <w:color w:val="auto"/>
        </w:rPr>
        <w:t>Payment of Notes Called for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6"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Notice of Redemption has been given in respect of all or any part of the Notes in accordance with Section 16.02, the Notes so subject to redemption shall become due and payable on the Redemption Date at the place or places stated in the Notice of Redemption and at the applicable Redemption Price. On presentation and surrender of the Notes to be redeemed at the place or places stated in the Notice of Redemption, such Notes shall be paid and redeemed by the Company at the applicable Redemption Price. Upon surrender of a Note that is to be redeemed in part pursuant to Section 16.01, the Company shall execute and the Trustee shall authenticate and deliver to the Holder a new Note in an authorized denomination equal in principal amount to the unredeemed portion of the Note surrendered.</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06" w:name="page107"/>
    <w:bookmarkEnd w:id="106"/>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16.04. </w:t>
      </w:r>
      <w:r>
        <w:rPr>
          <w:rFonts w:ascii="Times New Roman" w:cs="Times New Roman" w:eastAsia="Times New Roman" w:hAnsi="Times New Roman"/>
          <w:sz w:val="18"/>
          <w:szCs w:val="18"/>
          <w:i w:val="1"/>
          <w:iCs w:val="1"/>
          <w:color w:val="auto"/>
        </w:rPr>
        <w:t>Restrictions on Redemption</w:t>
      </w:r>
      <w:r>
        <w:rPr>
          <w:rFonts w:ascii="Times New Roman" w:cs="Times New Roman" w:eastAsia="Times New Roman" w:hAnsi="Times New Roman"/>
          <w:sz w:val="18"/>
          <w:szCs w:val="18"/>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p>
      <w:pPr>
        <w:spacing w:after="0" w:line="20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Section 17.01</w:t>
      </w:r>
      <w:r>
        <w:rPr>
          <w:rFonts w:ascii="Times New Roman" w:cs="Times New Roman" w:eastAsia="Times New Roman" w:hAnsi="Times New Roman"/>
          <w:sz w:val="18"/>
          <w:szCs w:val="18"/>
          <w:i w:val="1"/>
          <w:iCs w:val="1"/>
          <w:color w:val="auto"/>
        </w:rPr>
        <w:t>. Provisions Binding on Company’s Successors.</w:t>
      </w:r>
      <w:r>
        <w:rPr>
          <w:rFonts w:ascii="Times New Roman" w:cs="Times New Roman" w:eastAsia="Times New Roman" w:hAnsi="Times New Roman"/>
          <w:sz w:val="18"/>
          <w:szCs w:val="18"/>
          <w:color w:val="auto"/>
        </w:rPr>
        <w:t xml:space="preserve"> All the covenants, stipulations, promises and agreements of the Company contained in this Indenture shall bind its successors and assigns whether so expressed or not.</w:t>
      </w:r>
    </w:p>
    <w:p>
      <w:pPr>
        <w:spacing w:after="0" w:line="158"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color w:val="auto"/>
        </w:rPr>
        <w:t>Section 17.02</w:t>
      </w:r>
      <w:r>
        <w:rPr>
          <w:rFonts w:ascii="Times New Roman" w:cs="Times New Roman" w:eastAsia="Times New Roman" w:hAnsi="Times New Roman"/>
          <w:sz w:val="18"/>
          <w:szCs w:val="18"/>
          <w:i w:val="1"/>
          <w:iCs w:val="1"/>
          <w:color w:val="auto"/>
        </w:rPr>
        <w:t>. Official Acts by Successor Entity.</w:t>
      </w:r>
      <w:r>
        <w:rPr>
          <w:rFonts w:ascii="Times New Roman" w:cs="Times New Roman" w:eastAsia="Times New Roman" w:hAnsi="Times New Roman"/>
          <w:sz w:val="18"/>
          <w:szCs w:val="18"/>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7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Section 17.03</w:t>
      </w:r>
      <w:r>
        <w:rPr>
          <w:rFonts w:ascii="Times New Roman" w:cs="Times New Roman" w:eastAsia="Times New Roman" w:hAnsi="Times New Roman"/>
          <w:sz w:val="18"/>
          <w:szCs w:val="18"/>
          <w:i w:val="1"/>
          <w:iCs w:val="1"/>
          <w:color w:val="auto"/>
        </w:rPr>
        <w:t>. Addresses for Notices, Etc.</w:t>
      </w:r>
      <w:r>
        <w:rPr>
          <w:rFonts w:ascii="Times New Roman" w:cs="Times New Roman" w:eastAsia="Times New Roman" w:hAnsi="Times New Roman"/>
          <w:sz w:val="18"/>
          <w:szCs w:val="18"/>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Tempus AI, Inc., 600 West Chicago Avenue, Suite 510, Chicago, Illinois 60654, Attention: Legal Department.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68" w:right="459" w:bottom="1440" w:gutter="0" w:footer="0" w:header="0"/>
        </w:sectPr>
      </w:pPr>
    </w:p>
    <w:bookmarkStart w:id="107" w:name="page108"/>
    <w:bookmarkEnd w:id="107"/>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any Note, where this Indenture or any Note provides for notice of any event (including any Notice of Redemption or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76"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38" w:lineRule="exact"/>
        <w:rPr>
          <w:sz w:val="20"/>
          <w:szCs w:val="20"/>
          <w:color w:val="auto"/>
        </w:rPr>
      </w:pPr>
    </w:p>
    <w:p>
      <w:pPr>
        <w:ind w:right="300" w:firstLine="440"/>
        <w:spacing w:after="0" w:line="267" w:lineRule="auto"/>
        <w:rPr>
          <w:sz w:val="20"/>
          <w:szCs w:val="20"/>
          <w:color w:val="auto"/>
        </w:rPr>
      </w:pPr>
      <w:r>
        <w:rPr>
          <w:rFonts w:ascii="Times New Roman" w:cs="Times New Roman" w:eastAsia="Times New Roman" w:hAnsi="Times New Roman"/>
          <w:sz w:val="18"/>
          <w:szCs w:val="18"/>
          <w:color w:val="auto"/>
        </w:rPr>
        <w:t>Section 17.04</w:t>
      </w:r>
      <w:r>
        <w:rPr>
          <w:rFonts w:ascii="Times New Roman" w:cs="Times New Roman" w:eastAsia="Times New Roman" w:hAnsi="Times New Roman"/>
          <w:sz w:val="18"/>
          <w:szCs w:val="18"/>
          <w:i w:val="1"/>
          <w:iCs w:val="1"/>
          <w:color w:val="auto"/>
        </w:rPr>
        <w:t>. Governing Law; Jurisdiction.</w:t>
      </w:r>
      <w:r>
        <w:rPr>
          <w:rFonts w:ascii="Times New Roman" w:cs="Times New Roman" w:eastAsia="Times New Roman" w:hAnsi="Times New Roman"/>
          <w:sz w:val="18"/>
          <w:szCs w:val="18"/>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generally and unconditionally with respect to any action, suit or proceeding for itself in respect of its properties, assets and revenues.</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1"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Section 17.05</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r>
        <w:rPr>
          <w:rFonts w:ascii="Times New Roman" w:cs="Times New Roman" w:eastAsia="Times New Roman" w:hAnsi="Times New Roman"/>
          <w:sz w:val="18"/>
          <w:szCs w:val="18"/>
          <w:color w:val="auto"/>
        </w:rPr>
        <w:t xml:space="preserve">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8" w:name="page109"/>
    <w:bookmarkEnd w:id="108"/>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9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17.06</w:t>
      </w:r>
      <w:r>
        <w:rPr>
          <w:rFonts w:ascii="Times New Roman" w:cs="Times New Roman" w:eastAsia="Times New Roman" w:hAnsi="Times New Roman"/>
          <w:sz w:val="18"/>
          <w:szCs w:val="18"/>
          <w:i w:val="1"/>
          <w:iCs w:val="1"/>
          <w:color w:val="auto"/>
        </w:rPr>
        <w:t>. Legal Holidays.</w:t>
      </w:r>
      <w:r>
        <w:rPr>
          <w:rFonts w:ascii="Times New Roman" w:cs="Times New Roman" w:eastAsia="Times New Roman" w:hAnsi="Times New Roman"/>
          <w:sz w:val="18"/>
          <w:szCs w:val="18"/>
          <w:color w:val="auto"/>
        </w:rPr>
        <w:t xml:space="preserve"> In any case where any Interest Payment Date, any Fundamental Change Repurchase Date, any Redemption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that is not a day on which financial institutions located in the state in which the Corporate Trust Office is located are authorized or required by law or executive order to close or be closed with the same force and effect as if taken on such date, and no interest shall accrue in respect of the delay.</w:t>
      </w:r>
    </w:p>
    <w:p>
      <w:pPr>
        <w:spacing w:after="0" w:line="182"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t>Section 17.07</w:t>
      </w:r>
      <w:r>
        <w:rPr>
          <w:rFonts w:ascii="Times New Roman" w:cs="Times New Roman" w:eastAsia="Times New Roman" w:hAnsi="Times New Roman"/>
          <w:sz w:val="18"/>
          <w:szCs w:val="18"/>
          <w:i w:val="1"/>
          <w:iCs w:val="1"/>
          <w:color w:val="auto"/>
        </w:rPr>
        <w:t>. No Security Interest Created.</w:t>
      </w:r>
      <w:r>
        <w:rPr>
          <w:rFonts w:ascii="Times New Roman" w:cs="Times New Roman" w:eastAsia="Times New Roman" w:hAnsi="Times New Roman"/>
          <w:sz w:val="18"/>
          <w:szCs w:val="18"/>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58"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Section 17.08</w:t>
      </w:r>
      <w:r>
        <w:rPr>
          <w:rFonts w:ascii="Times New Roman" w:cs="Times New Roman" w:eastAsia="Times New Roman" w:hAnsi="Times New Roman"/>
          <w:sz w:val="18"/>
          <w:szCs w:val="18"/>
          <w:i w:val="1"/>
          <w:iCs w:val="1"/>
          <w:color w:val="auto"/>
        </w:rPr>
        <w:t>. Benefits of Indenture.</w:t>
      </w:r>
      <w:r>
        <w:rPr>
          <w:rFonts w:ascii="Times New Roman" w:cs="Times New Roman" w:eastAsia="Times New Roman" w:hAnsi="Times New Roman"/>
          <w:sz w:val="18"/>
          <w:szCs w:val="18"/>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09" w:name="page110"/>
    <w:bookmarkEnd w:id="109"/>
    <w:p>
      <w:pPr>
        <w:ind w:right="24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17.09</w:t>
      </w:r>
      <w:r>
        <w:rPr>
          <w:rFonts w:ascii="Times New Roman" w:cs="Times New Roman" w:eastAsia="Times New Roman" w:hAnsi="Times New Roman"/>
          <w:sz w:val="18"/>
          <w:szCs w:val="18"/>
          <w:i w:val="1"/>
          <w:iCs w:val="1"/>
          <w:color w:val="auto"/>
        </w:rPr>
        <w:t>. Table of Contents, Headings, Etc.</w:t>
      </w:r>
      <w:r>
        <w:rPr>
          <w:rFonts w:ascii="Times New Roman" w:cs="Times New Roman" w:eastAsia="Times New Roman" w:hAnsi="Times New Roman"/>
          <w:sz w:val="18"/>
          <w:szCs w:val="18"/>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17.10</w:t>
      </w:r>
      <w:r>
        <w:rPr>
          <w:rFonts w:ascii="Times New Roman" w:cs="Times New Roman" w:eastAsia="Times New Roman" w:hAnsi="Times New Roman"/>
          <w:sz w:val="18"/>
          <w:szCs w:val="18"/>
          <w:i w:val="1"/>
          <w:iCs w:val="1"/>
          <w:color w:val="auto"/>
        </w:rPr>
        <w:t>. Authenticating Agent.</w:t>
      </w:r>
      <w:r>
        <w:rPr>
          <w:rFonts w:ascii="Times New Roman" w:cs="Times New Roman" w:eastAsia="Times New Roman" w:hAnsi="Times New Roman"/>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68"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5"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Section 17.11</w:t>
      </w:r>
      <w:r>
        <w:rPr>
          <w:rFonts w:ascii="Times New Roman" w:cs="Times New Roman" w:eastAsia="Times New Roman" w:hAnsi="Times New Roman"/>
          <w:sz w:val="18"/>
          <w:szCs w:val="18"/>
          <w:i w:val="1"/>
          <w:iCs w:val="1"/>
          <w:color w:val="auto"/>
        </w:rPr>
        <w:t>. Execution in Counterparts.</w:t>
      </w:r>
      <w:r>
        <w:rPr>
          <w:rFonts w:ascii="Times New Roman" w:cs="Times New Roman" w:eastAsia="Times New Roman" w:hAnsi="Times New Roman"/>
          <w:sz w:val="18"/>
          <w:szCs w:val="18"/>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spacing w:after="0" w:line="182" w:lineRule="exact"/>
        <w:rPr>
          <w:sz w:val="20"/>
          <w:szCs w:val="20"/>
          <w:color w:val="auto"/>
        </w:rPr>
      </w:pPr>
    </w:p>
    <w:p>
      <w:pPr>
        <w:ind w:right="480" w:firstLine="440"/>
        <w:spacing w:after="0" w:line="284" w:lineRule="auto"/>
        <w:rPr>
          <w:sz w:val="20"/>
          <w:szCs w:val="20"/>
          <w:color w:val="auto"/>
        </w:rPr>
      </w:pPr>
      <w:r>
        <w:rPr>
          <w:rFonts w:ascii="Times New Roman" w:cs="Times New Roman" w:eastAsia="Times New Roman" w:hAnsi="Times New Roman"/>
          <w:sz w:val="18"/>
          <w:szCs w:val="18"/>
          <w:color w:val="auto"/>
        </w:rPr>
        <w:t>Section 17.12</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58"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Section 17.13</w:t>
      </w:r>
      <w:r>
        <w:rPr>
          <w:rFonts w:ascii="Times New Roman" w:cs="Times New Roman" w:eastAsia="Times New Roman" w:hAnsi="Times New Roman"/>
          <w:sz w:val="18"/>
          <w:szCs w:val="18"/>
          <w:i w:val="1"/>
          <w:iCs w:val="1"/>
          <w:color w:val="auto"/>
        </w:rPr>
        <w:t>. Waiver of Jury Trial.</w:t>
      </w:r>
      <w:r>
        <w:rPr>
          <w:rFonts w:ascii="Times New Roman" w:cs="Times New Roman" w:eastAsia="Times New Roman" w:hAnsi="Times New Roman"/>
          <w:sz w:val="18"/>
          <w:szCs w:val="18"/>
          <w:color w:val="auto"/>
        </w:rPr>
        <w:t xml:space="preserve"> EACH OF THE COMPANY, THE HOLDERS OF THE NOTES, BY THEIR ACCEPTANCE THEREOF, AND THE TRUSTEE IRREVOCABLY WAIVES, TO THE FULLEST EXTENT PERMITTED BY APPLICABLE LAW, ANY AND ALL RIGHT TO TRIAL BY JURY IN ANY LEGAL PROCEEDING ARISING OUT OF OR RELATING TO THIS INDENTURE, THE NOTES OR THE TRANSACTIONS CONTEMPLATED HEREBY.</w:t>
      </w:r>
    </w:p>
    <w:p>
      <w:pPr>
        <w:spacing w:after="0" w:line="18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17.14</w:t>
      </w:r>
      <w:r>
        <w:rPr>
          <w:rFonts w:ascii="Times New Roman" w:cs="Times New Roman" w:eastAsia="Times New Roman" w:hAnsi="Times New Roman"/>
          <w:sz w:val="18"/>
          <w:szCs w:val="18"/>
          <w:i w:val="1"/>
          <w:iCs w:val="1"/>
          <w:color w:val="auto"/>
        </w:rPr>
        <w:t>. Force Majeure.</w:t>
      </w:r>
      <w:r>
        <w:rPr>
          <w:rFonts w:ascii="Times New Roman" w:cs="Times New Roman" w:eastAsia="Times New Roman" w:hAnsi="Times New Roman"/>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quarantine restrictions, recognized public emergencies,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8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Section 17.15</w:t>
      </w:r>
      <w:r>
        <w:rPr>
          <w:rFonts w:ascii="Times New Roman" w:cs="Times New Roman" w:eastAsia="Times New Roman" w:hAnsi="Times New Roman"/>
          <w:sz w:val="18"/>
          <w:szCs w:val="18"/>
          <w:i w:val="1"/>
          <w:iCs w:val="1"/>
          <w:color w:val="auto"/>
        </w:rPr>
        <w:t>. Calculations</w:t>
      </w:r>
      <w:r>
        <w:rPr>
          <w:rFonts w:ascii="Times New Roman" w:cs="Times New Roman" w:eastAsia="Times New Roman" w:hAnsi="Times New Roman"/>
          <w:sz w:val="18"/>
          <w:szCs w:val="18"/>
          <w:color w:val="auto"/>
        </w:rPr>
        <w:t>. Except as otherwise provided herein, the Company shall be responsible for making all calculations called for under this Indenture and the Notes. These calculations include, but are not limited to, determinations of the Last Reported Sale Prices of the Class A Common Stock, the trading price of the Notes (for purposes of determining whether the Notes are convertible as described herein), the Daily VWAPs, the Daily Conversion Values, the Daily Settlement Amounts, accrued interest payable on the Notes, Additional Interest, if 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11" w:name="page112"/>
    <w:bookmarkEnd w:id="111"/>
    <w:p>
      <w:pPr>
        <w:ind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payable on the Notes, the Redemption Price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(if other than the Trustee) and the Conversion Agent (if other than the Trustee), and each of the Trustee, the Paying Agent and the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 The Trustee, Paying Agent and Conversion Agent have no responsibility for the calculations under this Indenture or the Notes or to verify the Company’s calculations.</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3" w:lineRule="exact"/>
        <w:rPr>
          <w:sz w:val="20"/>
          <w:szCs w:val="20"/>
          <w:color w:val="auto"/>
        </w:rPr>
      </w:pPr>
    </w:p>
    <w:p>
      <w:pPr>
        <w:ind w:right="1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17.17. </w:t>
      </w:r>
      <w:r>
        <w:rPr>
          <w:rFonts w:ascii="Times New Roman" w:cs="Times New Roman" w:eastAsia="Times New Roman" w:hAnsi="Times New Roman"/>
          <w:sz w:val="17"/>
          <w:szCs w:val="17"/>
          <w:i w:val="1"/>
          <w:iCs w:val="1"/>
          <w:color w:val="auto"/>
        </w:rPr>
        <w:t>Electronic Signatures</w:t>
      </w:r>
      <w:r>
        <w:rPr>
          <w:rFonts w:ascii="Times New Roman" w:cs="Times New Roman" w:eastAsia="Times New Roman" w:hAnsi="Times New Roman"/>
          <w:sz w:val="17"/>
          <w:szCs w:val="17"/>
          <w:color w:val="auto"/>
        </w:rPr>
        <w:t>. All notices, approvals, consents, requests and any communications hereunder must be in writing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TEMPUS AI,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 BANK TRUST COMPANY,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NATIONAL ASSOCIATION, as Trustee</w:t>
      </w:r>
    </w:p>
    <w:p>
      <w:pPr>
        <w:spacing w:after="0" w:line="2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Bradley E. Scarbrough</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[INCLUDE FOLLOWING LEGEND IF A RESTRICTED SECURITY]</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CLASS A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480" w:firstLine="419"/>
        <w:spacing w:after="0" w:line="266" w:lineRule="auto"/>
        <w:tabs>
          <w:tab w:leader="none" w:pos="111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67" w:lineRule="exact"/>
        <w:rPr>
          <w:rFonts w:ascii="Times New Roman" w:cs="Times New Roman" w:eastAsia="Times New Roman" w:hAnsi="Times New Roman"/>
          <w:sz w:val="18"/>
          <w:szCs w:val="18"/>
          <w:color w:val="auto"/>
        </w:rPr>
      </w:pPr>
    </w:p>
    <w:p>
      <w:pPr>
        <w:ind w:left="440" w:right="60" w:firstLine="419"/>
        <w:spacing w:after="0" w:line="276" w:lineRule="auto"/>
        <w:tabs>
          <w:tab w:leader="none" w:pos="1118"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TEMPUS AI, INC. (THE “COMPANY”) THAT IT WILL NOT OFFER, SELL, PLEDGE OR OTHERWISE TRANSFER THIS SECURITY OR ANY BENEFICIAL INTEREST HEREIN PRIOR TO THE DATE THAT IS THE LATER OF</w:t>
      </w:r>
    </w:p>
    <w:p>
      <w:pPr>
        <w:ind w:left="440" w:right="260" w:hanging="4"/>
        <w:spacing w:after="0" w:line="255" w:lineRule="auto"/>
        <w:tabs>
          <w:tab w:leader="none" w:pos="7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LAST ORIGINAL ISSUE DATE HEREOF OR SUCH SHORTER PERIOD OF TIME AS PERMITTED BY RULE 144 UNDER THE SECURITIES ACT OR ANY SUCCESSOR PROVISION THERETO AND (Y) SUCH LATER DATE, IF ANY, AS MAY BE REQUIRED BY APPLICABLE LAW, EXCEPT:</w:t>
      </w:r>
    </w:p>
    <w:p>
      <w:pPr>
        <w:spacing w:after="0" w:line="7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114" w:name="page115"/>
    <w:bookmarkEnd w:id="114"/>
    <w:p>
      <w:pPr>
        <w:ind w:left="980" w:firstLine="408"/>
        <w:spacing w:after="0" w:line="282" w:lineRule="auto"/>
        <w:tabs>
          <w:tab w:leader="none" w:pos="16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 PERSON IT REASONABLY BELIEVES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7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(IF AVAILABLE) OR ANY OTHER AVAILABLE EXEMPTION FROM THE REGISTRATION REQUIREMENTS OF THE SECURITIES ACT.</w:t>
      </w:r>
    </w:p>
    <w:p>
      <w:pPr>
        <w:spacing w:after="0" w:line="176" w:lineRule="exact"/>
        <w:rPr>
          <w:sz w:val="20"/>
          <w:szCs w:val="20"/>
          <w:color w:val="auto"/>
        </w:rPr>
      </w:pPr>
    </w:p>
    <w:p>
      <w:pPr>
        <w:jc w:val="both"/>
        <w:ind w:right="140" w:firstLine="440"/>
        <w:spacing w:after="0" w:line="277" w:lineRule="auto"/>
        <w:rPr>
          <w:sz w:val="20"/>
          <w:szCs w:val="20"/>
          <w:color w:val="auto"/>
        </w:rPr>
      </w:pPr>
      <w:r>
        <w:rPr>
          <w:rFonts w:ascii="Times New Roman" w:cs="Times New Roman" w:eastAsia="Times New Roman" w:hAnsi="Times New Roman"/>
          <w:sz w:val="17"/>
          <w:szCs w:val="17"/>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40"/>
          </w:cols>
          <w:pgMar w:left="440" w:top="270" w:right="519" w:bottom="1440" w:gutter="0" w:footer="0" w:header="0"/>
        </w:sectPr>
      </w:pPr>
    </w:p>
    <w:bookmarkStart w:id="115" w:name="page116"/>
    <w:bookmarkEnd w:id="115"/>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Tempus AI, Inc.</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7"/>
          <w:szCs w:val="17"/>
          <w:color w:val="auto"/>
        </w:rPr>
        <w:t>0.75% Convertible Senior Note due 2030</w:t>
      </w:r>
    </w:p>
    <w:p>
      <w:pPr>
        <w:sectPr>
          <w:pgSz w:w="11900" w:h="16838" w:orient="portrait"/>
          <w:cols w:equalWidth="0" w:num="1">
            <w:col w:w="10984"/>
          </w:cols>
          <w:pgMar w:left="436" w:top="270" w:right="479" w:bottom="1440" w:gutter="0" w:footer="0" w:header="0"/>
        </w:sectPr>
      </w:pP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[Initially]</w:t>
      </w:r>
      <w:r>
        <w:rPr>
          <w:rFonts w:ascii="Times New Roman" w:cs="Times New Roman" w:eastAsia="Times New Roman" w:hAnsi="Times New Roman"/>
          <w:sz w:val="12"/>
          <w:szCs w:val="12"/>
          <w:color w:val="auto"/>
        </w:rPr>
        <w:t>1</w:t>
      </w:r>
      <w:r>
        <w:rPr>
          <w:rFonts w:ascii="Times New Roman" w:cs="Times New Roman" w:eastAsia="Times New Roman" w:hAnsi="Times New Roman"/>
          <w:sz w:val="17"/>
          <w:szCs w:val="17"/>
          <w:color w:val="auto"/>
        </w:rPr>
        <w:t xml:space="preserve"> $[_____________]</w:t>
      </w:r>
    </w:p>
    <w:p>
      <w:pPr>
        <w:spacing w:after="0" w:line="200" w:lineRule="exact"/>
        <w:rPr>
          <w:sz w:val="20"/>
          <w:szCs w:val="20"/>
          <w:color w:val="auto"/>
        </w:rPr>
      </w:pPr>
    </w:p>
    <w:p>
      <w:pPr>
        <w:sectPr>
          <w:pgSz w:w="11900" w:h="16838" w:orient="portrait"/>
          <w:cols w:equalWidth="0" w:num="2">
            <w:col w:w="5024" w:space="720"/>
            <w:col w:w="5240"/>
          </w:cols>
          <w:pgMar w:left="436" w:top="270" w:right="47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CUSIP No. [_____]</w:t>
      </w:r>
      <w:r>
        <w:rPr>
          <w:rFonts w:ascii="Times New Roman" w:cs="Times New Roman" w:eastAsia="Times New Roman" w:hAnsi="Times New Roman"/>
          <w:sz w:val="12"/>
          <w:szCs w:val="12"/>
          <w:color w:val="auto"/>
        </w:rPr>
        <w:t>2</w:t>
      </w:r>
    </w:p>
    <w:p>
      <w:pPr>
        <w:sectPr>
          <w:pgSz w:w="11900" w:h="16838" w:orient="portrait"/>
          <w:cols w:equalWidth="0" w:num="1">
            <w:col w:w="10984"/>
          </w:cols>
          <w:pgMar w:left="436" w:top="270" w:right="479" w:bottom="1440" w:gutter="0" w:footer="0" w:header="0"/>
          <w:type w:val="continuous"/>
        </w:sectPr>
      </w:pPr>
    </w:p>
    <w:p>
      <w:pPr>
        <w:spacing w:after="0" w:line="233" w:lineRule="exact"/>
        <w:rPr>
          <w:sz w:val="20"/>
          <w:szCs w:val="20"/>
          <w:color w:val="auto"/>
        </w:rPr>
      </w:pPr>
    </w:p>
    <w:p>
      <w:pPr>
        <w:ind w:left="4" w:right="40" w:firstLine="440"/>
        <w:spacing w:after="0" w:line="220" w:lineRule="auto"/>
        <w:rPr>
          <w:sz w:val="20"/>
          <w:szCs w:val="20"/>
          <w:color w:val="auto"/>
        </w:rPr>
      </w:pPr>
      <w:r>
        <w:rPr>
          <w:rFonts w:ascii="Times New Roman" w:cs="Times New Roman" w:eastAsia="Times New Roman" w:hAnsi="Times New Roman"/>
          <w:sz w:val="17"/>
          <w:szCs w:val="17"/>
          <w:color w:val="auto"/>
        </w:rPr>
        <w:t>Tempus AI, Inc., a corporation duly organized and validly existing under the laws of the State of Delaware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[_______]</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or registered assigns, the principal sum [as set forth in the “Schedule of Exchanges of Notes” attached hereto]</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 xml:space="preserve"> [of $[_______]]</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 which amount, taken together with the principal amounts of all other outstanding Notes, shall not, unless permitted by the Indenture, exceed</w:t>
      </w:r>
    </w:p>
    <w:p>
      <w:pPr>
        <w:spacing w:after="0" w:line="1" w:lineRule="exact"/>
        <w:rPr>
          <w:sz w:val="20"/>
          <w:szCs w:val="20"/>
          <w:color w:val="auto"/>
        </w:rPr>
      </w:pPr>
    </w:p>
    <w:p>
      <w:pPr>
        <w:ind w:left="4" w:right="100"/>
        <w:spacing w:after="0" w:line="260" w:lineRule="auto"/>
        <w:rPr>
          <w:sz w:val="20"/>
          <w:szCs w:val="20"/>
          <w:color w:val="auto"/>
        </w:rPr>
      </w:pPr>
      <w:r>
        <w:rPr>
          <w:rFonts w:ascii="Times New Roman" w:cs="Times New Roman" w:eastAsia="Times New Roman" w:hAnsi="Times New Roman"/>
          <w:sz w:val="18"/>
          <w:szCs w:val="18"/>
          <w:color w:val="auto"/>
        </w:rPr>
        <w:t>$750,000,000 in aggregate at any time, in accordance with the rules and applicable procedures of the Depositary, on July 15, 2030, and interest thereon as set forth below.</w:t>
      </w:r>
    </w:p>
    <w:p>
      <w:pPr>
        <w:spacing w:after="0" w:line="18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This Note shall bear interest at the rate of 0.75% per year from July 3, 2025, or from the most recent date to which interest has been paid or provided for to, but excluding, the next scheduled Interest Payment Date until July 15, 2030. Interest is payable semi-annually in arrears on each January 15 and July 15, commencing on January 15, 2026, to Holders of record at the close of business on the preceding January 1 and July 1 (whether or not such day is a Business Day), respectively. Additional Interest will be payable as set forth in Section 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or Section 6.03, and any express mention of the payment of Additional Interest in any provision therein shall not be construed as excluding Additional Interest in those provisions thereof where such express mention is not made.</w:t>
      </w:r>
    </w:p>
    <w:p>
      <w:pPr>
        <w:spacing w:after="0" w:line="19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715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96" w:lineRule="exact"/>
        <w:rPr>
          <w:sz w:val="20"/>
          <w:szCs w:val="20"/>
          <w:color w:val="auto"/>
        </w:rPr>
      </w:pPr>
    </w:p>
    <w:p>
      <w:pPr>
        <w:ind w:left="424" w:hanging="424"/>
        <w:spacing w:after="0"/>
        <w:tabs>
          <w:tab w:leader="none" w:pos="424" w:val="left"/>
        </w:tabs>
        <w:numPr>
          <w:ilvl w:val="0"/>
          <w:numId w:val="1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 global note.</w:t>
      </w:r>
    </w:p>
    <w:p>
      <w:pPr>
        <w:ind w:left="424" w:hanging="424"/>
        <w:spacing w:after="0" w:line="180" w:lineRule="auto"/>
        <w:tabs>
          <w:tab w:leader="none" w:pos="424" w:val="left"/>
        </w:tabs>
        <w:numPr>
          <w:ilvl w:val="0"/>
          <w:numId w:val="1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This Note will be deemed to be identified by CUSIP No. [_____] from and after such time when (i) the Company delivers, pursuant to</w:t>
      </w:r>
    </w:p>
    <w:p>
      <w:pPr>
        <w:spacing w:after="0" w:line="2" w:lineRule="exact"/>
        <w:rPr>
          <w:rFonts w:ascii="Times New Roman" w:cs="Times New Roman" w:eastAsia="Times New Roman" w:hAnsi="Times New Roman"/>
          <w:sz w:val="25"/>
          <w:szCs w:val="25"/>
          <w:color w:val="auto"/>
          <w:vertAlign w:val="superscript"/>
        </w:rPr>
      </w:pPr>
    </w:p>
    <w:p>
      <w:pPr>
        <w:ind w:left="424"/>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Section 2.05(c) of the within-mentioned Indenture, written notice to the Trustee of the occurrence of the Resale Restriction Termination Date and</w:t>
      </w:r>
    </w:p>
    <w:p>
      <w:pPr>
        <w:spacing w:after="0" w:line="7" w:lineRule="exact"/>
        <w:rPr>
          <w:sz w:val="20"/>
          <w:szCs w:val="20"/>
          <w:color w:val="auto"/>
        </w:rPr>
      </w:pPr>
    </w:p>
    <w:p>
      <w:pPr>
        <w:ind w:left="424" w:right="140"/>
        <w:spacing w:after="0" w:line="250" w:lineRule="auto"/>
        <w:rPr>
          <w:sz w:val="20"/>
          <w:szCs w:val="20"/>
          <w:color w:val="auto"/>
        </w:rPr>
      </w:pPr>
      <w:r>
        <w:rPr>
          <w:rFonts w:ascii="Times New Roman" w:cs="Times New Roman" w:eastAsia="Times New Roman" w:hAnsi="Times New Roman"/>
          <w:sz w:val="18"/>
          <w:szCs w:val="18"/>
          <w:color w:val="auto"/>
        </w:rPr>
        <w:t>the removal of the restrictive legend affixed to this Note and (ii) this Note is identified by such CUSIP number in accordance with the applicable procedures of the Depositary.</w:t>
      </w:r>
    </w:p>
    <w:p>
      <w:pPr>
        <w:ind w:left="424" w:hanging="424"/>
        <w:spacing w:after="0" w:line="180" w:lineRule="auto"/>
        <w:tabs>
          <w:tab w:leader="none" w:pos="424" w:val="left"/>
        </w:tabs>
        <w:numPr>
          <w:ilvl w:val="0"/>
          <w:numId w:val="1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global note.</w:t>
      </w:r>
    </w:p>
    <w:p>
      <w:pPr>
        <w:ind w:left="424" w:hanging="424"/>
        <w:spacing w:after="0" w:line="181" w:lineRule="auto"/>
        <w:tabs>
          <w:tab w:leader="none" w:pos="424" w:val="left"/>
        </w:tabs>
        <w:numPr>
          <w:ilvl w:val="0"/>
          <w:numId w:val="1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physical note.</w:t>
      </w:r>
    </w:p>
    <w:p>
      <w:pPr>
        <w:ind w:left="424" w:hanging="424"/>
        <w:spacing w:after="0" w:line="180" w:lineRule="auto"/>
        <w:tabs>
          <w:tab w:leader="none" w:pos="424" w:val="left"/>
        </w:tabs>
        <w:numPr>
          <w:ilvl w:val="0"/>
          <w:numId w:val="1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global note.</w:t>
      </w:r>
    </w:p>
    <w:p>
      <w:pPr>
        <w:ind w:left="424" w:hanging="424"/>
        <w:spacing w:after="0" w:line="180" w:lineRule="auto"/>
        <w:tabs>
          <w:tab w:leader="none" w:pos="424" w:val="left"/>
        </w:tabs>
        <w:numPr>
          <w:ilvl w:val="0"/>
          <w:numId w:val="1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physical note.</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84"/>
          </w:cols>
          <w:pgMar w:left="436" w:top="270" w:right="479" w:bottom="1440" w:gutter="0" w:footer="0" w:header="0"/>
          <w:type w:val="continuous"/>
        </w:sectPr>
      </w:pPr>
    </w:p>
    <w:bookmarkStart w:id="116" w:name="page117"/>
    <w:bookmarkEnd w:id="116"/>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as a place in the continental United States of America where Notes may be presented for payment or for registration of transfer and exchange.</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cash, shares of Class A Common Stock or a combination of cash and shares of Class A Common Stock, as applicable, on the terms and subject to the limitations set forth in the Indenture. Such further provisions shall for all purposes have the same effect as though fully set forth at this place.</w:t>
      </w:r>
    </w:p>
    <w:p>
      <w:pPr>
        <w:spacing w:after="0" w:line="176"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117" w:name="page118"/>
    <w:bookmarkEnd w:id="1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TEMPUS AI,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Trustee, certifies that this is 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described 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019"/>
          </w:cols>
          <w:pgMar w:left="440" w:top="270" w:right="1440" w:bottom="1440" w:gutter="0" w:footer="0" w:header="0"/>
        </w:sectPr>
      </w:pPr>
    </w:p>
    <w:bookmarkStart w:id="118" w:name="page119"/>
    <w:bookmarkEnd w:id="118"/>
    <w:p>
      <w:pPr>
        <w:ind w:left="4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NOTE]</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0.75% Convertible Senior Note due 2030</w:t>
      </w:r>
    </w:p>
    <w:p>
      <w:pPr>
        <w:spacing w:after="0" w:line="20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0.75%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limited to the aggregate principal amount of $750,000,000, all issued or to be issued under and pursuant to an Indenture dated as of July 3, 2025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Class A Common Stock, as the case may be, herein prescribed.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60"/>
          </w:cols>
          <w:pgMar w:left="440" w:top="270" w:right="499" w:bottom="1440" w:gutter="0" w:footer="0" w:header="0"/>
        </w:sectPr>
      </w:pPr>
    </w:p>
    <w:bookmarkStart w:id="119" w:name="page120"/>
    <w:bookmarkEnd w:id="119"/>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Notes shall be redeemable at the Company’s option on or after June 20, 2028 in accordance with the terms and subject to the conditions specified in the Indenture. No sinking fund is provided for the Notes.</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76" w:lineRule="exact"/>
        <w:rPr>
          <w:sz w:val="20"/>
          <w:szCs w:val="20"/>
          <w:color w:val="auto"/>
        </w:rPr>
      </w:pPr>
    </w:p>
    <w:p>
      <w:pPr>
        <w:jc w:val="both"/>
        <w:ind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Class A Common Stock or a combination of cash and shares of Class A Common Stock, as applicable, at the Conversion Rate specified in the Indenture, as adjusted from time to time as provided in the Indenture.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60"/>
          </w:cols>
          <w:pgMar w:left="440" w:top="270" w:right="499" w:bottom="1440" w:gutter="0" w:footer="0" w:header="0"/>
        </w:sectPr>
      </w:pPr>
    </w:p>
    <w:bookmarkStart w:id="120" w:name="page121"/>
    <w:bookmarkEnd w:id="120"/>
    <w:p>
      <w:pPr>
        <w:jc w:val="center"/>
        <w:ind w:right="-5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ABBREVIATIONS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15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480"/>
          </w:cols>
          <w:pgMar w:left="440" w:top="270" w:right="97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r>
        <w:rPr>
          <w:rFonts w:ascii="Times New Roman" w:cs="Times New Roman" w:eastAsia="Times New Roman" w:hAnsi="Times New Roman"/>
          <w:sz w:val="26"/>
          <w:szCs w:val="26"/>
          <w:b w:val="1"/>
          <w:bCs w:val="1"/>
          <w:color w:val="auto"/>
          <w:vertAlign w:val="superscript"/>
        </w:rPr>
        <w:t>7</w:t>
      </w:r>
    </w:p>
    <w:p>
      <w:pPr>
        <w:spacing w:after="0" w:line="353"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11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0.75% Convertible Senior Notes due 2030</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 DOLLARS ($[_________]). The following increases or decreases in this Global Note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have been made:</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3"/>
                <w:szCs w:val="13"/>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w:t>
            </w:r>
          </w:p>
        </w:tc>
        <w:tc>
          <w:tcPr>
            <w:tcW w:w="10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3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Date of exchange</w:t>
            </w: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3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or</w:t>
            </w:r>
          </w:p>
        </w:tc>
        <w:tc>
          <w:tcPr>
            <w:tcW w:w="0" w:type="dxa"/>
            <w:vAlign w:val="bottom"/>
          </w:tcPr>
          <w:p>
            <w:pPr>
              <w:spacing w:after="0"/>
              <w:rPr>
                <w:sz w:val="1"/>
                <w:szCs w:val="1"/>
                <w:color w:val="auto"/>
              </w:rPr>
            </w:pPr>
          </w:p>
        </w:tc>
      </w:tr>
      <w:tr>
        <w:trPr>
          <w:trHeight w:val="185"/>
        </w:trPr>
        <w:tc>
          <w:tcPr>
            <w:tcW w:w="26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36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209"/>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20" w:type="dxa"/>
            <w:vAlign w:val="bottom"/>
            <w:tcBorders>
              <w:bottom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24" w:hanging="424"/>
        <w:spacing w:after="0" w:line="187" w:lineRule="auto"/>
        <w:tabs>
          <w:tab w:leader="none" w:pos="424" w:val="left"/>
        </w:tabs>
        <w:numPr>
          <w:ilvl w:val="0"/>
          <w:numId w:val="1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 global note.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24"/>
          </w:cols>
          <w:pgMar w:left="436" w:top="266" w:right="4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U.S. Bank Trust Company,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 Angeles, CA 90071   Attn: B. Scarbrough (Tempus AI, Inc.)</w:t>
      </w:r>
    </w:p>
    <w:p>
      <w:pPr>
        <w:spacing w:after="0" w:line="207"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thereof) below designated, into cash, shares of Class A Common Stock or a combination of cash and shares of Class A Common Stock, as applicable, in accordance with the terms of the Indenture referred to in this Note, and directs that any cash payable and any shares of Class A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Class A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17145</wp:posOffset>
            </wp:positionV>
            <wp:extent cx="27260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2605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-7620</wp:posOffset>
            </wp:positionV>
            <wp:extent cx="9137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-127635</wp:posOffset>
            </wp:positionV>
            <wp:extent cx="27260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are to be issued, or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to be delivered, other than to and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Fill in for registration of shares if to be issued, and Notes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delivered, other than to and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converted (if less than all):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$______,000</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must correspond with the name as written upon the face of</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200" w:lineRule="exact"/>
        <w:rPr>
          <w:sz w:val="20"/>
          <w:szCs w:val="20"/>
          <w:color w:val="auto"/>
        </w:rPr>
      </w:pPr>
    </w:p>
    <w:p>
      <w:pPr>
        <w:spacing w:after="0" w:line="2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1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440" w:top="270" w:right="6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2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U.S. Bank Trust Company,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 Angeles, CA 90071   Attn: B. Scarbrough (Tempus AI, Inc.)</w:t>
      </w:r>
    </w:p>
    <w:p>
      <w:pPr>
        <w:spacing w:after="0" w:line="203"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Tempus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w:t>
      </w:r>
    </w:p>
    <w:p>
      <w:pPr>
        <w:spacing w:after="0" w:line="200" w:lineRule="exact"/>
        <w:rPr>
          <w:sz w:val="20"/>
          <w:szCs w:val="20"/>
          <w:color w:val="auto"/>
        </w:rPr>
      </w:pPr>
    </w:p>
    <w:p>
      <w:pPr>
        <w:spacing w:after="0" w:line="2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repaid (if less than all): $______,000</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must correspond with the name as written upon the face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any transfer of the within Note occurring prior to the Resale Restriction Termination Date, as defined in the Indenture governing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undersigned confirms that such Note is being transferred:</w:t>
      </w:r>
    </w:p>
    <w:p>
      <w:pPr>
        <w:sectPr>
          <w:pgSz w:w="11900" w:h="16838" w:orient="portrait"/>
          <w:cols w:equalWidth="0" w:num="1">
            <w:col w:w="11020"/>
          </w:cols>
          <w:pgMar w:left="440" w:top="266" w:right="439" w:bottom="1440" w:gutter="0" w:footer="0" w:header="0"/>
        </w:sectPr>
      </w:pPr>
    </w:p>
    <w:p>
      <w:pPr>
        <w:spacing w:after="0" w:line="58" w:lineRule="exact"/>
        <w:rPr>
          <w:sz w:val="20"/>
          <w:szCs w:val="20"/>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Tempus AI, Inc. or a subsidiary thereof; or</w:t>
      </w:r>
    </w:p>
    <w:p>
      <w:pPr>
        <w:spacing w:after="0" w:line="196" w:lineRule="exact"/>
        <w:rPr>
          <w:sz w:val="20"/>
          <w:szCs w:val="20"/>
          <w:color w:val="auto"/>
        </w:rPr>
      </w:pPr>
    </w:p>
    <w:p>
      <w:pPr>
        <w:sectPr>
          <w:pgSz w:w="11900" w:h="16838" w:orient="portrait"/>
          <w:cols w:equalWidth="0" w:num="2">
            <w:col w:w="240" w:space="140"/>
            <w:col w:w="10640"/>
          </w:cols>
          <w:pgMar w:left="440" w:top="266" w:right="439" w:bottom="1440" w:gutter="0" w:footer="0" w:header="0"/>
          <w:type w:val="continuous"/>
        </w:sectPr>
      </w:pPr>
    </w:p>
    <w:p>
      <w:pPr>
        <w:spacing w:after="0" w:line="115"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 registration statement that has become effective under the Securities Act of 1933, as amended; or</w:t>
      </w:r>
    </w:p>
    <w:p>
      <w:pPr>
        <w:spacing w:after="0" w:line="184" w:lineRule="exact"/>
        <w:rPr>
          <w:sz w:val="20"/>
          <w:szCs w:val="20"/>
          <w:color w:val="auto"/>
        </w:rPr>
      </w:pPr>
    </w:p>
    <w:p>
      <w:pPr>
        <w:sectPr>
          <w:pgSz w:w="11900" w:h="16838" w:orient="portrait"/>
          <w:cols w:equalWidth="0" w:num="2">
            <w:col w:w="240" w:space="140"/>
            <w:col w:w="10640"/>
          </w:cols>
          <w:pgMar w:left="440" w:top="266" w:right="439" w:bottom="1440" w:gutter="0" w:footer="0" w:header="0"/>
          <w:type w:val="continuous"/>
        </w:sectPr>
      </w:pPr>
    </w:p>
    <w:p>
      <w:pPr>
        <w:spacing w:after="0" w:line="246"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or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To a person reasonably believed to be a qualified institutional buyer in compliance with Rule 144A under the Securities Act of 1933, as amended;</w:t>
      </w:r>
    </w:p>
    <w:p>
      <w:pPr>
        <w:spacing w:after="0" w:line="412" w:lineRule="exact"/>
        <w:rPr>
          <w:sz w:val="20"/>
          <w:szCs w:val="20"/>
          <w:color w:val="auto"/>
        </w:rPr>
      </w:pPr>
    </w:p>
    <w:p>
      <w:pPr>
        <w:sectPr>
          <w:pgSz w:w="11900" w:h="16838" w:orient="portrait"/>
          <w:cols w:equalWidth="0" w:num="2">
            <w:col w:w="240" w:space="140"/>
            <w:col w:w="10640"/>
          </w:cols>
          <w:pgMar w:left="440" w:top="266" w:right="439" w:bottom="1440" w:gutter="0" w:footer="0" w:header="0"/>
          <w:type w:val="continuous"/>
        </w:sect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Pursuant to and in compliance with Rule 144 under the Securities Act of 1933, as amended (if available), or any other available exemption from</w:t>
      </w:r>
    </w:p>
    <w:p>
      <w:pPr>
        <w:sectPr>
          <w:pgSz w:w="11900" w:h="16838" w:orient="portrait"/>
          <w:cols w:equalWidth="0" w:num="1">
            <w:col w:w="11020"/>
          </w:cols>
          <w:pgMar w:left="440" w:top="266" w:right="4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registration requirements of the Securities Act of 1933, as amended.</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20"/>
          </w:cols>
          <w:pgMar w:left="440" w:top="266" w:right="4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 to and in the name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holder.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40" w:top="270" w:right="57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 name and address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600 West Chicago Avenue, Suite 510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108" w:lineRule="exact"/>
        <w:rPr>
          <w:sz w:val="20"/>
          <w:szCs w:val="20"/>
          <w:color w:val="auto"/>
        </w:rPr>
      </w:pPr>
    </w:p>
    <w:p>
      <w:pPr>
        <w:sectPr>
          <w:pgSz w:w="11900" w:h="16838" w:orient="portrait"/>
          <w:cols w:equalWidth="0" w:num="2">
            <w:col w:w="240" w:space="540"/>
            <w:col w:w="1024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ectPr>
          <w:pgSz w:w="11900" w:h="16838" w:orient="portrait"/>
          <w:cols w:equalWidth="0" w:num="2">
            <w:col w:w="480" w:space="300"/>
            <w:col w:w="1024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[Base][Additional] Capped Call Transaction</w:t>
      </w:r>
    </w:p>
    <w:p>
      <w:pPr>
        <w:spacing w:after="0" w:line="125" w:lineRule="exact"/>
        <w:rPr>
          <w:sz w:val="20"/>
          <w:szCs w:val="20"/>
          <w:color w:val="auto"/>
        </w:rPr>
      </w:pPr>
    </w:p>
    <w:p>
      <w:pPr>
        <w:sectPr>
          <w:pgSz w:w="11900" w:h="16838" w:orient="portrait"/>
          <w:cols w:equalWidth="0" w:num="2">
            <w:col w:w="260" w:space="520"/>
            <w:col w:w="1024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 2025</w:t>
      </w:r>
    </w:p>
    <w:p>
      <w:pPr>
        <w:spacing w:after="0" w:line="207" w:lineRule="exact"/>
        <w:rPr>
          <w:sz w:val="20"/>
          <w:szCs w:val="20"/>
          <w:color w:val="auto"/>
        </w:rPr>
      </w:pPr>
    </w:p>
    <w:p>
      <w:pPr>
        <w:sectPr>
          <w:pgSz w:w="11900" w:h="16838" w:orient="portrait"/>
          <w:cols w:equalWidth="0" w:num="2">
            <w:col w:w="420" w:space="360"/>
            <w:col w:w="10240"/>
          </w:cols>
          <w:pgMar w:left="440" w:top="117" w:right="4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1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The purpose of this communication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set forth the terms and conditions of the above-referenced transaction entered into on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between [</w:t>
      </w:r>
      <w:r>
        <w:rPr>
          <w:rFonts w:ascii="Times New Roman" w:cs="Times New Roman" w:eastAsia="Times New Roman" w:hAnsi="Times New Roman"/>
          <w:sz w:val="18"/>
          <w:szCs w:val="18"/>
          <w:i w:val="1"/>
          <w:iCs w:val="1"/>
          <w:color w:val="auto"/>
        </w:rPr>
        <w:t>Dealer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Tempus AI, Inc., a Delaware corporation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This communication constitutes a “Confirmation” as referred to in the ISDA Master Agreement specified below.</w:t>
      </w:r>
    </w:p>
    <w:p>
      <w:pPr>
        <w:spacing w:after="0" w:line="171" w:lineRule="exact"/>
        <w:rPr>
          <w:sz w:val="20"/>
          <w:szCs w:val="20"/>
          <w:color w:val="auto"/>
        </w:rPr>
      </w:pPr>
    </w:p>
    <w:p>
      <w:pPr>
        <w:ind w:right="60" w:firstLine="436"/>
        <w:spacing w:after="0" w:line="259" w:lineRule="auto"/>
        <w:tabs>
          <w:tab w:leader="none" w:pos="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is subject to, and incorporates, the definitions and provisions of the 2006 ISDA Definitions (the “</w:t>
      </w:r>
      <w:r>
        <w:rPr>
          <w:rFonts w:ascii="Times New Roman" w:cs="Times New Roman" w:eastAsia="Times New Roman" w:hAnsi="Times New Roman"/>
          <w:sz w:val="18"/>
          <w:szCs w:val="18"/>
          <w:b w:val="1"/>
          <w:bCs w:val="1"/>
          <w:color w:val="auto"/>
        </w:rPr>
        <w:t>2006 Definitions</w:t>
      </w:r>
      <w:r>
        <w:rPr>
          <w:rFonts w:ascii="Times New Roman" w:cs="Times New Roman" w:eastAsia="Times New Roman" w:hAnsi="Times New Roman"/>
          <w:sz w:val="18"/>
          <w:szCs w:val="18"/>
          <w:color w:val="auto"/>
        </w:rPr>
        <w:t>”) and the definitions and provisions of the ISDA 2002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and together with the 2006 Definitions, the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in each case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In the event of any inconsistency between the 2006 Definitions and the Equity Definitions, the Equity Definitions will govern, and in the event of any inconsistency between terms defined in the Equity Definitions and this Confirmation, this Confirmation shall govern.</w:t>
      </w:r>
    </w:p>
    <w:p>
      <w:pPr>
        <w:spacing w:after="0" w:line="183"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the form of the 2002 ISDA Master Agreement as if Dealer and Counterparty had executed an agreement in such form on the Trade Date (but without any Schedule except for (i) the election of the laws of the State of New York as the governing law (without reference to choice of law doctrine), [(ii) the election of an executed guarantee of [__________]</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dated as of the Trade Date in substantially the form attached hereto as Schedule 1 as a Credit Support Document, (iii) the election of Guarantor as Credit Support Provider in relation to Dealer], [(ii)][(iv)] the election that the “Cross Default” provisions of Section 5(a)(vi) of the Agreement shall apply to Dealer, with (a) a Threshold Amount” of 3% of the shareholders’ equity of [Dealer][Dealer’s ultimate parent] on the Trade Date, (b) “Specified Indebtedness” having the meaning set forth in Section 14 of the Agreement, except that it shall not include any obligation in respect of deposits received in the ordinary course of Dealer’s banking business, (c) the phrase “, or becoming capable at such time of being declared,” being deleted from clause (1) of such Section 5(a)(vi) of the Agreement and (d) the following sentence being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relevant party to make payment when due; and (iii) the payment is made within two Local Business Days of such party’s receipt of written notice of its failure to pay”, and [iii][v] that the “Default Under Specified Transactions” provision of Section 5(a)(v) of the Agreement shall not apply to the Counterparty).</w:t>
      </w:r>
    </w:p>
    <w:p>
      <w:pPr>
        <w:spacing w:after="0" w:line="19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w:t>
      </w:r>
    </w:p>
    <w:p>
      <w:pPr>
        <w:sectPr>
          <w:pgSz w:w="11900" w:h="16838" w:orient="portrait"/>
          <w:cols w:equalWidth="0" w:num="1">
            <w:col w:w="11020"/>
          </w:cols>
          <w:pgMar w:left="440" w:top="117" w:right="439" w:bottom="1440" w:gutter="0" w:footer="0" w:header="0"/>
          <w:type w:val="continuous"/>
        </w:sectPr>
      </w:pPr>
    </w:p>
    <w:bookmarkStart w:id="128" w:name="page129"/>
    <w:bookmarkEnd w:id="128"/>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3" w:lineRule="exact"/>
        <w:rPr>
          <w:sz w:val="20"/>
          <w:szCs w:val="20"/>
          <w:color w:val="auto"/>
        </w:rPr>
      </w:pPr>
    </w:p>
    <w:p>
      <w:pPr>
        <w:ind w:right="40" w:firstLine="436"/>
        <w:spacing w:after="0" w:line="282" w:lineRule="auto"/>
        <w:tabs>
          <w:tab w:leader="none" w:pos="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Share Option Transaction for purposes of the Equity Definitions. The terms of the particular Transaction to which this Confirmation relates are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General Terms:</w:t>
      </w:r>
    </w:p>
    <w:p>
      <w:pPr>
        <w:sectPr>
          <w:pgSz w:w="11900" w:h="16838" w:orient="portrait"/>
          <w:cols w:equalWidth="0" w:num="1">
            <w:col w:w="11000"/>
          </w:cols>
          <w:pgMar w:left="440" w:top="270" w:right="459" w:bottom="1440" w:gutter="0" w:footer="0" w:header="0"/>
        </w:sectPr>
      </w:pP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 2025</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 2025, or such other date as agreed by the parties in writing.</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Components:</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8"/>
          <w:szCs w:val="18"/>
          <w:color w:val="auto"/>
        </w:rPr>
        <w:t>The Transaction will be divided into individual Components, each with the terms set forth in this Confirmation, and, in particular, with the Number of Options and Expiration Date set forth in Annex A to this Confirmation. The exercise, valuation and settlement of the Transaction will be effected separately for each Component as if each Component were a separate Transaction under the Agreement.</w:t>
      </w:r>
    </w:p>
    <w:p>
      <w:pPr>
        <w:spacing w:after="0" w:line="72"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Option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“European”, as described under “Procedures for Exercise” below.</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Option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Call</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117"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Counterparty</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Class A common stock of Counterparty, par value USD 0.0001 per share (Ticker Symbol: “TEM”).</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Number of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each Component, as provided in Annex A to this Confirmation.</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Option Entitlement: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One Share per Option</w:t>
      </w:r>
    </w:p>
    <w:p>
      <w:pPr>
        <w:spacing w:after="0" w:line="128"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Strike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USD [_____]</w:t>
      </w:r>
    </w:p>
    <w:p>
      <w:pPr>
        <w:spacing w:after="0" w:line="115"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Cap Price:</w:t>
      </w:r>
    </w:p>
    <w:p>
      <w:pPr>
        <w:spacing w:after="0" w:line="20" w:lineRule="exact"/>
        <w:rPr>
          <w:sz w:val="20"/>
          <w:szCs w:val="20"/>
          <w:color w:val="auto"/>
        </w:rPr>
      </w:pPr>
      <w:r>
        <w:rPr>
          <w:sz w:val="20"/>
          <w:szCs w:val="20"/>
          <w:color w:val="auto"/>
        </w:rPr>
        <w:br w:type="column"/>
      </w: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USD [_____];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reduced to an amount less than the Strike Price in connection with any adjustment by the Calculation Agent under this Confirmation.</w:t>
      </w:r>
    </w:p>
    <w:p>
      <w:pPr>
        <w:spacing w:after="0" w:line="52"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br w:type="column"/>
      </w: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any date, a number of Shares equal to the product of (i) the aggregate Number of Options of all Components and (ii) the Option Entitlement.</w:t>
      </w:r>
    </w:p>
    <w:p>
      <w:pPr>
        <w:spacing w:after="0" w:line="94"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00"/>
          </w:cols>
          <w:pgMar w:left="440" w:top="270" w:right="459" w:bottom="1440" w:gutter="0" w:footer="0" w:header="0"/>
          <w:type w:val="continuous"/>
        </w:sectPr>
      </w:pPr>
    </w:p>
    <w:bookmarkStart w:id="129" w:name="page130"/>
    <w:bookmarkEnd w:id="129"/>
    <w:p>
      <w:pPr>
        <w:ind w:left="360"/>
        <w:spacing w:after="0"/>
        <w:rPr>
          <w:sz w:val="20"/>
          <w:szCs w:val="20"/>
          <w:color w:val="auto"/>
        </w:rPr>
      </w:pPr>
      <w:r>
        <w:rPr>
          <w:rFonts w:ascii="Times New Roman" w:cs="Times New Roman" w:eastAsia="Times New Roman" w:hAnsi="Times New Roman"/>
          <w:sz w:val="17"/>
          <w:szCs w:val="17"/>
          <w:color w:val="auto"/>
        </w:rPr>
        <w:t>Premium:</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Times New Roman" w:cs="Times New Roman" w:eastAsia="Times New Roman" w:hAnsi="Times New Roman"/>
          <w:sz w:val="17"/>
          <w:szCs w:val="17"/>
          <w:color w:val="auto"/>
        </w:rPr>
        <w:t>USD [_____] (Premium per Option approximately USD [_____]); Dealer and Counterparty hereby agree that notwithstanding anything to the contrary herein or in the Agreement, following the payment of the Premium, in the event that (a) an Early Termination Date (whether as a result of an Event of Default or a Termination Event) (other than an Event of Default arising under Section 5(a)(ii) or 5(a)(iv) of the Agreement that is within Counterparty’s control) occurs or is designated with respect to any Transaction and, as a result, Counterparty owes to Dealer the amount calculated under Section 6(d) and Section 6(e) or otherwise under the Agreement (calculated as if the Transaction terminated on such Early Termination Date were the sole Transaction under the Agreement) or (b) Counterparty owes to Dealer, pursuant to Sections 12.2, 12.3, 12.6, 12.7, 12.8 or 12.9 of the Equity Definitions or otherwise under the Equity Definitions, an amount calculated under Section 12.8 of the Equity Definitions, such amount shall be deemed to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-1546860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2480" w:space="720"/>
            <w:col w:w="7760"/>
          </w:cols>
          <w:pgMar w:left="440" w:top="378" w:right="499" w:bottom="1440" w:gutter="0" w:footer="0" w:header="0"/>
        </w:sectPr>
      </w:pPr>
    </w:p>
    <w:p>
      <w:pPr>
        <w:ind w:left="360"/>
        <w:spacing w:after="0"/>
        <w:rPr>
          <w:sz w:val="20"/>
          <w:szCs w:val="20"/>
          <w:color w:val="auto"/>
        </w:rPr>
      </w:pPr>
      <w:r>
        <w:rPr>
          <w:rFonts w:ascii="Times New Roman" w:cs="Times New Roman" w:eastAsia="Times New Roman" w:hAnsi="Times New Roman"/>
          <w:sz w:val="17"/>
          <w:szCs w:val="17"/>
          <w:color w:val="auto"/>
        </w:rPr>
        <w:t>Premium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Effective Date</w:t>
      </w:r>
    </w:p>
    <w:p>
      <w:pPr>
        <w:spacing w:after="0" w:line="129" w:lineRule="exact"/>
        <w:rPr>
          <w:sz w:val="20"/>
          <w:szCs w:val="20"/>
          <w:color w:val="auto"/>
        </w:rPr>
      </w:pPr>
    </w:p>
    <w:p>
      <w:pPr>
        <w:sectPr>
          <w:pgSz w:w="11900" w:h="16838" w:orient="portrait"/>
          <w:cols w:equalWidth="0" w:num="2">
            <w:col w:w="2480" w:space="720"/>
            <w:col w:w="7760"/>
          </w:cols>
          <w:pgMar w:left="440" w:top="378" w:right="49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126" w:lineRule="exact"/>
        <w:rPr>
          <w:sz w:val="20"/>
          <w:szCs w:val="20"/>
          <w:color w:val="auto"/>
        </w:rPr>
      </w:pPr>
    </w:p>
    <w:p>
      <w:pPr>
        <w:sectPr>
          <w:pgSz w:w="11900" w:h="16838" w:orient="portrait"/>
          <w:cols w:equalWidth="0" w:num="2">
            <w:col w:w="2480" w:space="720"/>
            <w:col w:w="7760"/>
          </w:cols>
          <w:pgMar w:left="440" w:top="378" w:right="499" w:bottom="144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Related Exchange:</w:t>
      </w:r>
    </w:p>
    <w:p>
      <w:pPr>
        <w:spacing w:after="0" w:line="20" w:lineRule="exact"/>
        <w:rPr>
          <w:sz w:val="20"/>
          <w:szCs w:val="20"/>
          <w:color w:val="auto"/>
        </w:rPr>
      </w:pPr>
      <w:r>
        <w:rPr>
          <w:sz w:val="20"/>
          <w:szCs w:val="20"/>
          <w:color w:val="auto"/>
        </w:rPr>
        <w:br w:type="column"/>
      </w:r>
    </w:p>
    <w:p>
      <w:pPr>
        <w:ind w:right="360"/>
        <w:spacing w:after="0" w:line="284" w:lineRule="auto"/>
        <w:rPr>
          <w:sz w:val="20"/>
          <w:szCs w:val="20"/>
          <w:color w:val="auto"/>
        </w:rPr>
      </w:pPr>
      <w:r>
        <w:rPr>
          <w:rFonts w:ascii="Times New Roman" w:cs="Times New Roman" w:eastAsia="Times New Roman" w:hAnsi="Times New Roman"/>
          <w:sz w:val="18"/>
          <w:szCs w:val="18"/>
          <w:color w:val="auto"/>
        </w:rPr>
        <w:t xml:space="preserve">All Exchanges;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1.26 of the Equity Definitions shall be amended to add the words “United States” before the word “exchange” in the tenth line of such Section.</w:t>
      </w:r>
    </w:p>
    <w:p>
      <w:pPr>
        <w:spacing w:after="0" w:line="52" w:lineRule="exact"/>
        <w:rPr>
          <w:sz w:val="20"/>
          <w:szCs w:val="20"/>
          <w:color w:val="auto"/>
        </w:rPr>
      </w:pPr>
    </w:p>
    <w:p>
      <w:pPr>
        <w:sectPr>
          <w:pgSz w:w="11900" w:h="16838" w:orient="portrait"/>
          <w:cols w:equalWidth="0" w:num="2">
            <w:col w:w="2480" w:space="720"/>
            <w:col w:w="7760"/>
          </w:cols>
          <w:pgMar w:left="440" w:top="378"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Procedures for Exercise:</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Expiration Time: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Valuation Time</w:t>
      </w:r>
    </w:p>
    <w:p>
      <w:pPr>
        <w:spacing w:after="0" w:line="169" w:lineRule="exact"/>
        <w:rPr>
          <w:sz w:val="20"/>
          <w:szCs w:val="20"/>
          <w:color w:val="auto"/>
        </w:rPr>
      </w:pPr>
    </w:p>
    <w:p>
      <w:pPr>
        <w:sectPr>
          <w:pgSz w:w="11900" w:h="16838" w:orient="portrait"/>
          <w:cols w:equalWidth="0" w:num="2">
            <w:col w:w="2480" w:space="720"/>
            <w:col w:w="7760"/>
          </w:cols>
          <w:pgMar w:left="440" w:top="378"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60"/>
          </w:cols>
          <w:pgMar w:left="440" w:top="378" w:right="49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 xml:space="preserve">For any Component, as provided in Annex A to this Confirmation (or, if such date is not a Scheduled Valid Day, the next following Scheduled Valid Day that is not already an Expiration Date for another Component);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that date is a Disrupted Day, the Expiration Date for such Component shall be the first succeeding Scheduled Valid Day that is not a Disrupted Day and is not or is not deemed to be an Expiration Date in respect of any other Component of the Transaction hereunder;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no event shall the Expiration Date be postponed to a date later than the Final Termination Date and, notwithstanding anything to the contrary in this Confirmation or the Equity Definitions, if the Expiration Date occurring on the Final Termination Date is a Disrupted Day, the Relevant Price for such Expiration Date shall be the prevailing market value per Share determined by the Calculation Agent in a good faith and commercially reasonable manner. Notwithstanding the foregoing and anything to the contrary in the Equity Definitions, if a Market Disruption Event occurs on any Expiration Date, the Calculation Agent may determine in a good faith and commercially reasonable manner that such Expiration Date is a Disrupted Day only in part, in which case the Calculation Agent shall make commercially reasonable adjustments to the Number of Options for the relevant Component for which such day shall be the Expiration Date, shall designate the Scheduled Valid Day determined in the manner described in the immediately preceding sentence as the Expiration Date for the remaining Number of Options for such Component and may determine the Relevant Price on such Expiration Date that is a Disrupted Day only in part based on transactions in the Shares on such Disrupted Day taking into account the nature and duration of such Market Disruption Event on such day. Section 6.6 of the Equity Definitions shall not apply to any Valuation Date occurring on an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-2910840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2120" w:space="720"/>
            <w:col w:w="7800"/>
          </w:cols>
          <w:pgMar w:left="800" w:top="37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Final Termination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6, 2030</w:t>
      </w:r>
    </w:p>
    <w:p>
      <w:pPr>
        <w:spacing w:after="0" w:line="129" w:lineRule="exact"/>
        <w:rPr>
          <w:sz w:val="20"/>
          <w:szCs w:val="20"/>
          <w:color w:val="auto"/>
        </w:rPr>
      </w:pPr>
    </w:p>
    <w:p>
      <w:pPr>
        <w:sectPr>
          <w:pgSz w:w="11900" w:h="16838" w:orient="portrait"/>
          <w:cols w:equalWidth="0" w:num="2">
            <w:col w:w="2120" w:space="720"/>
            <w:col w:w="7800"/>
          </w:cols>
          <w:pgMar w:left="80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Automatic Exercise:</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Times New Roman" w:cs="Times New Roman" w:eastAsia="Times New Roman" w:hAnsi="Times New Roman"/>
          <w:sz w:val="18"/>
          <w:szCs w:val="18"/>
          <w:color w:val="auto"/>
        </w:rPr>
        <w:t>Applicable; and means that the Number of Options for the relevant Component will be deemed to be automatically exercised at the Expiration Time on the Expiration Date for such Component if at such time such Component is In-the-Money unless Buyer notifies Seller (in writing) prior to the Expiration Time on such Expiration Date that it does not wish Automatic Exercise to occur with respect to such Component, in which case Automatic Exercise will not apply with respect to such Component. “</w:t>
      </w:r>
      <w:r>
        <w:rPr>
          <w:rFonts w:ascii="Times New Roman" w:cs="Times New Roman" w:eastAsia="Times New Roman" w:hAnsi="Times New Roman"/>
          <w:sz w:val="18"/>
          <w:szCs w:val="18"/>
          <w:b w:val="1"/>
          <w:bCs w:val="1"/>
          <w:color w:val="auto"/>
        </w:rPr>
        <w:t>In-the-Money</w:t>
      </w:r>
      <w:r>
        <w:rPr>
          <w:rFonts w:ascii="Times New Roman" w:cs="Times New Roman" w:eastAsia="Times New Roman" w:hAnsi="Times New Roman"/>
          <w:sz w:val="18"/>
          <w:szCs w:val="18"/>
          <w:color w:val="auto"/>
        </w:rPr>
        <w:t>” means, in respect of any Component, that the Relevant Price on the Expiration Date for such Component is greater than the Strike Price for such Component.</w:t>
      </w:r>
    </w:p>
    <w:p>
      <w:pPr>
        <w:spacing w:after="0" w:line="79" w:lineRule="exact"/>
        <w:rPr>
          <w:sz w:val="20"/>
          <w:szCs w:val="20"/>
          <w:color w:val="auto"/>
        </w:rPr>
      </w:pPr>
    </w:p>
    <w:p>
      <w:pPr>
        <w:sectPr>
          <w:pgSz w:w="11900" w:h="16838" w:orient="portrait"/>
          <w:cols w:equalWidth="0" w:num="2">
            <w:col w:w="2120" w:space="720"/>
            <w:col w:w="7800"/>
          </w:cols>
          <w:pgMar w:left="800" w:top="378" w:right="4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Time:</w:t>
      </w:r>
    </w:p>
    <w:p>
      <w:pPr>
        <w:spacing w:after="0" w:line="20" w:lineRule="exact"/>
        <w:rPr>
          <w:sz w:val="20"/>
          <w:szCs w:val="20"/>
          <w:color w:val="auto"/>
        </w:rPr>
      </w:pPr>
      <w:r>
        <w:rPr>
          <w:sz w:val="20"/>
          <w:szCs w:val="20"/>
          <w:color w:val="auto"/>
        </w:rPr>
        <w:br w:type="column"/>
      </w:r>
    </w:p>
    <w:p>
      <w:pPr>
        <w:ind w:right="280"/>
        <w:spacing w:after="0" w:line="267" w:lineRule="auto"/>
        <w:rPr>
          <w:sz w:val="20"/>
          <w:szCs w:val="20"/>
          <w:color w:val="auto"/>
        </w:rPr>
      </w:pPr>
      <w:r>
        <w:rPr>
          <w:rFonts w:ascii="Times New Roman" w:cs="Times New Roman" w:eastAsia="Times New Roman" w:hAnsi="Times New Roman"/>
          <w:sz w:val="18"/>
          <w:szCs w:val="18"/>
          <w:color w:val="auto"/>
        </w:rPr>
        <w:t xml:space="preserve">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 trading session is extended, the Calculation Agent shall determine the Valuation Time in a good faith and commercially reasonable manner.</w:t>
      </w:r>
    </w:p>
    <w:p>
      <w:pPr>
        <w:spacing w:after="0" w:line="67" w:lineRule="exact"/>
        <w:rPr>
          <w:sz w:val="20"/>
          <w:szCs w:val="20"/>
          <w:color w:val="auto"/>
        </w:rPr>
      </w:pPr>
    </w:p>
    <w:p>
      <w:pPr>
        <w:sectPr>
          <w:pgSz w:w="11900" w:h="16838" w:orient="portrait"/>
          <w:cols w:equalWidth="0" w:num="2">
            <w:col w:w="2120" w:space="720"/>
            <w:col w:w="7800"/>
          </w:cols>
          <w:pgMar w:left="80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Valuation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any Component, the Expiration Date therefor.</w:t>
      </w:r>
    </w:p>
    <w:p>
      <w:pPr>
        <w:spacing w:after="0" w:line="169" w:lineRule="exact"/>
        <w:rPr>
          <w:sz w:val="20"/>
          <w:szCs w:val="20"/>
          <w:color w:val="auto"/>
        </w:rPr>
      </w:pPr>
    </w:p>
    <w:p>
      <w:pPr>
        <w:sectPr>
          <w:pgSz w:w="11900" w:h="16838" w:orient="portrait"/>
          <w:cols w:equalWidth="0" w:num="2">
            <w:col w:w="2120" w:space="720"/>
            <w:col w:w="7800"/>
          </w:cols>
          <w:pgMar w:left="800" w:top="378" w:right="45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640"/>
          </w:cols>
          <w:pgMar w:left="800" w:top="378" w:right="459" w:bottom="1440" w:gutter="0" w:footer="0" w:header="0"/>
          <w:type w:val="continuous"/>
        </w:sectPr>
      </w:pPr>
    </w:p>
    <w:bookmarkStart w:id="131" w:name="page132"/>
    <w:bookmarkEnd w:id="131"/>
    <w:p>
      <w:pPr>
        <w:ind w:left="360"/>
        <w:spacing w:after="0"/>
        <w:rPr>
          <w:sz w:val="20"/>
          <w:szCs w:val="20"/>
          <w:color w:val="auto"/>
        </w:rPr>
      </w:pPr>
      <w:r>
        <w:rPr>
          <w:rFonts w:ascii="Times New Roman" w:cs="Times New Roman" w:eastAsia="Times New Roman" w:hAnsi="Times New Roman"/>
          <w:sz w:val="17"/>
          <w:szCs w:val="17"/>
          <w:color w:val="auto"/>
        </w:rPr>
        <w:t>Market Disruption Event:</w:t>
      </w:r>
    </w:p>
    <w:p>
      <w:pPr>
        <w:spacing w:after="0" w:line="20" w:lineRule="exact"/>
        <w:rPr>
          <w:sz w:val="20"/>
          <w:szCs w:val="20"/>
          <w:color w:val="auto"/>
        </w:rPr>
      </w:pPr>
      <w:r>
        <w:rPr>
          <w:sz w:val="20"/>
          <w:szCs w:val="20"/>
          <w:color w:val="auto"/>
        </w:rPr>
        <w:br w:type="column"/>
      </w:r>
    </w:p>
    <w:p>
      <w:pPr>
        <w:ind w:right="400"/>
        <w:spacing w:after="0" w:line="266" w:lineRule="auto"/>
        <w:rPr>
          <w:sz w:val="20"/>
          <w:szCs w:val="20"/>
          <w:color w:val="auto"/>
        </w:rPr>
      </w:pPr>
      <w:r>
        <w:rPr>
          <w:rFonts w:ascii="Times New Roman" w:cs="Times New Roman" w:eastAsia="Times New Roman" w:hAnsi="Times New Roman"/>
          <w:sz w:val="18"/>
          <w:szCs w:val="18"/>
          <w:color w:val="auto"/>
        </w:rPr>
        <w:t>Section 6.3(a) of the Equity Definitions is hereby amended by deleting the words “during the one hour period that ends at the relevant Valuation Time, Latest Exercise Time, Knock-in Valuation Time or Knock-out Valuation Time, as the case may be,” in clause (ii)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-587375</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2480" w:space="720"/>
            <w:col w:w="7780"/>
          </w:cols>
          <w:pgMar w:left="440" w:top="378" w:right="479" w:bottom="1440" w:gutter="0" w:footer="0" w:header="0"/>
        </w:sectPr>
      </w:pPr>
    </w:p>
    <w:p>
      <w:pPr>
        <w:ind w:left="3200" w:right="460"/>
        <w:spacing w:after="0" w:line="282" w:lineRule="auto"/>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 following the term “Scheduled Closing Time” in the fourth line thereof.</w:t>
      </w:r>
    </w:p>
    <w:p>
      <w:pPr>
        <w:sectPr>
          <w:pgSz w:w="11900" w:h="16838" w:orient="portrait"/>
          <w:cols w:equalWidth="0" w:num="1">
            <w:col w:w="10980"/>
          </w:cols>
          <w:pgMar w:left="440" w:top="378" w:right="47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Terms: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Settlement Method Election:</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Section 7.1 of the Equity Definitions is hereby amended by replacing the term “Physical Settlement” with the terms “Net Share Settlement or Combination Settlement”, (b) Counterparty must make a single irrevocable election for all Components and (c) if Counterparty is electing Cash Settlement or Combination Settlement, such Settlement Method Election will be effective only if Counterparty represents and warrants to Dealer in writing on the date of such Settlement Method Election that (i) Counterparty is not in possession of any material non-public information regarding Counterparty or the Shares, and (ii) such election is being made in good faith and not as part of a plan or scheme to evade compliance with the federal securities laws.</w:t>
      </w:r>
    </w:p>
    <w:p>
      <w:pPr>
        <w:spacing w:after="0" w:line="92"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ind w:left="3200" w:right="240"/>
        <w:spacing w:after="0" w:line="312" w:lineRule="auto"/>
        <w:rPr>
          <w:sz w:val="20"/>
          <w:szCs w:val="20"/>
          <w:color w:val="auto"/>
        </w:rPr>
      </w:pPr>
      <w:r>
        <w:rPr>
          <w:rFonts w:ascii="Times New Roman" w:cs="Times New Roman" w:eastAsia="Times New Roman" w:hAnsi="Times New Roman"/>
          <w:sz w:val="17"/>
          <w:szCs w:val="17"/>
          <w:color w:val="auto"/>
        </w:rPr>
        <w:t>If Counterparty is electing Combination Settlement, Counterparty shall also specify a specified dollar amount (the “</w:t>
      </w:r>
      <w:r>
        <w:rPr>
          <w:rFonts w:ascii="Times New Roman" w:cs="Times New Roman" w:eastAsia="Times New Roman" w:hAnsi="Times New Roman"/>
          <w:sz w:val="17"/>
          <w:szCs w:val="17"/>
          <w:b w:val="1"/>
          <w:bCs w:val="1"/>
          <w:color w:val="auto"/>
        </w:rPr>
        <w:t>Specified Cash Amount</w:t>
      </w:r>
      <w:r>
        <w:rPr>
          <w:rFonts w:ascii="Times New Roman" w:cs="Times New Roman" w:eastAsia="Times New Roman" w:hAnsi="Times New Roman"/>
          <w:sz w:val="17"/>
          <w:szCs w:val="17"/>
          <w:color w:val="auto"/>
        </w:rPr>
        <w:t>”) in the notice specifying its election of Combination Settlement.</w:t>
      </w:r>
    </w:p>
    <w:p>
      <w:pPr>
        <w:spacing w:after="0" w:line="45" w:lineRule="exact"/>
        <w:rPr>
          <w:sz w:val="20"/>
          <w:szCs w:val="20"/>
          <w:color w:val="auto"/>
        </w:rPr>
      </w:pPr>
    </w:p>
    <w:p>
      <w:pPr>
        <w:ind w:left="3200" w:right="40"/>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foregoing, Counterparty acknowledges its responsibilities under applicable securities laws, and in particular Sections 9 and 10(b)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promulgated thereunder in respect of such election.</w:t>
      </w:r>
    </w:p>
    <w:p>
      <w:pPr>
        <w:sectPr>
          <w:pgSz w:w="11900" w:h="16838" w:orient="portrait"/>
          <w:cols w:equalWidth="0" w:num="1">
            <w:col w:w="10980"/>
          </w:cols>
          <w:pgMar w:left="440" w:top="378" w:right="479" w:bottom="1440" w:gutter="0" w:footer="0" w:header="0"/>
          <w:type w:val="continuous"/>
        </w:sectPr>
      </w:pP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Electing Party:</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Counterparty</w:t>
      </w:r>
    </w:p>
    <w:p>
      <w:pPr>
        <w:spacing w:after="0" w:line="128"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jc w:val="center"/>
        <w:ind w:left="360"/>
        <w:spacing w:after="0"/>
        <w:rPr>
          <w:sz w:val="20"/>
          <w:szCs w:val="20"/>
          <w:color w:val="auto"/>
        </w:rPr>
      </w:pPr>
      <w:r>
        <w:rPr>
          <w:rFonts w:ascii="Times New Roman" w:cs="Times New Roman" w:eastAsia="Times New Roman" w:hAnsi="Times New Roman"/>
          <w:sz w:val="17"/>
          <w:szCs w:val="17"/>
          <w:color w:val="auto"/>
        </w:rPr>
        <w:t>Settlement Method Election Date: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second Scheduled Valid Day prior to the scheduled Expiration Date for the Component with the earliest scheduled Expiration Date.</w:t>
      </w:r>
    </w:p>
    <w:p>
      <w:pPr>
        <w:spacing w:after="0" w:line="54" w:lineRule="exact"/>
        <w:rPr>
          <w:sz w:val="20"/>
          <w:szCs w:val="20"/>
          <w:color w:val="auto"/>
        </w:rPr>
      </w:pPr>
    </w:p>
    <w:p>
      <w:pPr>
        <w:sectPr>
          <w:pgSz w:w="11900" w:h="16838" w:orient="portrait"/>
          <w:cols w:equalWidth="0" w:num="2">
            <w:col w:w="2800" w:space="400"/>
            <w:col w:w="7780"/>
          </w:cols>
          <w:pgMar w:left="440" w:top="378"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Net Share Settlement</w:t>
      </w:r>
    </w:p>
    <w:p>
      <w:pPr>
        <w:spacing w:after="0" w:line="129"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Net Share Settlement:</w:t>
      </w:r>
    </w:p>
    <w:p>
      <w:pPr>
        <w:spacing w:after="0" w:line="20" w:lineRule="exact"/>
        <w:rPr>
          <w:sz w:val="20"/>
          <w:szCs w:val="20"/>
          <w:color w:val="auto"/>
        </w:rPr>
      </w:pPr>
      <w:r>
        <w:rPr>
          <w:sz w:val="20"/>
          <w:szCs w:val="20"/>
          <w:color w:val="auto"/>
        </w:rPr>
        <w:br w:type="column"/>
      </w:r>
    </w:p>
    <w:p>
      <w:pPr>
        <w:ind w:right="200"/>
        <w:spacing w:after="0" w:line="261" w:lineRule="auto"/>
        <w:rPr>
          <w:sz w:val="20"/>
          <w:szCs w:val="20"/>
          <w:color w:val="auto"/>
        </w:rPr>
      </w:pPr>
      <w:r>
        <w:rPr>
          <w:rFonts w:ascii="Times New Roman" w:cs="Times New Roman" w:eastAsia="Times New Roman" w:hAnsi="Times New Roman"/>
          <w:sz w:val="18"/>
          <w:szCs w:val="18"/>
          <w:color w:val="auto"/>
        </w:rPr>
        <w:t>With respect to any Component, if Net Share Settlement is applicable to the Options exercised or deemed exercised hereunder, Dealer will deliver to Counterparty, on the Settlement Date, a number of Shares (the “</w:t>
      </w:r>
      <w:r>
        <w:rPr>
          <w:rFonts w:ascii="Times New Roman" w:cs="Times New Roman" w:eastAsia="Times New Roman" w:hAnsi="Times New Roman"/>
          <w:sz w:val="18"/>
          <w:szCs w:val="18"/>
          <w:b w:val="1"/>
          <w:bCs w:val="1"/>
          <w:color w:val="auto"/>
        </w:rPr>
        <w:t>Net Share Settlement Amount</w:t>
      </w:r>
      <w:r>
        <w:rPr>
          <w:rFonts w:ascii="Times New Roman" w:cs="Times New Roman" w:eastAsia="Times New Roman" w:hAnsi="Times New Roman"/>
          <w:sz w:val="18"/>
          <w:szCs w:val="18"/>
          <w:color w:val="auto"/>
        </w:rPr>
        <w:t xml:space="preserve">”) equal to (i) the Daily Option Value on the Expiration Date of such Component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Relevant Price on such Expiration Date.</w:t>
      </w:r>
    </w:p>
    <w:p>
      <w:pPr>
        <w:spacing w:after="0" w:line="85"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ind w:left="3200" w:right="520"/>
        <w:spacing w:after="0" w:line="282" w:lineRule="auto"/>
        <w:rPr>
          <w:sz w:val="20"/>
          <w:szCs w:val="20"/>
          <w:color w:val="auto"/>
        </w:rPr>
      </w:pPr>
      <w:r>
        <w:rPr>
          <w:rFonts w:ascii="Times New Roman" w:cs="Times New Roman" w:eastAsia="Times New Roman" w:hAnsi="Times New Roman"/>
          <w:sz w:val="18"/>
          <w:szCs w:val="18"/>
          <w:color w:val="auto"/>
        </w:rPr>
        <w:t>Dealer will deliver cash in lieu of any fractional Shares to be delivered with respect to any Net Share Settlement Amount valued at the Relevant Price for the Expiration Date of such Component.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378" w:right="47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color w:val="auto"/>
        </w:rPr>
        <w:t>Cash Settlement:</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With respect to any Component, if Cash Settlement is applicable to the Options exercised or deemed exercised hereunder, in lieu of Section 8.1 of the Equity Definitions, Dealer will pay to Counterparty on the Settlement Date,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equal to the Daily Option Value on the Expiration Date of such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-721995</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2120" w:space="720"/>
            <w:col w:w="7820"/>
          </w:cols>
          <w:pgMar w:left="800" w:top="378" w:right="4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Combination Settlement:</w:t>
      </w:r>
    </w:p>
    <w:p>
      <w:pPr>
        <w:spacing w:after="0" w:line="20" w:lineRule="exact"/>
        <w:rPr>
          <w:sz w:val="20"/>
          <w:szCs w:val="20"/>
          <w:color w:val="auto"/>
        </w:rPr>
      </w:pPr>
      <w:r>
        <w:rPr>
          <w:sz w:val="20"/>
          <w:szCs w:val="20"/>
          <w:color w:val="auto"/>
        </w:rPr>
        <w:br w:type="column"/>
      </w:r>
    </w:p>
    <w:p>
      <w:pPr>
        <w:ind w:right="620"/>
        <w:spacing w:after="0" w:line="266" w:lineRule="auto"/>
        <w:rPr>
          <w:sz w:val="20"/>
          <w:szCs w:val="20"/>
          <w:color w:val="auto"/>
        </w:rPr>
      </w:pPr>
      <w:r>
        <w:rPr>
          <w:rFonts w:ascii="Times New Roman" w:cs="Times New Roman" w:eastAsia="Times New Roman" w:hAnsi="Times New Roman"/>
          <w:sz w:val="18"/>
          <w:szCs w:val="18"/>
          <w:color w:val="auto"/>
        </w:rPr>
        <w:t>With respect to any Component, if Combination Settlement is applicable to the Options exercised or deemed exercised hereunder, Dealer will pay or deliver, as the case may be, to Counterparty on the Settlement Date:</w:t>
      </w:r>
    </w:p>
    <w:p>
      <w:pPr>
        <w:spacing w:after="0" w:line="79" w:lineRule="exact"/>
        <w:rPr>
          <w:sz w:val="20"/>
          <w:szCs w:val="20"/>
          <w:color w:val="auto"/>
        </w:rPr>
      </w:pPr>
    </w:p>
    <w:p>
      <w:pPr>
        <w:sectPr>
          <w:pgSz w:w="11900" w:h="16838" w:orient="portrait"/>
          <w:cols w:equalWidth="0" w:num="2">
            <w:col w:w="2120" w:space="720"/>
            <w:col w:w="7820"/>
          </w:cols>
          <w:pgMar w:left="800" w:top="378" w:right="439" w:bottom="1440" w:gutter="0" w:footer="0" w:header="0"/>
          <w:type w:val="continuous"/>
        </w:sectPr>
      </w:pPr>
    </w:p>
    <w:p>
      <w:pPr>
        <w:ind w:left="2840" w:right="20"/>
        <w:spacing w:after="0" w:line="267" w:lineRule="auto"/>
        <w:rPr>
          <w:sz w:val="20"/>
          <w:szCs w:val="20"/>
          <w:color w:val="auto"/>
        </w:rPr>
      </w:pPr>
      <w:r>
        <w:rPr>
          <w:rFonts w:ascii="Times New Roman" w:cs="Times New Roman" w:eastAsia="Times New Roman" w:hAnsi="Times New Roman"/>
          <w:sz w:val="18"/>
          <w:szCs w:val="18"/>
          <w:color w:val="auto"/>
        </w:rPr>
        <w:t xml:space="preserve">(i) an amount of cash equal to the lesser of (A) the Specified Cash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Components for the Transaction and (B) the Daily Option Value on the Expiration Date of such Component; and</w:t>
      </w:r>
    </w:p>
    <w:p>
      <w:pPr>
        <w:spacing w:after="0" w:line="77" w:lineRule="exact"/>
        <w:rPr>
          <w:sz w:val="20"/>
          <w:szCs w:val="20"/>
          <w:color w:val="auto"/>
        </w:rPr>
      </w:pPr>
    </w:p>
    <w:p>
      <w:pPr>
        <w:ind w:left="2840" w:right="120"/>
        <w:spacing w:after="0" w:line="257" w:lineRule="auto"/>
        <w:rPr>
          <w:sz w:val="20"/>
          <w:szCs w:val="20"/>
          <w:color w:val="auto"/>
        </w:rPr>
      </w:pPr>
      <w:r>
        <w:rPr>
          <w:rFonts w:ascii="Times New Roman" w:cs="Times New Roman" w:eastAsia="Times New Roman" w:hAnsi="Times New Roman"/>
          <w:sz w:val="18"/>
          <w:szCs w:val="18"/>
          <w:color w:val="auto"/>
        </w:rPr>
        <w:t>(ii) a number of Shares (the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xml:space="preserve">”) equal to (A) the excess of (1) the Daily Option Value on the Expiration Date of such Component over the (2) the Specified Cash Amount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the number of Components for the Transaction,</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(B) the Relevant Price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sub-clause (A) above results in zero or a negative number for any Expiration Date, the Combination Settlement Share Amount for such Expiration Date shall be deemed to be zero.</w:t>
      </w:r>
    </w:p>
    <w:p>
      <w:pPr>
        <w:spacing w:after="0" w:line="92" w:lineRule="exact"/>
        <w:rPr>
          <w:sz w:val="20"/>
          <w:szCs w:val="20"/>
          <w:color w:val="auto"/>
        </w:rPr>
      </w:pPr>
    </w:p>
    <w:p>
      <w:pPr>
        <w:ind w:left="2840" w:right="340"/>
        <w:spacing w:after="0" w:line="312" w:lineRule="auto"/>
        <w:rPr>
          <w:sz w:val="20"/>
          <w:szCs w:val="20"/>
          <w:color w:val="auto"/>
        </w:rPr>
      </w:pPr>
      <w:r>
        <w:rPr>
          <w:rFonts w:ascii="Times New Roman" w:cs="Times New Roman" w:eastAsia="Times New Roman" w:hAnsi="Times New Roman"/>
          <w:sz w:val="17"/>
          <w:szCs w:val="17"/>
          <w:color w:val="auto"/>
        </w:rPr>
        <w:t>Dealer will deliver cash in lieu of any fractional Shares to be delivered with respect to any Combination Settlement Share Amount valued at the Relevant Price for the Expiration Date of such Component.</w:t>
      </w:r>
    </w:p>
    <w:p>
      <w:pPr>
        <w:sectPr>
          <w:pgSz w:w="11900" w:h="16838" w:orient="portrait"/>
          <w:cols w:equalWidth="0" w:num="1">
            <w:col w:w="10660"/>
          </w:cols>
          <w:pgMar w:left="800" w:top="378" w:right="4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Daily Option Value: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any Component, an amount equal to (i) the Number of Options in such Component, </w:t>
      </w:r>
      <w:r>
        <w:rPr>
          <w:rFonts w:ascii="Times New Roman" w:cs="Times New Roman" w:eastAsia="Times New Roman" w:hAnsi="Times New Roman"/>
          <w:sz w:val="18"/>
          <w:szCs w:val="18"/>
          <w:i w:val="1"/>
          <w:iCs w:val="1"/>
          <w:color w:val="auto"/>
        </w:rPr>
        <w:t>multiplied by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(ii) the Option Entitlement,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(iii) (A) the lesser of the Relevant Price on the Expiration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such Component and the Cap Price,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Strike Price on such Expiration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contained in clause (iii) above results in a negative number, the Daily Option Value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shall be deemed to be zero. In no event will the Daily Option Value be less than zero.</w:t>
      </w:r>
    </w:p>
    <w:p>
      <w:pPr>
        <w:spacing w:after="0" w:line="99" w:lineRule="exact"/>
        <w:rPr>
          <w:sz w:val="20"/>
          <w:szCs w:val="20"/>
          <w:color w:val="auto"/>
        </w:rPr>
      </w:pPr>
    </w:p>
    <w:p>
      <w:pPr>
        <w:sectPr>
          <w:pgSz w:w="11900" w:h="16838" w:orient="portrait"/>
          <w:cols w:equalWidth="0" w:num="2">
            <w:col w:w="2120" w:space="720"/>
            <w:col w:w="7820"/>
          </w:cols>
          <w:pgMar w:left="800" w:top="37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Valid Day:</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 day on which (i) there is no Market Disruption Event and (ii) trading in the Shares generally occurs on the Exchange. If the Shares are not listed, quoted or traded on any U.S. securities exchange or any other market, “</w:t>
      </w:r>
      <w:r>
        <w:rPr>
          <w:rFonts w:ascii="Times New Roman" w:cs="Times New Roman" w:eastAsia="Times New Roman" w:hAnsi="Times New Roman"/>
          <w:sz w:val="18"/>
          <w:szCs w:val="18"/>
          <w:b w:val="1"/>
          <w:bCs w:val="1"/>
          <w:color w:val="auto"/>
        </w:rPr>
        <w:t>Valid Day</w:t>
      </w:r>
      <w:r>
        <w:rPr>
          <w:rFonts w:ascii="Times New Roman" w:cs="Times New Roman" w:eastAsia="Times New Roman" w:hAnsi="Times New Roman"/>
          <w:sz w:val="18"/>
          <w:szCs w:val="18"/>
          <w:color w:val="auto"/>
        </w:rPr>
        <w:t>” means a Business Day.</w:t>
      </w:r>
    </w:p>
    <w:p>
      <w:pPr>
        <w:spacing w:after="0" w:line="68" w:lineRule="exact"/>
        <w:rPr>
          <w:sz w:val="20"/>
          <w:szCs w:val="20"/>
          <w:color w:val="auto"/>
        </w:rPr>
      </w:pPr>
    </w:p>
    <w:p>
      <w:pPr>
        <w:sectPr>
          <w:pgSz w:w="11900" w:h="16838" w:orient="portrait"/>
          <w:cols w:equalWidth="0" w:num="2">
            <w:col w:w="2120" w:space="720"/>
            <w:col w:w="7820"/>
          </w:cols>
          <w:pgMar w:left="800" w:top="37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Scheduled Valid Day:</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A day that is scheduled to be a Valid Day on the Exchange. If the Shares are not listed, quoted or traded on any U.S. securities exchange or any other market, “</w:t>
      </w:r>
      <w:r>
        <w:rPr>
          <w:rFonts w:ascii="Times New Roman" w:cs="Times New Roman" w:eastAsia="Times New Roman" w:hAnsi="Times New Roman"/>
          <w:sz w:val="18"/>
          <w:szCs w:val="18"/>
          <w:b w:val="1"/>
          <w:bCs w:val="1"/>
          <w:color w:val="auto"/>
        </w:rPr>
        <w:t>Scheduled Valid Day</w:t>
      </w:r>
      <w:r>
        <w:rPr>
          <w:rFonts w:ascii="Times New Roman" w:cs="Times New Roman" w:eastAsia="Times New Roman" w:hAnsi="Times New Roman"/>
          <w:sz w:val="18"/>
          <w:szCs w:val="18"/>
          <w:color w:val="auto"/>
        </w:rPr>
        <w:t>” means a Business Day.</w:t>
      </w:r>
    </w:p>
    <w:p>
      <w:pPr>
        <w:spacing w:after="0" w:line="54" w:lineRule="exact"/>
        <w:rPr>
          <w:sz w:val="20"/>
          <w:szCs w:val="20"/>
          <w:color w:val="auto"/>
        </w:rPr>
      </w:pPr>
    </w:p>
    <w:p>
      <w:pPr>
        <w:sectPr>
          <w:pgSz w:w="11900" w:h="16838" w:orient="portrait"/>
          <w:cols w:equalWidth="0" w:num="2">
            <w:col w:w="2120" w:space="720"/>
            <w:col w:w="7820"/>
          </w:cols>
          <w:pgMar w:left="800" w:top="37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20" w:lineRule="exact"/>
        <w:rPr>
          <w:sz w:val="20"/>
          <w:szCs w:val="20"/>
          <w:color w:val="auto"/>
        </w:rPr>
      </w:pPr>
      <w:r>
        <w:rPr>
          <w:sz w:val="20"/>
          <w:szCs w:val="20"/>
          <w:color w:val="auto"/>
        </w:rPr>
        <w:br w:type="column"/>
      </w:r>
    </w:p>
    <w:p>
      <w:pPr>
        <w:ind w:right="540"/>
        <w:spacing w:after="0" w:line="282" w:lineRule="auto"/>
        <w:rPr>
          <w:sz w:val="20"/>
          <w:szCs w:val="20"/>
          <w:color w:val="auto"/>
        </w:rPr>
      </w:pPr>
      <w:r>
        <w:rPr>
          <w:rFonts w:ascii="Times New Roman" w:cs="Times New Roman" w:eastAsia="Times New Roman" w:hAnsi="Times New Roman"/>
          <w:sz w:val="18"/>
          <w:szCs w:val="18"/>
          <w:color w:val="auto"/>
        </w:rPr>
        <w:t>Any day other than a Saturday, a Sunday or other day on which banking institutions are authorized or required by law, regulation or executive order to close or be closed in the State of New York.</w:t>
      </w:r>
    </w:p>
    <w:p>
      <w:pPr>
        <w:spacing w:after="0" w:line="94" w:lineRule="exact"/>
        <w:rPr>
          <w:sz w:val="20"/>
          <w:szCs w:val="20"/>
          <w:color w:val="auto"/>
        </w:rPr>
      </w:pPr>
    </w:p>
    <w:p>
      <w:pPr>
        <w:sectPr>
          <w:pgSz w:w="11900" w:h="16838" w:orient="portrait"/>
          <w:cols w:equalWidth="0" w:num="2">
            <w:col w:w="2120" w:space="720"/>
            <w:col w:w="7820"/>
          </w:cols>
          <w:pgMar w:left="800" w:top="378" w:right="439" w:bottom="1440" w:gutter="0" w:footer="0" w:header="0"/>
          <w:type w:val="continuous"/>
        </w:sectPr>
      </w:pPr>
    </w:p>
    <w:p>
      <w:pPr>
        <w:jc w:val="center"/>
        <w:ind w:right="3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660"/>
          </w:cols>
          <w:pgMar w:left="800" w:top="378" w:right="4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color w:val="auto"/>
        </w:rPr>
        <w:t>Relevant Price:</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On any Valid Day, the per Share volume-weighted average price as displayed under the heading “Bloomberg VWAP” on Bloomberg page “TEM &lt;equity&gt; AQR” (or its equivalent successor if such page is not available) (the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in respect of the period from the scheduled open of trading until the scheduled close of trading of the primary trading session on such Valid Day (or if such volume-weighted average price is unavailable at such time, the market value of one Share on such Valid Day, as determined by the Calculation Agent in a good faith and commercially reasonable manner using, if practicable, a volume-weighted average method substantially similar to the method for determining the VWAP). The Relevant Price will be determined without regard to after-hours trading or any other trading outside of the regular trading session trading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-1402715</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2120" w:space="720"/>
            <w:col w:w="7800"/>
          </w:cols>
          <w:pgMar w:left="800" w:top="37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For all Components of the Transaction, the date that is one Settlement Cycle immediately following the Expiration Date for the Component with the latest Expiration Date.</w:t>
      </w:r>
    </w:p>
    <w:p>
      <w:pPr>
        <w:spacing w:after="0" w:line="54" w:lineRule="exact"/>
        <w:rPr>
          <w:sz w:val="20"/>
          <w:szCs w:val="20"/>
          <w:color w:val="auto"/>
        </w:rPr>
      </w:pPr>
    </w:p>
    <w:p>
      <w:pPr>
        <w:sectPr>
          <w:pgSz w:w="11900" w:h="16838" w:orient="portrait"/>
          <w:cols w:equalWidth="0" w:num="2">
            <w:col w:w="2120" w:space="720"/>
            <w:col w:w="7800"/>
          </w:cols>
          <w:pgMar w:left="80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0"/>
          <w:szCs w:val="20"/>
          <w:color w:val="auto"/>
        </w:rPr>
      </w:pPr>
    </w:p>
    <w:p>
      <w:pPr>
        <w:sectPr>
          <w:pgSz w:w="11900" w:h="16838" w:orient="portrait"/>
          <w:cols w:equalWidth="0" w:num="2">
            <w:col w:w="2120" w:space="720"/>
            <w:col w:w="7800"/>
          </w:cols>
          <w:pgMar w:left="80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The provisions of Sections 9.1(c), 9.8, 9.9, 9.11 and 9.12 of the Equity Definitions will be applicable, except that any references in such provisions to “Physical Settlement” shall be read as references to “Net Share Settlement or Combination Settlement, as applicable”.</w:t>
      </w:r>
    </w:p>
    <w:p>
      <w:pPr>
        <w:spacing w:after="0" w:line="68" w:lineRule="exact"/>
        <w:rPr>
          <w:sz w:val="20"/>
          <w:szCs w:val="20"/>
          <w:color w:val="auto"/>
        </w:rPr>
      </w:pPr>
    </w:p>
    <w:p>
      <w:pPr>
        <w:sectPr>
          <w:pgSz w:w="11900" w:h="16838" w:orient="portrait"/>
          <w:cols w:equalWidth="0" w:num="2">
            <w:col w:w="2120" w:space="720"/>
            <w:col w:w="7800"/>
          </w:cols>
          <w:pgMar w:left="80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Representation and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(including, but not limited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9.11 thereof), the parties acknowledge that (i) any Shares delivered to Counterparty shall be,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subject to restrictions, obligations and limitations arising from Counterparty’s status as issuer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under applicable securities laws, (ii) Dealer may deliver any Shares required to be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in certificated form in lieu of delivery through the Clearance System and (iii) any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delivered to Counterparty may be “restricted securities” (as defined in Rule 144 under the Securities Act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2280" w:space="560"/>
            <w:col w:w="7800"/>
          </w:cols>
          <w:pgMar w:left="800" w:top="378" w:right="45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640"/>
          </w:cols>
          <w:pgMar w:left="800" w:top="378" w:right="45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Adjustments: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Method of Adjustment: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Calculation Agent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(x) open market Share repurchases at prevailing market prices, (y) Share repurchases through a dealer pursuant to accelerated share repurchases, forward contracts or similar transactions (including, without limitation, any discount to average VWAP prices) that are entered into at prevailing market prices and in accordance with customary market terms for transactions of such type to repurchase the Shares and (z) any reacquisition of Shares pursuant to Counterparty’s employee incentive plans in connection with the related equity transactions, or Counterparty’s withholding of Shares to cover tax liabilities associated with such equity transactions, shall not be considered Potential Adjustment Events so long as, in the case of each of clause (x) and clause (y), such repurchases would not reduce the number of total Shares outstanding to be less than [    ] Shares, as determined by the Calculation Agent in a commercially reasonable manner and as adjusted by the Calculation Agent in a commercially reasonable manner to account for any subdivision or combination with respect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-2017395</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2480" w:space="720"/>
            <w:col w:w="7780"/>
          </w:cols>
          <w:pgMar w:left="440" w:top="378" w:right="4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Extraordinary Events: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New Shares: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definition of New Shares in Section 12.1(i) of the Equity Definitions, the text in clause (i) thereof shall be deleted in its entirety and replaced with “publicly quoted, traded or listed on any of The New York Stock Exchange, The Nasdaq Global Market or The Nasdaq Global Select Market (or their respective successors) and of an entity or person organized under the laws of the United States, any State thereof or the District of Columbia”.</w:t>
      </w:r>
    </w:p>
    <w:p>
      <w:pPr>
        <w:spacing w:after="0" w:line="75"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Consequences of Merger Events:</w:t>
      </w:r>
    </w:p>
    <w:p>
      <w:pPr>
        <w:sectPr>
          <w:pgSz w:w="11900" w:h="16838" w:orient="portrait"/>
          <w:cols w:equalWidth="0" w:num="1">
            <w:col w:w="10980"/>
          </w:cols>
          <w:pgMar w:left="440" w:top="378" w:right="479" w:bottom="1440" w:gutter="0" w:footer="0" w:header="0"/>
          <w:type w:val="continuous"/>
        </w:sectPr>
      </w:pP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 Share-for-Share: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Modified Calculation Agent Adjustment</w:t>
      </w:r>
    </w:p>
    <w:p>
      <w:pPr>
        <w:spacing w:after="0" w:line="129"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Cancellation and Payment (Calculation Agent Determination)</w:t>
      </w:r>
    </w:p>
    <w:p>
      <w:pPr>
        <w:spacing w:after="0" w:line="127"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 Share-for-Combined:</w:t>
      </w:r>
    </w:p>
    <w:p>
      <w:pPr>
        <w:spacing w:after="0" w:line="20" w:lineRule="exact"/>
        <w:rPr>
          <w:sz w:val="20"/>
          <w:szCs w:val="20"/>
          <w:color w:val="auto"/>
        </w:rPr>
      </w:pPr>
      <w:r>
        <w:rPr>
          <w:sz w:val="20"/>
          <w:szCs w:val="20"/>
          <w:color w:val="auto"/>
        </w:rPr>
        <w:br w:type="column"/>
      </w: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Calculation Agent may elect Component Adjustment for all or part of the Transaction</w:t>
      </w:r>
    </w:p>
    <w:p>
      <w:pPr>
        <w:spacing w:after="0" w:line="50"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Tender Offer:</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definition of “Tender Offer” in Section 12.1 of the Equity Definitions will be amended by replacing “10%” with “20%” and (y) each of Section 12.1(d), Section 12.1(e) and Section 12.(l) of the Equity Definitions will be amended by replacing the references therein to “voting shares” with “Shares”.</w:t>
      </w:r>
    </w:p>
    <w:p>
      <w:pPr>
        <w:spacing w:after="0" w:line="74"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Consequences of Tender Offers:</w:t>
      </w:r>
    </w:p>
    <w:p>
      <w:pPr>
        <w:sectPr>
          <w:pgSz w:w="11900" w:h="16838" w:orient="portrait"/>
          <w:cols w:equalWidth="0" w:num="1">
            <w:col w:w="10980"/>
          </w:cols>
          <w:pgMar w:left="440" w:top="378" w:right="479" w:bottom="1440" w:gutter="0" w:footer="0" w:header="0"/>
          <w:type w:val="continuous"/>
        </w:sectPr>
      </w:pP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 Share-for-Share: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Modified Calculation Agent Adjustment</w:t>
      </w:r>
    </w:p>
    <w:p>
      <w:pPr>
        <w:spacing w:after="0" w:line="129"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Modified Calculation Agent Adjustment</w:t>
      </w:r>
    </w:p>
    <w:p>
      <w:pPr>
        <w:spacing w:after="0" w:line="129"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(c) 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Modified Calculation Agent Adjustment</w:t>
      </w:r>
    </w:p>
    <w:p>
      <w:pPr>
        <w:spacing w:after="0" w:line="169"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980"/>
          </w:cols>
          <w:pgMar w:left="440" w:top="378" w:right="479" w:bottom="1440" w:gutter="0" w:footer="0" w:header="0"/>
          <w:type w:val="continuous"/>
        </w:sectPr>
      </w:pPr>
    </w:p>
    <w:bookmarkStart w:id="135" w:name="page136"/>
    <w:bookmarkEnd w:id="135"/>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Consequences of Announcement Events: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Modified Calculation Agent Adjustment as set forth in Section 12.3(d) of the Equity Definitions; </w:t>
      </w:r>
      <w:r>
        <w:rPr>
          <w:rFonts w:ascii="Times New Roman" w:cs="Times New Roman" w:eastAsia="Times New Roman" w:hAnsi="Times New Roman"/>
          <w:sz w:val="18"/>
          <w:szCs w:val="18"/>
          <w:i w:val="1"/>
          <w:iCs w:val="1"/>
          <w:color w:val="auto"/>
        </w:rPr>
        <w:t>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-280670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in respect of an Announcement Event, (x) references to “Tender Offer” shall be replaced by references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“Announcement Event” and references to “Tender Offer Date” shall be replaced by references to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Announcement Event”, (y) the phrase “exercise, settlement, payment or any other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(including, without limitation, the spread)” shall be replaced with the phrase “Cap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and the words “whether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commercially reasonable (as determined by the Calculation Agent) period of time prior to or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 Event,” shall be inserted prior to the word “which” in the seventh line thereof, and (z)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avoidance of doubt, the Calculation Agent shall, in good faith and a commercially reasonable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whether the relevant Announcement Event has had a material economic effect on the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so, shall adjust the Cap Price accordingly to take into account such economic effect on one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occasions on or after the date of the Announcement Event up to, and including, the final Expiration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Early Termination Date and/or any other date of cancellation, it being understood that any adjustment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an Announcement Event shall take into account any earlier adjustment relating to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 Event and shall not be duplicative with any other adjustment or cancellation valuation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this Confirmation, the Equity Definitions or the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 Price be adjusted to be less than the Strike Price. An Announcement Event shall be an “Extraordinary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for purposes of the Equity Definitions, to which Article 12 of the Equity Definitions is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upon the Calculation Agent making an adjustment, determined in a 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manner, to the Cap Price upon any Announcement Event, then the Calculation Agent shall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adjustment to the Cap Price upon any announcement regarding the same event that gave rise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Announcement Event regarding the abandonment of any such event to the extent necessary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economic effect of such subsequent announcement on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the Cap Price be less than the Strike Price).</w:t>
      </w:r>
    </w:p>
    <w:p>
      <w:pPr>
        <w:spacing w:after="0" w:line="99" w:lineRule="exact"/>
        <w:rPr>
          <w:sz w:val="20"/>
          <w:szCs w:val="20"/>
          <w:color w:val="auto"/>
        </w:rPr>
      </w:pPr>
    </w:p>
    <w:p>
      <w:pPr>
        <w:sectPr>
          <w:pgSz w:w="11900" w:h="16838" w:orient="portrait"/>
          <w:cols w:equalWidth="0" w:num="2">
            <w:col w:w="2360" w:space="480"/>
            <w:col w:w="7820"/>
          </w:cols>
          <w:pgMar w:left="800" w:top="376" w:right="4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Announcement Event:</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(i) The public announcement (whether by Counterparty, any agent of Counterparty, any affiliate of Counterparty, a Valid Third Party Entity or any affiliate, agent or representative of a Valid Third Party Entity (each, a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of any transaction or event that, if completed, would constitute a Merger Event or Tender Offer, or the announcement by Counterparty of any intention to enter into a Merger Event or Tender Offer, (ii) the public announcement by Counterparty of an intention by Counterparty to solicit or enter into, or to explore strategic alternatives or other similar undertaking that may include, a Merger Event or Tender Offer, (iii) the public announcement by a Relevant Party of any potential acquisition or disposition by Counterparty and/or its subsidiaries where the consideration exceeds 35% of the market capitalization of Counterparty as of the date of such announcement, or (iv) any subsequent public announcement of a change to a transaction or intention that is the subject of an</w:t>
      </w:r>
    </w:p>
    <w:p>
      <w:pPr>
        <w:spacing w:after="0" w:line="127" w:lineRule="exact"/>
        <w:rPr>
          <w:sz w:val="20"/>
          <w:szCs w:val="20"/>
          <w:color w:val="auto"/>
        </w:rPr>
      </w:pPr>
    </w:p>
    <w:p>
      <w:pPr>
        <w:sectPr>
          <w:pgSz w:w="11900" w:h="16838" w:orient="portrait"/>
          <w:cols w:equalWidth="0" w:num="2">
            <w:col w:w="2120" w:space="720"/>
            <w:col w:w="7820"/>
          </w:cols>
          <w:pgMar w:left="800" w:top="376" w:right="439" w:bottom="1440" w:gutter="0" w:footer="0" w:header="0"/>
          <w:type w:val="continuous"/>
        </w:sectPr>
      </w:pPr>
    </w:p>
    <w:p>
      <w:pPr>
        <w:jc w:val="center"/>
        <w:ind w:right="3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660"/>
          </w:cols>
          <w:pgMar w:left="800" w:top="376" w:right="439" w:bottom="1440" w:gutter="0" w:footer="0" w:header="0"/>
          <w:type w:val="continuous"/>
        </w:sectPr>
      </w:pPr>
    </w:p>
    <w:bookmarkStart w:id="136" w:name="page137"/>
    <w:bookmarkEnd w:id="136"/>
    <w:p>
      <w:pPr>
        <w:ind w:left="28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announcement of the type described in (x) clause (i) or (iii) of this sentence by a Relevant Party or (y) in clause (ii) of this sentence by Counterparty (including, without limitation, a new announcement relating to such a transaction or intention or the announcement of a withdrawal from, or the abandonment or discontinuation of, such a transaction or intention); provided that, for the avoidance of doubt, the occurrence of an Announcement Event with respect to any transaction or intention shall not preclude the occurrence of a later Announcement Event with respect to such transaction or intention. For purposes of this definition of “Announcement Event,” “Merger Event” shall have the meaning set forth in Section 12.1(b) of the Equity Definitions; provided that the portion of such definition following the definition of “Reverse Merger” shall be disregarded.</w:t>
      </w:r>
    </w:p>
    <w:p>
      <w:pPr>
        <w:sectPr>
          <w:pgSz w:w="11900" w:h="16838" w:orient="portrait"/>
          <w:cols w:equalWidth="0" w:num="1">
            <w:col w:w="10640"/>
          </w:cols>
          <w:pgMar w:left="800" w:top="270" w:right="45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Valid Third Party Entity: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respect of any transaction or event, any third party that has a bona fide intent to enter into or consummate such transaction or event (it being understood and agreed that in determining whether such third party has such a bona fide intent, the Calculation Agent shall take into consideration the effect of the relevant announcement by such third party on the Shares and/or options relating to the Shares).</w:t>
      </w:r>
    </w:p>
    <w:p>
      <w:pPr>
        <w:spacing w:after="0" w:line="72"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Notice of Merger Consideration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Consequences:</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Times New Roman" w:cs="Times New Roman" w:eastAsia="Times New Roman" w:hAnsi="Times New Roman"/>
          <w:sz w:val="18"/>
          <w:szCs w:val="18"/>
          <w:color w:val="auto"/>
        </w:rPr>
        <w:t>Upon the occurrence of a Merger Event that causes the Shares to be converted into the right to receive more than a single type of consideration (determined based in part upon any form of stockholder election), Counterparty shall reasonably promptly (but in any event prior to the relevant Merger Date) notify the Calculation Agent of (i) the type and amount of consideration that a holder of Shares would have been entitled to in the case of reclassifications, consolidations, mergers, sales or transfers of assets or other transactions that cause Shares to be converted into the right to receive more than a single type of consideration and (ii) the weighted average of the types and amounts of consideration to be received by the holders of Shares that affirmatively make such an election.</w:t>
      </w:r>
    </w:p>
    <w:p>
      <w:pPr>
        <w:spacing w:after="0" w:line="82" w:lineRule="exact"/>
        <w:rPr>
          <w:sz w:val="20"/>
          <w:szCs w:val="20"/>
          <w:color w:val="auto"/>
        </w:rPr>
      </w:pPr>
    </w:p>
    <w:p>
      <w:pPr>
        <w:sectPr>
          <w:pgSz w:w="11900" w:h="16838" w:orient="portrait"/>
          <w:cols w:equalWidth="0" w:num="2">
            <w:col w:w="2600" w:space="240"/>
            <w:col w:w="7800"/>
          </w:cols>
          <w:pgMar w:left="800" w:top="270" w:right="4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Nationalization, Insolvency 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Delisting:</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p>
      <w:pPr>
        <w:spacing w:after="0" w:line="117" w:lineRule="exact"/>
        <w:rPr>
          <w:sz w:val="20"/>
          <w:szCs w:val="20"/>
          <w:color w:val="auto"/>
        </w:rPr>
      </w:pPr>
    </w:p>
    <w:p>
      <w:pPr>
        <w:sectPr>
          <w:pgSz w:w="11900" w:h="16838" w:orient="portrait"/>
          <w:cols w:equalWidth="0" w:num="2">
            <w:col w:w="2180" w:space="660"/>
            <w:col w:w="7800"/>
          </w:cols>
          <w:pgMar w:left="800" w:top="270" w:right="459"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40"/>
          </w:cols>
          <w:pgMar w:left="800" w:top="270" w:right="459" w:bottom="1440" w:gutter="0" w:footer="0" w:header="0"/>
          <w:type w:val="continuous"/>
        </w:sectPr>
      </w:pPr>
    </w:p>
    <w:bookmarkStart w:id="137" w:name="page138"/>
    <w:bookmarkEnd w:id="137"/>
    <w:p>
      <w:pPr>
        <w:ind w:left="360"/>
        <w:spacing w:after="0"/>
        <w:rPr>
          <w:sz w:val="20"/>
          <w:szCs w:val="20"/>
          <w:color w:val="auto"/>
        </w:rPr>
      </w:pPr>
      <w:r>
        <w:rPr>
          <w:rFonts w:ascii="Times New Roman" w:cs="Times New Roman" w:eastAsia="Times New Roman" w:hAnsi="Times New Roman"/>
          <w:sz w:val="17"/>
          <w:szCs w:val="17"/>
          <w:color w:val="auto"/>
        </w:rPr>
        <w:t>Additional Termination Event(s):</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-991870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2760" w:space="440"/>
            <w:col w:w="7780"/>
          </w:cols>
          <w:pgMar w:left="440" w:top="378" w:right="479" w:bottom="1440" w:gutter="0" w:footer="0" w:header="0"/>
        </w:sectPr>
      </w:pPr>
    </w:p>
    <w:p>
      <w:pPr>
        <w:jc w:val="right"/>
        <w:ind w:right="320"/>
        <w:spacing w:after="0"/>
        <w:rPr>
          <w:sz w:val="20"/>
          <w:szCs w:val="20"/>
          <w:color w:val="auto"/>
        </w:rPr>
      </w:pPr>
      <w:r>
        <w:rPr>
          <w:rFonts w:ascii="Times New Roman" w:cs="Times New Roman" w:eastAsia="Times New Roman" w:hAnsi="Times New Roman"/>
          <w:sz w:val="17"/>
          <w:szCs w:val="17"/>
          <w:color w:val="auto"/>
        </w:rPr>
        <w:t>Additional Disruption Events:</w:t>
      </w:r>
    </w:p>
    <w:p>
      <w:pPr>
        <w:spacing w:after="0" w:line="129"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(a) Change in Law:</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 replacing the phrase “the interpretation” in the third line thereof with the phrase “, or public announcement of, the formal or informal interpretation”, (ii) adding the phrase “and/or Hedge Position” after the word “Shares” in clause (X) thereof and (iii) immediately following the word “Transaction” in clause (X) thereof, adding the phrase “in the manner contemplated by the Hedging Party on the Trade Date”;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Section 12.9(a)(ii) of the Equity Definitions is hereby amended by (i)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p>
      <w:pPr>
        <w:spacing w:after="0" w:line="93"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jc w:val="both"/>
        <w:ind w:left="3200" w:right="20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the Equity Definitions, a Change in Law described in clause (Y) of Section 12.9(a)(ii) of the Equity Definitions shall not constitute a Change in Law and instead shall constitute an Increased Cost of Hedging as described in Section 12.9(a)(vi) of the Equity Definitions, and any such determination of a Change in Law shall be consistently applied by the Determining Party across transactions similar to the Transaction and for counterparties similar to Counterparty.</w:t>
      </w:r>
    </w:p>
    <w:p>
      <w:pPr>
        <w:sectPr>
          <w:pgSz w:w="11900" w:h="16838" w:orient="portrait"/>
          <w:cols w:equalWidth="0" w:num="1">
            <w:col w:w="10980"/>
          </w:cols>
          <w:pgMar w:left="440" w:top="378" w:right="479" w:bottom="1440" w:gutter="0" w:footer="0" w:header="0"/>
          <w:type w:val="continuous"/>
        </w:sectPr>
      </w:pP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(b) Failure to Deliver: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(c) 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27"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spacing w:after="0" w:line="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7"/>
          <w:szCs w:val="17"/>
          <w:color w:val="auto"/>
        </w:rPr>
        <w:t>(d) 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43"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ind w:left="3200" w:right="20"/>
        <w:spacing w:after="0" w:line="282" w:lineRule="auto"/>
        <w:rPr>
          <w:sz w:val="20"/>
          <w:szCs w:val="20"/>
          <w:color w:val="auto"/>
        </w:rPr>
      </w:pPr>
      <w:r>
        <w:rPr>
          <w:rFonts w:ascii="Times New Roman" w:cs="Times New Roman" w:eastAsia="Times New Roman" w:hAnsi="Times New Roman"/>
          <w:sz w:val="18"/>
          <w:szCs w:val="18"/>
          <w:color w:val="auto"/>
        </w:rPr>
        <w:t>(i) Section 12.9(a)(v) of the Equity Definitions is hereby amended by inserting the following sentence at the end of such Section:</w:t>
      </w:r>
    </w:p>
    <w:p>
      <w:pPr>
        <w:spacing w:after="0" w:line="67" w:lineRule="exact"/>
        <w:rPr>
          <w:sz w:val="20"/>
          <w:szCs w:val="20"/>
          <w:color w:val="auto"/>
        </w:rPr>
      </w:pPr>
    </w:p>
    <w:p>
      <w:pPr>
        <w:ind w:left="3200" w:right="120"/>
        <w:spacing w:after="0" w:line="266" w:lineRule="auto"/>
        <w:rPr>
          <w:sz w:val="20"/>
          <w:szCs w:val="20"/>
          <w:color w:val="auto"/>
        </w:rPr>
      </w:pPr>
      <w:r>
        <w:rPr>
          <w:rFonts w:ascii="Times New Roman" w:cs="Times New Roman" w:eastAsia="Times New Roman" w:hAnsi="Times New Roman"/>
          <w:sz w:val="18"/>
          <w:szCs w:val="18"/>
          <w:color w:val="auto"/>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p>
      <w:pPr>
        <w:spacing w:after="0" w:line="81" w:lineRule="exact"/>
        <w:rPr>
          <w:sz w:val="20"/>
          <w:szCs w:val="20"/>
          <w:color w:val="auto"/>
        </w:rPr>
      </w:pPr>
    </w:p>
    <w:p>
      <w:pPr>
        <w:ind w:left="3200" w:right="160"/>
        <w:spacing w:after="0" w:line="266" w:lineRule="auto"/>
        <w:rPr>
          <w:sz w:val="20"/>
          <w:szCs w:val="20"/>
          <w:color w:val="auto"/>
        </w:rPr>
      </w:pPr>
      <w:r>
        <w:rPr>
          <w:rFonts w:ascii="Times New Roman" w:cs="Times New Roman" w:eastAsia="Times New Roman" w:hAnsi="Times New Roman"/>
          <w:sz w:val="18"/>
          <w:szCs w:val="18"/>
          <w:color w:val="auto"/>
        </w:rPr>
        <w:t>(ii) Section 12.9(b)(iii) of the Equity Definitions is hereby amended by inserting in the third line thereof, after the words “to terminate the Transaction”, the words “or a portion of the Transaction affected by such Hedging Disruption”.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378" w:right="479" w:bottom="1440" w:gutter="0" w:footer="0" w:header="0"/>
          <w:type w:val="continuous"/>
        </w:sectPr>
      </w:pPr>
    </w:p>
    <w:bookmarkStart w:id="138" w:name="page139"/>
    <w:bookmarkEnd w:id="138"/>
    <w:p>
      <w:pPr>
        <w:ind w:left="700"/>
        <w:spacing w:after="0"/>
        <w:rPr>
          <w:sz w:val="20"/>
          <w:szCs w:val="20"/>
          <w:color w:val="auto"/>
        </w:rPr>
      </w:pPr>
      <w:r>
        <w:rPr>
          <w:rFonts w:ascii="Times New Roman" w:cs="Times New Roman" w:eastAsia="Times New Roman" w:hAnsi="Times New Roman"/>
          <w:sz w:val="18"/>
          <w:szCs w:val="18"/>
          <w:color w:val="auto"/>
        </w:rPr>
        <w:t>(e) Increased Cost of Hedging:</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Applicable solely with respect to a “Change in Law” described in clause (Y) of Section 12.9(a)(ii) of the Equity Definitions as set forth in the last sentence opposite the caption “Change in Law”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-459740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920" w:space="260"/>
            <w:col w:w="7780"/>
          </w:cols>
          <w:pgMar w:left="460" w:top="378" w:right="479" w:bottom="1440" w:gutter="0" w:footer="0" w:header="0"/>
        </w:sectPr>
      </w:pPr>
    </w:p>
    <w:p>
      <w:pPr>
        <w:ind w:left="340"/>
        <w:spacing w:after="0"/>
        <w:rPr>
          <w:sz w:val="20"/>
          <w:szCs w:val="20"/>
          <w:color w:val="auto"/>
        </w:rPr>
      </w:pPr>
      <w:r>
        <w:rPr>
          <w:rFonts w:ascii="Times New Roman" w:cs="Times New Roman" w:eastAsia="Times New Roman" w:hAnsi="Times New Roman"/>
          <w:sz w:val="18"/>
          <w:szCs w:val="18"/>
          <w:color w:val="auto"/>
        </w:rPr>
        <w:t>Hedging Party:</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Dealer; all calculations and determinations made by the Hedging Party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receipt of written request from Counterparty, the Hedging Party shall promptly provide Counterparty with a written explanation describing in reasonable detail any calculation, adjustment or determination made by it (but not, for the avoidance of doubt, any discretionary act or election permitted to be made by Hedging Party) (including any quotations, market data or information from internal or external sources used in making such calculation, adjustment or determination, as the case may be, in a commonly used file format for the storage and manipulation of financial data, but without disclosing Hedging Party’s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spacing w:after="0" w:line="84" w:lineRule="exact"/>
        <w:rPr>
          <w:sz w:val="20"/>
          <w:szCs w:val="20"/>
          <w:color w:val="auto"/>
        </w:rPr>
      </w:pPr>
    </w:p>
    <w:p>
      <w:pPr>
        <w:sectPr>
          <w:pgSz w:w="11900" w:h="16838" w:orient="portrait"/>
          <w:cols w:equalWidth="0" w:num="2">
            <w:col w:w="2460" w:space="720"/>
            <w:col w:w="7780"/>
          </w:cols>
          <w:pgMar w:left="460" w:top="378" w:right="47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For all applicable Extraordinary Events, Dealer; all calculations and determinations made by the Determining Party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receipt of written request from Counterparty, the Determining Party shall 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in a commonly used file format for the storage and manipulation of financial data, but without disclosing Determining Party’s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spacing w:after="0" w:line="86" w:lineRule="exact"/>
        <w:rPr>
          <w:sz w:val="20"/>
          <w:szCs w:val="20"/>
          <w:color w:val="auto"/>
        </w:rPr>
      </w:pPr>
    </w:p>
    <w:p>
      <w:pPr>
        <w:sectPr>
          <w:pgSz w:w="11900" w:h="16838" w:orient="portrait"/>
          <w:cols w:equalWidth="0" w:num="2">
            <w:col w:w="2460" w:space="720"/>
            <w:col w:w="7780"/>
          </w:cols>
          <w:pgMar w:left="460" w:top="378" w:right="47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2460" w:space="720"/>
            <w:col w:w="7780"/>
          </w:cols>
          <w:pgMar w:left="460" w:top="378" w:right="479" w:bottom="1440" w:gutter="0" w:footer="0" w:header="0"/>
          <w:type w:val="continuous"/>
        </w:sectPr>
      </w:pPr>
    </w:p>
    <w:p>
      <w:pPr>
        <w:ind w:left="340"/>
        <w:spacing w:after="0" w:line="312" w:lineRule="auto"/>
        <w:rPr>
          <w:sz w:val="20"/>
          <w:szCs w:val="20"/>
          <w:color w:val="auto"/>
        </w:rPr>
      </w:pPr>
      <w:r>
        <w:rPr>
          <w:rFonts w:ascii="Times New Roman" w:cs="Times New Roman" w:eastAsia="Times New Roman" w:hAnsi="Times New Roman"/>
          <w:sz w:val="17"/>
          <w:szCs w:val="17"/>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344" w:lineRule="exact"/>
        <w:rPr>
          <w:sz w:val="20"/>
          <w:szCs w:val="20"/>
          <w:color w:val="auto"/>
        </w:rPr>
      </w:pPr>
    </w:p>
    <w:p>
      <w:pPr>
        <w:sectPr>
          <w:pgSz w:w="11900" w:h="16838" w:orient="portrait"/>
          <w:cols w:equalWidth="0" w:num="2">
            <w:col w:w="2900" w:space="280"/>
            <w:col w:w="7780"/>
          </w:cols>
          <w:pgMar w:left="460" w:top="378" w:right="47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200" w:lineRule="exact"/>
        <w:rPr>
          <w:sz w:val="20"/>
          <w:szCs w:val="20"/>
          <w:color w:val="auto"/>
        </w:rPr>
      </w:pPr>
    </w:p>
    <w:p>
      <w:pPr>
        <w:sectPr>
          <w:pgSz w:w="11900" w:h="16838" w:orient="portrait"/>
          <w:cols w:equalWidth="0" w:num="2">
            <w:col w:w="2540" w:space="640"/>
            <w:col w:w="7780"/>
          </w:cols>
          <w:pgMar w:left="460" w:top="378" w:right="479" w:bottom="1440" w:gutter="0" w:footer="0" w:header="0"/>
          <w:type w:val="continuous"/>
        </w:sectPr>
      </w:pPr>
    </w:p>
    <w:p>
      <w:pPr>
        <w:spacing w:after="0" w:line="35" w:lineRule="exact"/>
        <w:rPr>
          <w:sz w:val="20"/>
          <w:szCs w:val="20"/>
          <w:color w:val="auto"/>
        </w:rPr>
      </w:pPr>
    </w:p>
    <w:p>
      <w:pPr>
        <w:ind w:left="-20" w:firstLine="436"/>
        <w:spacing w:after="0" w:line="257" w:lineRule="auto"/>
        <w:tabs>
          <w:tab w:leader="none" w:pos="6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xml:space="preserve">: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(5)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60" w:top="378" w:right="479" w:bottom="1440" w:gutter="0" w:footer="0" w:header="0"/>
          <w:type w:val="continuous"/>
        </w:sectPr>
      </w:pPr>
    </w:p>
    <w:bookmarkStart w:id="139" w:name="page140"/>
    <w:bookmarkEnd w:id="13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calculations, adjustments and determinations made by the Calculation Agent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receipt of written request from Counterparty, the Calculation Agent shall 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but without disclosing Dealer’s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spacing w:after="0" w:line="189" w:lineRule="exact"/>
        <w:rPr>
          <w:sz w:val="20"/>
          <w:szCs w:val="20"/>
          <w:color w:val="auto"/>
        </w:rPr>
      </w:pPr>
    </w:p>
    <w:p>
      <w:pPr>
        <w:ind w:left="620" w:hanging="184"/>
        <w:spacing w:after="0"/>
        <w:tabs>
          <w:tab w:leader="none" w:pos="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 Details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Dealer Payment Instructions: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Counterparty Payment Instructions: To be advised.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Office of Dealer for the Transaction is: [____________].</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For purposes of this Confirmation: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Address for notices or communications to Counterparty:</w:t>
      </w:r>
    </w:p>
    <w:p>
      <w:pPr>
        <w:sectPr>
          <w:pgSz w:w="11900" w:h="16838" w:orient="portrait"/>
          <w:cols w:equalWidth="0" w:num="1">
            <w:col w:w="11020"/>
          </w:cols>
          <w:pgMar w:left="440" w:top="270" w:right="439" w:bottom="1440" w:gutter="0" w:footer="0" w:header="0"/>
        </w:sectPr>
      </w:pP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Attention:</w:t>
      </w:r>
    </w:p>
    <w:p>
      <w:pPr>
        <w:spacing w:after="0" w:line="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600 West Chicago Avenue, Suite 510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200" w:lineRule="exact"/>
        <w:rPr>
          <w:sz w:val="20"/>
          <w:szCs w:val="20"/>
          <w:color w:val="auto"/>
        </w:rPr>
      </w:pPr>
    </w:p>
    <w:p>
      <w:pPr>
        <w:sectPr>
          <w:pgSz w:w="11900" w:h="16838" w:orient="portrait"/>
          <w:cols w:equalWidth="0" w:num="2">
            <w:col w:w="1800" w:space="520"/>
            <w:col w:w="8700"/>
          </w:cols>
          <w:pgMar w:left="440" w:top="270" w:right="439" w:bottom="1440" w:gutter="0" w:footer="0" w:header="0"/>
          <w:type w:val="continuous"/>
        </w:sectPr>
      </w:pPr>
    </w:p>
    <w:p>
      <w:pPr>
        <w:spacing w:after="0" w:line="7" w:lineRule="exact"/>
        <w:rPr>
          <w:sz w:val="20"/>
          <w:szCs w:val="20"/>
          <w:color w:val="auto"/>
        </w:rPr>
      </w:pPr>
    </w:p>
    <w:p>
      <w:pPr>
        <w:ind w:left="1080" w:right="6740" w:hanging="644"/>
        <w:spacing w:after="0" w:line="423" w:lineRule="auto"/>
        <w:tabs>
          <w:tab w:leader="none" w:pos="6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 [____________]</w:t>
      </w:r>
    </w:p>
    <w:p>
      <w:pPr>
        <w:spacing w:after="0" w:line="40" w:lineRule="exact"/>
        <w:rPr>
          <w:sz w:val="20"/>
          <w:szCs w:val="20"/>
          <w:color w:val="auto"/>
        </w:rPr>
      </w:pPr>
    </w:p>
    <w:p>
      <w:pPr>
        <w:ind w:left="620" w:hanging="184"/>
        <w:spacing w:after="0"/>
        <w:tabs>
          <w:tab w:leader="none" w:pos="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w:t>
      </w:r>
    </w:p>
    <w:p>
      <w:pPr>
        <w:spacing w:after="0" w:line="117" w:lineRule="exact"/>
        <w:rPr>
          <w:sz w:val="20"/>
          <w:szCs w:val="20"/>
          <w:color w:val="auto"/>
        </w:rPr>
      </w:pPr>
    </w:p>
    <w:p>
      <w:pPr>
        <w:ind w:right="60" w:firstLine="436"/>
        <w:spacing w:after="0" w:line="282" w:lineRule="auto"/>
        <w:tabs>
          <w:tab w:leader="none" w:pos="6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07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Trade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on the Trade Date engaged in a “distribution,” as such term is defined in Regulation M under the Exchange Act</w:t>
      </w:r>
    </w:p>
    <w:p>
      <w:pPr>
        <w:spacing w:after="0" w:line="27" w:lineRule="exact"/>
        <w:rPr>
          <w:sz w:val="20"/>
          <w:szCs w:val="20"/>
          <w:color w:val="auto"/>
        </w:rPr>
      </w:pPr>
    </w:p>
    <w:p>
      <w:pPr>
        <w:jc w:val="both"/>
        <w:ind w:left="440" w:right="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of any securities of Counterparty, other than a distribution meeting the requirements of the exceptions set forth in Rules 101(b) (10), 102(b)(7) or 102(c)(1)(i) of Regulation M. Counterparty shall not, until the second Exchange Business Day immediately following the Trade Date, engage in any such distribution.</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type w:val="continuous"/>
        </w:sectPr>
      </w:pPr>
    </w:p>
    <w:bookmarkStart w:id="140" w:name="page141"/>
    <w:bookmarkEnd w:id="140"/>
    <w:p>
      <w:pPr>
        <w:ind w:left="744" w:hanging="321"/>
        <w:spacing w:after="0"/>
        <w:tabs>
          <w:tab w:leader="none" w:pos="74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4" w:firstLine="419"/>
        <w:spacing w:after="0" w:line="258" w:lineRule="auto"/>
        <w:tabs>
          <w:tab w:leader="none" w:pos="73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ASC Topic 480,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and ASC</w:t>
      </w:r>
      <w:r>
        <w:rPr>
          <w:rFonts w:ascii="Times New Roman" w:cs="Times New Roman" w:eastAsia="Times New Roman" w:hAnsi="Times New Roman"/>
          <w:sz w:val="18"/>
          <w:szCs w:val="18"/>
          <w:i w:val="1"/>
          <w:iCs w:val="1"/>
          <w:color w:val="auto"/>
        </w:rPr>
        <w:t xml:space="preserve"> 815-40, 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Contracts in Entity’s Own Equity </w:t>
      </w:r>
      <w:r>
        <w:rPr>
          <w:rFonts w:ascii="Times New Roman" w:cs="Times New Roman" w:eastAsia="Times New Roman" w:hAnsi="Times New Roman"/>
          <w:sz w:val="18"/>
          <w:szCs w:val="18"/>
          <w:color w:val="auto"/>
        </w:rPr>
        <w:t>(or any successor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p>
    <w:p>
      <w:pPr>
        <w:spacing w:after="0" w:line="75" w:lineRule="exact"/>
        <w:rPr>
          <w:rFonts w:ascii="Times New Roman" w:cs="Times New Roman" w:eastAsia="Times New Roman" w:hAnsi="Times New Roman"/>
          <w:sz w:val="18"/>
          <w:szCs w:val="18"/>
          <w:color w:val="auto"/>
        </w:rPr>
      </w:pPr>
    </w:p>
    <w:p>
      <w:pPr>
        <w:ind w:left="4" w:right="40" w:firstLine="419"/>
        <w:spacing w:after="0" w:line="282" w:lineRule="auto"/>
        <w:tabs>
          <w:tab w:leader="none" w:pos="68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3(a)(iii) of the Agreement, the Transaction will not violate Rule 13e-1 or Rule 13e-4 under the Exchange Act.</w:t>
      </w:r>
    </w:p>
    <w:p>
      <w:pPr>
        <w:spacing w:after="0" w:line="53" w:lineRule="exact"/>
        <w:rPr>
          <w:rFonts w:ascii="Times New Roman" w:cs="Times New Roman" w:eastAsia="Times New Roman" w:hAnsi="Times New Roman"/>
          <w:sz w:val="18"/>
          <w:szCs w:val="18"/>
          <w:color w:val="auto"/>
        </w:rPr>
      </w:pPr>
    </w:p>
    <w:p>
      <w:pPr>
        <w:jc w:val="both"/>
        <w:ind w:left="4" w:right="380" w:firstLine="419"/>
        <w:spacing w:after="0" w:line="266" w:lineRule="auto"/>
        <w:tabs>
          <w:tab w:leader="none" w:pos="73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Trade Date, Counterparty shall deliver to Dealer a resolution of Counterparty’s board of directors authorizing the Transaction and approving the Transaction and any related hedging activity for purposes of Section 203 of the Delaware General Corporation Law.</w:t>
      </w:r>
    </w:p>
    <w:p>
      <w:pPr>
        <w:spacing w:after="0" w:line="67" w:lineRule="exact"/>
        <w:rPr>
          <w:rFonts w:ascii="Times New Roman" w:cs="Times New Roman" w:eastAsia="Times New Roman" w:hAnsi="Times New Roman"/>
          <w:sz w:val="18"/>
          <w:szCs w:val="18"/>
          <w:color w:val="auto"/>
        </w:rPr>
      </w:pPr>
    </w:p>
    <w:p>
      <w:pPr>
        <w:ind w:left="784" w:hanging="361"/>
        <w:spacing w:after="0"/>
        <w:tabs>
          <w:tab w:leader="none" w:pos="78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entering into this Confirmation to create actual or apparent trading activity in the Shares (or any security</w:t>
      </w:r>
    </w:p>
    <w:p>
      <w:pPr>
        <w:spacing w:after="0" w:line="27" w:lineRule="exact"/>
        <w:rPr>
          <w:rFonts w:ascii="Times New Roman" w:cs="Times New Roman" w:eastAsia="Times New Roman" w:hAnsi="Times New Roman"/>
          <w:sz w:val="18"/>
          <w:szCs w:val="18"/>
          <w:color w:val="auto"/>
        </w:rPr>
      </w:pPr>
    </w:p>
    <w:p>
      <w:pPr>
        <w:ind w:left="4"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into or exchangeable for Shares) or to manipulate the price of the Shares (or any security convertible into or exchangeable for Shares) or otherwise in violation of the Exchange Act.</w:t>
      </w:r>
    </w:p>
    <w:p>
      <w:pPr>
        <w:spacing w:after="0" w:line="73"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83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53" w:lineRule="exact"/>
        <w:rPr>
          <w:rFonts w:ascii="Times New Roman" w:cs="Times New Roman" w:eastAsia="Times New Roman" w:hAnsi="Times New Roman"/>
          <w:sz w:val="18"/>
          <w:szCs w:val="18"/>
          <w:color w:val="auto"/>
        </w:rPr>
      </w:pPr>
    </w:p>
    <w:p>
      <w:pPr>
        <w:ind w:left="4" w:right="160" w:firstLine="419"/>
        <w:spacing w:after="0" w:line="254" w:lineRule="auto"/>
        <w:tabs>
          <w:tab w:leader="none" w:pos="73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immediately after the Trade Date and the Premium Payment Date, (A) the value of the total assets of Counterparty is greater than the sum of the total liabilities (including contingent liabilities) and the capital (as such terms are defined in Section 154 and Section 244 of the General Corporation Law of the State of Delaware)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w:t>
      </w:r>
    </w:p>
    <w:p>
      <w:pPr>
        <w:spacing w:after="0" w:line="3" w:lineRule="exact"/>
        <w:rPr>
          <w:rFonts w:ascii="Times New Roman" w:cs="Times New Roman" w:eastAsia="Times New Roman" w:hAnsi="Times New Roman"/>
          <w:sz w:val="18"/>
          <w:szCs w:val="18"/>
          <w:color w:val="auto"/>
        </w:rPr>
      </w:pPr>
    </w:p>
    <w:p>
      <w:pPr>
        <w:ind w:left="4" w:right="340" w:hanging="4"/>
        <w:spacing w:after="0" w:line="253" w:lineRule="auto"/>
        <w:tabs>
          <w:tab w:leader="none" w:pos="29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(E) Counterparty would be able to purchase the Number of Shares in compliance with the laws of the jurisdiction of Counterparty’s incorporation (including the adequate surplus and capital requirements of Sections 154 and 160 of the General Corporation Law of the State of Delaware).</w:t>
      </w:r>
    </w:p>
    <w:p>
      <w:pPr>
        <w:spacing w:after="0" w:line="80" w:lineRule="exact"/>
        <w:rPr>
          <w:rFonts w:ascii="Times New Roman" w:cs="Times New Roman" w:eastAsia="Times New Roman" w:hAnsi="Times New Roman"/>
          <w:sz w:val="18"/>
          <w:szCs w:val="18"/>
          <w:color w:val="auto"/>
        </w:rPr>
      </w:pPr>
    </w:p>
    <w:p>
      <w:pPr>
        <w:ind w:left="4" w:right="160" w:firstLine="419"/>
        <w:spacing w:after="0" w:line="258" w:lineRule="auto"/>
        <w:tabs>
          <w:tab w:leader="none" w:pos="68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Counterparty’s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representation shall be made by Counterparty with respect to any rules and regulations applicable to Dealer (including the Financial Industry Regulatory Authority, Inc.) arising from Dealer’s status as a regulated entity under applicable law.</w:t>
      </w:r>
    </w:p>
    <w:p>
      <w:pPr>
        <w:spacing w:after="0" w:line="75" w:lineRule="exact"/>
        <w:rPr>
          <w:rFonts w:ascii="Times New Roman" w:cs="Times New Roman" w:eastAsia="Times New Roman" w:hAnsi="Times New Roman"/>
          <w:sz w:val="18"/>
          <w:szCs w:val="18"/>
          <w:color w:val="auto"/>
        </w:rPr>
      </w:pPr>
    </w:p>
    <w:p>
      <w:pPr>
        <w:ind w:left="4" w:right="80" w:firstLine="419"/>
        <w:spacing w:after="0" w:line="261" w:lineRule="auto"/>
        <w:tabs>
          <w:tab w:leader="none" w:pos="73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 on the date hereof.</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4"/>
          </w:cols>
          <w:pgMar w:left="876" w:top="270" w:right="459" w:bottom="1440" w:gutter="0" w:footer="0" w:header="0"/>
        </w:sectPr>
      </w:pPr>
    </w:p>
    <w:bookmarkStart w:id="141" w:name="page142"/>
    <w:bookmarkEnd w:id="141"/>
    <w:p>
      <w:pPr>
        <w:ind w:left="4" w:right="440" w:firstLine="436"/>
        <w:spacing w:after="0" w:line="266" w:lineRule="auto"/>
        <w:tabs>
          <w:tab w:leader="none" w:pos="699"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75"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91" w:lineRule="exact"/>
        <w:rPr>
          <w:rFonts w:ascii="Times New Roman" w:cs="Times New Roman" w:eastAsia="Times New Roman" w:hAnsi="Times New Roman"/>
          <w:sz w:val="18"/>
          <w:szCs w:val="18"/>
          <w:color w:val="auto"/>
        </w:rPr>
      </w:pPr>
    </w:p>
    <w:p>
      <w:pPr>
        <w:ind w:left="4" w:firstLine="436"/>
        <w:spacing w:after="0" w:line="276" w:lineRule="auto"/>
        <w:tabs>
          <w:tab w:leader="none" w:pos="699"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Dealer and Counterparty agrees and acknowledges that Dealer is a “financial institution,” “swap participant” and “financial participant” within the meaning of Sections 101(22), 101(53C) and 101(22A) of the Bankruptcy Code. The parties hereto further agree and acknowledge</w:t>
      </w:r>
    </w:p>
    <w:p>
      <w:pPr>
        <w:ind w:left="304" w:hanging="304"/>
        <w:spacing w:after="0"/>
        <w:tabs>
          <w:tab w:leader="none" w:pos="30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Confirmation is (i) a “securities contract,” as such term is defined in Section 741(7) of the Bankruptcy Code, with respect to which each</w:t>
      </w:r>
    </w:p>
    <w:p>
      <w:pPr>
        <w:spacing w:after="0" w:line="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within the meaning of Section 546 of the Bankruptcy Code, and (B) that Dealer is entitled to the protections afforded by, among other sections, Sections 362(b)(6), 362(b)(17), 362(b)(27), 362(o), 546(e), 546(g), 546(j), 548(d)(2), 555, 560 and 561 of the Bankruptcy Code.</w:t>
      </w:r>
    </w:p>
    <w:p>
      <w:pPr>
        <w:spacing w:after="0" w:line="189"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to the effectiveness of the Transaction, Counterparty shall deliver to Dealer an opinion of counsel, dated as of the Effective Date and reasonably acceptable to Dealer in form and substance, with respect to certain of the matters set forth in Section 3(a)(i), (ii), (iii) and (iv) of the Agreement and Section 7(a)(viii)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opinion of counsel may contain customary exceptions and qualifications, including, without limitation, exceptions and qualifications relating to indemnification provisions.</w:t>
      </w:r>
    </w:p>
    <w:p>
      <w:pPr>
        <w:spacing w:after="0" w:line="179" w:lineRule="exact"/>
        <w:rPr>
          <w:rFonts w:ascii="Times New Roman" w:cs="Times New Roman" w:eastAsia="Times New Roman" w:hAnsi="Times New Roman"/>
          <w:sz w:val="18"/>
          <w:szCs w:val="18"/>
          <w:color w:val="auto"/>
        </w:rPr>
      </w:pPr>
    </w:p>
    <w:p>
      <w:pPr>
        <w:ind w:left="4" w:firstLine="436"/>
        <w:spacing w:after="0" w:line="289" w:lineRule="auto"/>
        <w:tabs>
          <w:tab w:leader="none" w:pos="669"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Counterparty understands that notwithstanding any other relationship between Counterparty and Dealer and its affiliates, in connection with the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spacing w:after="0" w:line="157" w:lineRule="exact"/>
        <w:rPr>
          <w:rFonts w:ascii="Times New Roman" w:cs="Times New Roman" w:eastAsia="Times New Roman" w:hAnsi="Times New Roman"/>
          <w:sz w:val="17"/>
          <w:szCs w:val="17"/>
          <w:color w:val="auto"/>
        </w:rPr>
      </w:pPr>
    </w:p>
    <w:p>
      <w:pPr>
        <w:ind w:left="4" w:right="380" w:firstLine="436"/>
        <w:spacing w:after="0" w:line="282" w:lineRule="auto"/>
        <w:tabs>
          <w:tab w:leader="none" w:pos="69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61"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9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that it has received, read and understands the OTC Options Risk Disclosure Statement and a copy of the most recent disclosure pamphlet prepared by The Options Clearing Corporation entitled “Characteristics and Risks of Standardized Options”.]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42" w:name="page143"/>
    <w:bookmarkEnd w:id="142"/>
    <w:p>
      <w:pPr>
        <w:ind w:left="624" w:hanging="184"/>
        <w:spacing w:after="0"/>
        <w:tabs>
          <w:tab w:leader="none" w:pos="62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Provisions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4" w:right="60" w:firstLine="436"/>
        <w:spacing w:after="0" w:line="277" w:lineRule="auto"/>
        <w:tabs>
          <w:tab w:leader="none" w:pos="689"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Right to Extend</w:t>
      </w:r>
      <w:r>
        <w:rPr>
          <w:rFonts w:ascii="Times New Roman" w:cs="Times New Roman" w:eastAsia="Times New Roman" w:hAnsi="Times New Roman"/>
          <w:sz w:val="17"/>
          <w:szCs w:val="17"/>
          <w:color w:val="auto"/>
        </w:rPr>
        <w:t>. Dealer may divide any Component into additional Components and designate the Expiration Date and the Number of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each such Component if Dealer determines, in good faith and a commercially reasonable manner, that such further division is necessary or advisable</w:t>
      </w:r>
    </w:p>
    <w:p>
      <w:pPr>
        <w:spacing w:after="0" w:line="1" w:lineRule="exact"/>
        <w:rPr>
          <w:rFonts w:ascii="Times New Roman" w:cs="Times New Roman" w:eastAsia="Times New Roman" w:hAnsi="Times New Roman"/>
          <w:sz w:val="17"/>
          <w:szCs w:val="17"/>
          <w:color w:val="auto"/>
        </w:rPr>
      </w:pPr>
    </w:p>
    <w:p>
      <w:pPr>
        <w:ind w:left="4" w:right="20" w:hanging="4"/>
        <w:spacing w:after="0" w:line="252" w:lineRule="auto"/>
        <w:tabs>
          <w:tab w:leader="none" w:pos="2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preserve Dealer’s hedging or hedge unwind activity assuming Dealer maintains a commercially reasonable hedge position hereunder in light of existing liquidity conditions or (y) to enable Dealer to effect purchases of Shares in connection with its commercially reasonable hedging, hedge unwind or settlement activity hereunder in a manner that would, if Dealer were Counterparty or an affiliated purchaser of Counterparty, be compliant and consistent with applicable legal, regulatory or self-regulatory requirements, or with related policies and procedures, generally applicable to transactions of the type of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Expiration Date for any Component be postponed to a date later than the Final Termination Date.</w:t>
      </w:r>
    </w:p>
    <w:p>
      <w:pPr>
        <w:spacing w:after="0" w:line="187" w:lineRule="exact"/>
        <w:rPr>
          <w:rFonts w:ascii="Times New Roman" w:cs="Times New Roman" w:eastAsia="Times New Roman" w:hAnsi="Times New Roman"/>
          <w:sz w:val="18"/>
          <w:szCs w:val="18"/>
          <w:color w:val="auto"/>
        </w:rPr>
      </w:pPr>
    </w:p>
    <w:p>
      <w:pPr>
        <w:ind w:left="4" w:firstLine="436"/>
        <w:spacing w:after="0" w:line="251" w:lineRule="auto"/>
        <w:tabs>
          <w:tab w:leader="none" w:pos="699"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Termination Events</w:t>
      </w:r>
      <w:r>
        <w:rPr>
          <w:rFonts w:ascii="Times New Roman" w:cs="Times New Roman" w:eastAsia="Times New Roman" w:hAnsi="Times New Roman"/>
          <w:sz w:val="18"/>
          <w:szCs w:val="18"/>
          <w:color w:val="auto"/>
        </w:rPr>
        <w:t>. Promptly (but in any event within ten (10) Scheduled Trading Days) following any repurchase,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(other than an exchange pursuant to Section 14.12 of the Indenture (as defined below)) or conversion of any of Counterparty’s [__]% Convertible Senior Notes due 2030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issued pursuant to an Indenture [to be] dated [____], 2025 between Counterparty and U.S. Bank Trust Company, National Association,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Counterparty may (but is not required to) notify Dealer in writing of such repurchase, redemption, exchange or conversion, the number of Convertible Notes so repurchased, redeemed, exchanged or converted, the number of Shares underlying such Convertible Notes and the number of Options as to which Counterparty elects to exercise its termination rights under this Section 8(b) (any such notice, a “</w:t>
      </w:r>
      <w:r>
        <w:rPr>
          <w:rFonts w:ascii="Times New Roman" w:cs="Times New Roman" w:eastAsia="Times New Roman" w:hAnsi="Times New Roman"/>
          <w:sz w:val="18"/>
          <w:szCs w:val="18"/>
          <w:b w:val="1"/>
          <w:bCs w:val="1"/>
          <w:color w:val="auto"/>
        </w:rPr>
        <w:t>Note Repurchase Notice</w:t>
      </w:r>
      <w:r>
        <w:rPr>
          <w:rFonts w:ascii="Times New Roman" w:cs="Times New Roman" w:eastAsia="Times New Roman" w:hAnsi="Times New Roman"/>
          <w:sz w:val="18"/>
          <w:szCs w:val="18"/>
          <w:color w:val="auto"/>
        </w:rPr>
        <w:t xml:space="preserve">”). Notwithstanding anything to the contrary in this Confirmation, the receipt by Dealer from Counterparty of (x) any Note Repurchase Notice, within the applicable time period set forth in the preceding sentence, (y) a written representation and warranty by Counterparty that, as of the date of such Note Repurchase Notice, Counterparty is not in possession of any material non-public information regarding Counterparty or the Shares, and (z) a written representation and warranty by Counterparty that the aggregate Repurchase Options, together with any options being terminated concurrently under other capped call transactions entered into in connection with the issuance of the Convertible Notes, will not exceed the number of Shares underlying the Convertible Notes specified in such Note Repurchase Notice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Option Entitlement, shall constitute an Additional Termination Event as provided in this paragraph. Upon receipt of any such Note Repurchase Notice and the related written representation and warranty, Dealer shall promptly designate an Exchange Business Day following receipt of such Note Repurchase Notice as an Early Termination Date with respect to the portion of the Transaction corresponding to a number of Options (the “</w:t>
      </w:r>
      <w:r>
        <w:rPr>
          <w:rFonts w:ascii="Times New Roman" w:cs="Times New Roman" w:eastAsia="Times New Roman" w:hAnsi="Times New Roman"/>
          <w:sz w:val="18"/>
          <w:szCs w:val="18"/>
          <w:b w:val="1"/>
          <w:bCs w:val="1"/>
          <w:color w:val="auto"/>
        </w:rPr>
        <w:t>Repurchase Options</w:t>
      </w:r>
      <w:r>
        <w:rPr>
          <w:rFonts w:ascii="Times New Roman" w:cs="Times New Roman" w:eastAsia="Times New Roman" w:hAnsi="Times New Roman"/>
          <w:sz w:val="18"/>
          <w:szCs w:val="18"/>
          <w:color w:val="auto"/>
        </w:rPr>
        <w:t>”) equal to the lesser of (A) the number of Options specified in such Note Repurchase Notice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“Repurchase Options” (as defined in the Base Capped Call Transaction Confirmation, dated as of [____], 2025, between Counterparty and Dealer relating to the Convertible Notes (the “</w:t>
      </w:r>
      <w:r>
        <w:rPr>
          <w:rFonts w:ascii="Times New Roman" w:cs="Times New Roman" w:eastAsia="Times New Roman" w:hAnsi="Times New Roman"/>
          <w:sz w:val="18"/>
          <w:szCs w:val="18"/>
          <w:b w:val="1"/>
          <w:bCs w:val="1"/>
          <w:color w:val="auto"/>
        </w:rPr>
        <w:t>Base Capped Call Transaction Confirmation</w:t>
      </w:r>
      <w:r>
        <w:rPr>
          <w:rFonts w:ascii="Times New Roman" w:cs="Times New Roman" w:eastAsia="Times New Roman" w:hAnsi="Times New Roman"/>
          <w:sz w:val="18"/>
          <w:szCs w:val="18"/>
          <w:color w:val="auto"/>
        </w:rPr>
        <w:t xml:space="preserve">”)), if any, that relate to such Convertible Notes (and for purposes of determining whether any Options under this Confirmation or under, and as defined in, the Base Capped Call Transaction Confirmation shall be among the Repurchase Options hereunder or under, and as defined in, the Base Capped Call Transaction Confirmation, such Convertible Notes shall be allocated first to the Base Capped Call Transaction Confirmation until all Options thereunder are exercised or terminated)] and (B) the aggregate Number of Options as of the date Dealer designates such Early Termination Date and, as of such date, the aggregate Number of Options shall be reduced by the number of Repurchase Options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across all Components, as determined by the Calculation Agent in a commercially reasonable manner. Any payment hereunder with respect to such termination shall be calculated pursuant to Section 6 of the Agreement as if (1) an Early Termination Date had been designated in respect of a Transaction having terms identical to the Transaction and an aggregate Number of Options equal to the number of Repurchase Options,</w:t>
      </w:r>
    </w:p>
    <w:p>
      <w:pPr>
        <w:spacing w:after="0" w:line="8" w:lineRule="exact"/>
        <w:rPr>
          <w:rFonts w:ascii="Times New Roman" w:cs="Times New Roman" w:eastAsia="Times New Roman" w:hAnsi="Times New Roman"/>
          <w:sz w:val="18"/>
          <w:szCs w:val="18"/>
          <w:color w:val="auto"/>
        </w:rPr>
      </w:pPr>
    </w:p>
    <w:p>
      <w:pPr>
        <w:ind w:left="4"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Counterparty were the sole Affected Party with respect to such Additional Termination Event, (3) the terminated portion of the Transaction were the sole Affected Transaction and (4) Dealer were the party entitled to designate an Early Termination Date pursuant to Section 6(b) of the Agreement and to determine the amount payable pursuant to Section 6(e) of the Agreement.</w:t>
      </w:r>
    </w:p>
    <w:p>
      <w:pPr>
        <w:spacing w:after="0" w:line="183" w:lineRule="exact"/>
        <w:rPr>
          <w:rFonts w:ascii="Times New Roman" w:cs="Times New Roman" w:eastAsia="Times New Roman" w:hAnsi="Times New Roman"/>
          <w:sz w:val="18"/>
          <w:szCs w:val="18"/>
          <w:color w:val="auto"/>
        </w:rPr>
      </w:pPr>
    </w:p>
    <w:p>
      <w:pPr>
        <w:ind w:left="4" w:right="160" w:firstLine="436"/>
        <w:spacing w:after="0" w:line="271" w:lineRule="auto"/>
        <w:tabs>
          <w:tab w:leader="none" w:pos="689"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Alternative Calculations and Payment on Early Termination and on Certain Extraordinary Events</w:t>
      </w:r>
      <w:r>
        <w:rPr>
          <w:rFonts w:ascii="Times New Roman" w:cs="Times New Roman" w:eastAsia="Times New Roman" w:hAnsi="Times New Roman"/>
          <w:sz w:val="17"/>
          <w:szCs w:val="17"/>
          <w:color w:val="auto"/>
        </w:rPr>
        <w:t>. If (a) an Early Termination Date (whether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w:t>
      </w:r>
    </w:p>
    <w:p>
      <w:pPr>
        <w:spacing w:after="0" w:line="1" w:lineRule="exact"/>
        <w:rPr>
          <w:rFonts w:ascii="Times New Roman" w:cs="Times New Roman" w:eastAsia="Times New Roman" w:hAnsi="Times New Roman"/>
          <w:sz w:val="17"/>
          <w:szCs w:val="17"/>
          <w:color w:val="auto"/>
        </w:rPr>
      </w:pPr>
    </w:p>
    <w:p>
      <w:pPr>
        <w:ind w:left="4" w:right="60" w:hanging="4"/>
        <w:spacing w:after="0" w:line="260" w:lineRule="auto"/>
        <w:tabs>
          <w:tab w:leader="none" w:pos="31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in which Counterparty is the Defaulting Party or a Termination Event in which Counterparty is the Affected Party, which Event of Default or Termination Event</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43" w:name="page144"/>
    <w:bookmarkEnd w:id="14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resulted from an event or events within Counterparty’s control), and if Dealer would owe any amount to Counterparty pursuant to Section 6(d)(ii) and 6(e)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then Dealer shall satisfy the Payment Obligation by the Share Termination Alternative (as defined below) unless (a) Counterparty gives irrevocable telephonic notice to Dealer, confirmed in writing within one Scheduled Trading Day, no later than 5:00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it is not in possession of any material non-public information regarding Counterparty or the Shares, and that such election is being made in good faith and not as part of a plan or scheme to evade compliance with the federal securities laws, and (c) Dealer agrees, in its sole discretion, to such election, in which case the provisions of Section 12.7 or Section 12.9 of the Equity Definitions, or the provisions of Section 6(d)(ii) and 6(e) of the Agreement, as the case may be, shall apply.</w:t>
      </w:r>
    </w:p>
    <w:p>
      <w:pPr>
        <w:sectPr>
          <w:pgSz w:w="11900" w:h="16838" w:orient="portrait"/>
          <w:cols w:equalWidth="0" w:num="1">
            <w:col w:w="11020"/>
          </w:cols>
          <w:pgMar w:left="440" w:top="270" w:right="4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Termination Alternative: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spacing w:after="0" w:line="75"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Share Termination Delivery Property:</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75" w:lineRule="exact"/>
        <w:rPr>
          <w:sz w:val="20"/>
          <w:szCs w:val="20"/>
          <w:color w:val="auto"/>
        </w:rPr>
      </w:pPr>
    </w:p>
    <w:p>
      <w:pPr>
        <w:sectPr>
          <w:pgSz w:w="11900" w:h="16838" w:orient="portrait"/>
          <w:cols w:equalWidth="0" w:num="2">
            <w:col w:w="2720" w:space="48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Share Termination Unit Price:</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Unit Price the Calculation Agent may consider a variety of factors, including the market price of the Share Termination Delivery Units and/or the purchase price paid in connection with the commercially reasonable purchase of Share Termination Delivery Property.</w:t>
      </w:r>
    </w:p>
    <w:p>
      <w:pPr>
        <w:spacing w:after="0" w:line="7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Share Termination Delivery Unit:</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7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6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type w:val="continuous"/>
        </w:sectPr>
      </w:pPr>
    </w:p>
    <w:bookmarkStart w:id="144" w:name="page145"/>
    <w:bookmarkEnd w:id="144"/>
    <w:p>
      <w:pPr>
        <w:ind w:left="4"/>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ind w:right="240"/>
        <w:spacing w:after="0" w:line="256" w:lineRule="auto"/>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-923290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484" w:space="720"/>
            <w:col w:w="7760"/>
          </w:cols>
          <w:pgMar w:left="436" w:top="270" w:right="499" w:bottom="1440" w:gutter="0" w:footer="0" w:header="0"/>
        </w:sectPr>
      </w:pPr>
    </w:p>
    <w:p>
      <w:pPr>
        <w:ind w:left="4" w:right="40" w:firstLine="436"/>
        <w:spacing w:after="0" w:line="273" w:lineRule="auto"/>
        <w:tabs>
          <w:tab w:leader="none" w:pos="699"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Disposition of Hedge Shares</w:t>
      </w:r>
      <w:r>
        <w:rPr>
          <w:rFonts w:ascii="Times New Roman" w:cs="Times New Roman" w:eastAsia="Times New Roman" w:hAnsi="Times New Roman"/>
          <w:sz w:val="17"/>
          <w:szCs w:val="17"/>
          <w:color w:val="auto"/>
        </w:rPr>
        <w:t>. Counterparty hereby agrees that if, in the good faith reasonable judgment of Dealer, based on the advice of legal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counsel, the Shares acquired by Dealer for the purpose of effecting a commercially reasonable hedge of its obligations pursuant to the Transaction (the “</w:t>
      </w:r>
      <w:r>
        <w:rPr>
          <w:rFonts w:ascii="Times New Roman" w:cs="Times New Roman" w:eastAsia="Times New Roman" w:hAnsi="Times New Roman"/>
          <w:sz w:val="17"/>
          <w:szCs w:val="17"/>
          <w:b w:val="1"/>
          <w:bCs w:val="1"/>
          <w:color w:val="auto"/>
        </w:rPr>
        <w:t>Hedge Shares</w:t>
      </w:r>
      <w:r>
        <w:rPr>
          <w:rFonts w:ascii="Times New Roman" w:cs="Times New Roman" w:eastAsia="Times New Roman" w:hAnsi="Times New Roman"/>
          <w:sz w:val="17"/>
          <w:szCs w:val="17"/>
          <w:color w:val="auto"/>
        </w:rPr>
        <w:t>”) cannot be sold in the U.S. public market by Dealer without registration under the Securities Act, Counterparty shall, at its election:</w:t>
      </w:r>
    </w:p>
    <w:p>
      <w:pPr>
        <w:spacing w:after="0" w:line="1" w:lineRule="exact"/>
        <w:rPr>
          <w:rFonts w:ascii="Times New Roman" w:cs="Times New Roman" w:eastAsia="Times New Roman" w:hAnsi="Times New Roman"/>
          <w:sz w:val="17"/>
          <w:szCs w:val="17"/>
          <w:color w:val="auto"/>
        </w:rPr>
      </w:pPr>
    </w:p>
    <w:p>
      <w:pPr>
        <w:ind w:left="4" w:right="480" w:hanging="4"/>
        <w:spacing w:after="0" w:line="265" w:lineRule="auto"/>
        <w:tabs>
          <w:tab w:leader="none" w:pos="219"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for companies of a similar size in a similar industry, (B) provide accountant’s “comfort” letters in customary form for registered offerings of equity securities for companies of a similar size in a similar industry,</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provide disclosure opinions of nationally recognized outside counsel to Counterparty in customary form for registered offerings of equity securities for companies of a similar size in a similar industry, (D) provide other customary opinions, certificates and closing documents customary in form for registered offerings of equity securities for companies of a similar size in a similar industry and (E) afford Dealer a reasonable opportunity to conduct a “due diligence” investigation with respect to Counterparty customary in scope for underwritten offerings of equity securities for companies of a similar size in a similar industry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Counterparty elects clause (i) above but Dealer, in its commercially reasonable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companies of a similar size in a similar industry, in form and substance commercially reasonably satisfactory to Dealer using best efforts to include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of equity securities of companies of a similar size in a similar industry, as is reasonably acceptable to Dealer (in which case, the Calculation Agent shall make any adjustments to the terms of the Transaction that are necessary, in its good faith and commercially reasonable judgment, to compensate Dealer for any customary liquidity discount from the public market price of the Shares incurred on the sale of Hedge Shares in a private placement); or (iii) purchase the Hedge Shares from Dealer at the then-current market price on such Exchange Business Days, and in the amounts and at such time(s), commercially reasonably requested by Dealer. This Section 8(d) shall survive the termination, expiration or early unwind of the Transaction.</w:t>
      </w:r>
    </w:p>
    <w:p>
      <w:pPr>
        <w:spacing w:after="0" w:line="187" w:lineRule="exact"/>
        <w:rPr>
          <w:rFonts w:ascii="Times New Roman" w:cs="Times New Roman" w:eastAsia="Times New Roman" w:hAnsi="Times New Roman"/>
          <w:sz w:val="17"/>
          <w:szCs w:val="17"/>
          <w:color w:val="auto"/>
        </w:rPr>
      </w:pPr>
    </w:p>
    <w:p>
      <w:pPr>
        <w:ind w:left="4" w:right="80" w:firstLine="436"/>
        <w:spacing w:after="0" w:line="255" w:lineRule="auto"/>
        <w:tabs>
          <w:tab w:leader="none" w:pos="68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Notices</w:t>
      </w:r>
      <w:r>
        <w:rPr>
          <w:rFonts w:ascii="Times New Roman" w:cs="Times New Roman" w:eastAsia="Times New Roman" w:hAnsi="Times New Roman"/>
          <w:sz w:val="18"/>
          <w:szCs w:val="18"/>
          <w:color w:val="auto"/>
        </w:rPr>
        <w:t>. Counterparty shall, on or prior to the date one Scheduled Valid Day immediately following any day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has effected any repurchase of Shares, give Dealer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xml:space="preserve">”) if, following such repurchase, the Notice Percentage is (i) greater than [__]% (in the case of the first such notice) and (ii) thereafter greater by 0.5% or more than the Notice Percentage included 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repurchases of Shares pursuant to a plan under Rule 10b5-1 under the Exchange Act,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8(e)).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Percentage</w:t>
      </w:r>
      <w:r>
        <w:rPr>
          <w:rFonts w:ascii="Times New Roman" w:cs="Times New Roman" w:eastAsia="Times New Roman" w:hAnsi="Times New Roman"/>
          <w:sz w:val="18"/>
          <w:szCs w:val="18"/>
          <w:color w:val="auto"/>
        </w:rPr>
        <w:t>” as of any day is the fraction, expressed as a percentage, the numerator of which is the Number of</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70" w:right="499" w:bottom="1440" w:gutter="0" w:footer="0" w:header="0"/>
          <w:type w:val="continuous"/>
        </w:sectPr>
      </w:pPr>
    </w:p>
    <w:bookmarkStart w:id="145" w:name="page146"/>
    <w:bookmarkEnd w:id="145"/>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number of Shares underlying any other capped call transactions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from and against any and all losses (including losses relating to Dealer’s commercially reasonable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and liabilities (or actions in respect thereof), joint or several, to which such Indemnified Party may become subject under applicable securities laws, including without limitation, Section 16 of the Exchange Act or under any U.S. state or federal law, regulation or regulatory order, in each case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In addition, Counterparty shall not have liability for any settlement of any proceeding contemplated by this paragraph that is effected without its written consent, such consent not to be unreasonably withheld, but if settled with such consent or if there be a final judgment for the plaintiff, Counterparty agrees to indemnify any Indemnified Person from and against any loss or liability by reason of such settlement or judgment. This indemnity shall survive the completion of the Transaction contemplated by this Confirmation and any assignment and delegation of the Transaction made pursuant to this Confirmation or the Agreement and shall inure to the benefit of any permitted assignee of Dealer. Counterparty will not be liable under this indemnity provision to the extent any loss, claim, damage, liability or expense is found in a final and non-appealable judgment by a court of competent jurisdiction to have resulted from Dealer’s gross negligence or willful misconduct.</w:t>
      </w:r>
    </w:p>
    <w:p>
      <w:pPr>
        <w:spacing w:after="0" w:line="200" w:lineRule="exact"/>
        <w:rPr>
          <w:sz w:val="20"/>
          <w:szCs w:val="20"/>
          <w:color w:val="auto"/>
        </w:rPr>
      </w:pPr>
    </w:p>
    <w:p>
      <w:pPr>
        <w:spacing w:after="0" w:line="203" w:lineRule="exact"/>
        <w:rPr>
          <w:sz w:val="20"/>
          <w:szCs w:val="20"/>
          <w:color w:val="auto"/>
        </w:rPr>
      </w:pPr>
    </w:p>
    <w:p>
      <w:pPr>
        <w:ind w:right="40" w:firstLine="436"/>
        <w:spacing w:after="0" w:line="252" w:lineRule="auto"/>
        <w:tabs>
          <w:tab w:leader="none" w:pos="66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Assignment</w:t>
      </w:r>
      <w:r>
        <w:rPr>
          <w:rFonts w:ascii="Times New Roman" w:cs="Times New Roman" w:eastAsia="Times New Roman" w:hAnsi="Times New Roman"/>
          <w:sz w:val="18"/>
          <w:szCs w:val="18"/>
          <w:color w:val="auto"/>
        </w:rPr>
        <w:t>. (i) Dealer may transfer or assign any of its rights or obligations under the Transaction with the prior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Counterparty, such consent not to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may transfer or assign without any consent of Counterparty its rights and obligations hereunder, in whole or in part, to (A) any affiliate of Dealer whose obligations would be guaranteed by Dealer [or Dealer’s ultimate parent] or (B) any person (including any affiliate of Dealer whose obligations are not guaranteed in the manner described in clause (A)) or any person whose obligations would be guaranteed by a person (a “</w:t>
      </w:r>
      <w:r>
        <w:rPr>
          <w:rFonts w:ascii="Times New Roman" w:cs="Times New Roman" w:eastAsia="Times New Roman" w:hAnsi="Times New Roman"/>
          <w:sz w:val="18"/>
          <w:szCs w:val="18"/>
          <w:b w:val="1"/>
          <w:bCs w:val="1"/>
          <w:color w:val="auto"/>
        </w:rPr>
        <w:t>Designated Transferee</w:t>
      </w:r>
      <w:r>
        <w:rPr>
          <w:rFonts w:ascii="Times New Roman" w:cs="Times New Roman" w:eastAsia="Times New Roman" w:hAnsi="Times New Roman"/>
          <w:sz w:val="18"/>
          <w:szCs w:val="18"/>
          <w:color w:val="auto"/>
        </w:rPr>
        <w:t xml:space="preserve">”), in either case under this clause (B), with a rating for its long-term, unsecured and unsubordinated indebtedness at least equivalent to Dealer’s (or its guarantor’s) at the time of such transfer or assignment;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this clause (B), in no event shall the credit rating of the Designated Transferee or its guarantor (whichever is higher) be lower than A3 from Moody’s Investor Service, Inc. or its successor or A- from Standard and Poor’s Rating Group, Inc. or its successor at the time of such transfer or assignment;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Dealer will notify Counterparty in writing prior to any proposed transfer or assignment to a Designated Transferee, (ii) both Dealer and transferee in any such transfer or assignment are a “dealer in securities” within the meaning of Section 475(c)(1)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the transfer or assignment does not result in a deemed exchange for Counterparty within the meaning of Section 1001 of the Code, (iii) after any such transfer or assignment, except to the extent such different amount results from a change in law that occurred after the date of such transfer or assignment, Counterparty will not be required to (A) pay or deliver to the transferee or assignee of such rights or obligations on any payment date or delivery date an amount under Section 2(d)(i)(4) of the Agreement greater than the amount, if any, that Counterparty would have been required to pay Dealer in the absence of such transfer or assignment or (B) receive from such transferee or assignee of such rights or obligations on any payment date or delivery date an amount or number of Shares, as applicable, less than the amount or number of Shares, as applicable, that Counterparty would have received (after taking into account any amounts paid or delivered under Section 2(d)(i)(4) of the Agreement, and any applicable withholding) from Dealer in the absence of such transfer or assignment, and (iv) Dealer shall cause the transferee or assignee to make such Payee Tax Representations and provide Counterparty with such tax</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8" w:right="439" w:bottom="1440" w:gutter="0" w:footer="0" w:header="0"/>
        </w:sectPr>
      </w:pPr>
    </w:p>
    <w:bookmarkStart w:id="146" w:name="page147"/>
    <w:bookmarkEnd w:id="146"/>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documentation as may reasonably be requested by Counterparty, including a complete and accurate U.S. Internal Revenue Service Form W-9 or W-8 (as applicable), prior to becoming a party to the Transaction to permit Counterparty to make any necessary determinations pursuant to clauses (ii) and (iii) of this proviso. If at any time at which (1) the Equity Percentage exceeds 8.0% or (2) Dealer, Dealer Group (as defined below) or any person whose ownership position would be aggregated with that of Dealer or Dealer Group (Dealer, Dealer Group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Section 203 of the Delaware General Corporation Law or other federal, state or local law, rule, regulation or regulatory order or organizational documents or contracts of Counterparty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1% of the number of Shares outstanding on the date of determination (either such condition described in clause (1) or (2),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if Dealer, in its reasonable discretion, is unable to effect a transfer or assignment to a third party in accordance with the requirements set forth above after its commercially reasonable efforts on pricing and terms and within a time period reasonably acceptable to Dealer such that an Excess Ownership Position no longer exists, Dealer may designate any Scheduled Valid Day as an Early Termination Date with respect to a portion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of the Transaction, such that an Excess Ownership Position no longer exists following such partial termination. In the event that Dealer so designates an Early Termination Date with respect to a portion of the Transaction, a payment or delivery shall be made pursuant to Section 6 of the Agreement and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 w:cs="Times New Roman" w:eastAsia="Times New Roman" w:hAnsi="Times New Roman"/>
          <w:sz w:val="18"/>
          <w:szCs w:val="18"/>
          <w:b w:val="1"/>
          <w:bCs w:val="1"/>
          <w:color w:val="auto"/>
        </w:rPr>
        <w:t>Equity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(collectively, “</w:t>
      </w:r>
      <w:r>
        <w:rPr>
          <w:rFonts w:ascii="Times New Roman" w:cs="Times New Roman" w:eastAsia="Times New Roman" w:hAnsi="Times New Roman"/>
          <w:sz w:val="18"/>
          <w:szCs w:val="18"/>
          <w:b w:val="1"/>
          <w:bCs w:val="1"/>
          <w:color w:val="auto"/>
        </w:rPr>
        <w:t>Dealer Group</w:t>
      </w:r>
      <w:r>
        <w:rPr>
          <w:rFonts w:ascii="Times New Roman" w:cs="Times New Roman" w:eastAsia="Times New Roman" w:hAnsi="Times New Roman"/>
          <w:sz w:val="18"/>
          <w:szCs w:val="18"/>
          <w:color w:val="auto"/>
        </w:rPr>
        <w: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204" w:lineRule="exact"/>
        <w:rPr>
          <w:sz w:val="20"/>
          <w:szCs w:val="20"/>
          <w:color w:val="auto"/>
        </w:rPr>
      </w:pPr>
    </w:p>
    <w:p>
      <w:pPr>
        <w:ind w:firstLine="436"/>
        <w:spacing w:after="0" w:line="258" w:lineRule="auto"/>
        <w:tabs>
          <w:tab w:leader="none" w:pos="7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transfer or assign any of its rights or obligations under the Transaction with the prior written consent of Dealer, such consent not to be unreasonably withheld or delayed. In the case of a transfer or assignment by Counterparty of its rights and obligations hereunder and under the Agreement, in whole or in part (any such Options so transferred or assigned,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to any party, withholding of such consent by Dealer shall not be considered unreasonable if such transfer or assignment does not meet the reasonable conditions that Dealer may impose including, but not limited to, the following conditions:</w:t>
      </w:r>
    </w:p>
    <w:p>
      <w:pPr>
        <w:spacing w:after="0" w:line="75"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5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8(e) or any obligations under Section 2 (regarding Extraordinary Events) or 8(d) of this Confirmation;</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4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Section 7701(a) (30) of the Code) and the transferee or assignee shall provide Dealer with a valid, duly executed, complete and accurate IRS Form W-9 prior to becoming a party to the Transaction;</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4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customary legal opinions with respect to securities laws and other matters by such third party and Counterparty as are reasonably requested by and reasonably satisfactory to Dealer;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47" w:name="page148"/>
    <w:bookmarkEnd w:id="147"/>
    <w:p>
      <w:pPr>
        <w:ind w:left="440" w:right="80" w:firstLine="419"/>
        <w:spacing w:after="0" w:line="256" w:lineRule="auto"/>
        <w:tabs>
          <w:tab w:leader="none" w:pos="115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Dealer will not, after such transfer or assignment, be required to (i) pay or deliver to the transferee or assignee on any payment or delivery date an amount under Section 2(d)(i)(4) of the Agreement greater than an amount that Dealer would have been required to pay or deliver to Counterparty in the absence of such transfer or assignment or (ii) receive from the transferee or assignee an amount (after taking into account any amounts paid by the transferee or assignee under Section 2(d)(i)(4) of the Agreement, reduced by any withholding) less than the amount that Dealer would have received from the Counterparty in the absence of such transfer or assignment (except to the extent such different amount results from a change in law that occurred after the date of such transfer or assignment);</w:t>
      </w:r>
    </w:p>
    <w:p>
      <w:pPr>
        <w:spacing w:after="0" w:line="79" w:lineRule="exact"/>
        <w:rPr>
          <w:rFonts w:ascii="Times New Roman" w:cs="Times New Roman" w:eastAsia="Times New Roman" w:hAnsi="Times New Roman"/>
          <w:sz w:val="18"/>
          <w:szCs w:val="18"/>
          <w:color w:val="auto"/>
        </w:rPr>
      </w:pPr>
    </w:p>
    <w:p>
      <w:pPr>
        <w:ind w:left="1140" w:hanging="281"/>
        <w:spacing w:after="0"/>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or assignment;</w:t>
      </w:r>
    </w:p>
    <w:p>
      <w:pPr>
        <w:spacing w:after="0" w:line="117" w:lineRule="exact"/>
        <w:rPr>
          <w:rFonts w:ascii="Times New Roman" w:cs="Times New Roman" w:eastAsia="Times New Roman" w:hAnsi="Times New Roman"/>
          <w:sz w:val="18"/>
          <w:szCs w:val="18"/>
          <w:color w:val="auto"/>
        </w:rPr>
      </w:pPr>
    </w:p>
    <w:p>
      <w:pPr>
        <w:ind w:left="440" w:right="680" w:firstLine="419"/>
        <w:spacing w:after="0" w:line="261" w:lineRule="auto"/>
        <w:tabs>
          <w:tab w:leader="none" w:pos="112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Counterparty shall have caused the transferee or assignee to make such Payee Tax Representations and to provide such tax documentation as may be reasonably requested by Dealer to permit Dealer to determine that the requirement described in clause (B) has been satisfied and the results described in clause (D) will not occur upon or after such transfer or assignment; and</w:t>
      </w:r>
    </w:p>
    <w:p>
      <w:pPr>
        <w:spacing w:after="0" w:line="71"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5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162" w:lineRule="exact"/>
        <w:rPr>
          <w:sz w:val="20"/>
          <w:szCs w:val="20"/>
          <w:color w:val="auto"/>
        </w:rPr>
      </w:pPr>
    </w:p>
    <w:p>
      <w:pPr>
        <w:ind w:right="40" w:firstLine="436"/>
        <w:spacing w:after="0" w:line="258" w:lineRule="auto"/>
        <w:tabs>
          <w:tab w:leader="none" w:pos="7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81" w:lineRule="exact"/>
        <w:rPr>
          <w:sz w:val="20"/>
          <w:szCs w:val="20"/>
          <w:color w:val="auto"/>
        </w:rPr>
      </w:pPr>
    </w:p>
    <w:p>
      <w:pPr>
        <w:ind w:firstLine="436"/>
        <w:spacing w:after="0" w:line="261" w:lineRule="auto"/>
        <w:tabs>
          <w:tab w:leader="none" w:pos="6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Staggered Settlement</w:t>
      </w:r>
      <w:r>
        <w:rPr>
          <w:rFonts w:ascii="Times New Roman" w:cs="Times New Roman" w:eastAsia="Times New Roman" w:hAnsi="Times New Roman"/>
          <w:sz w:val="18"/>
          <w:szCs w:val="18"/>
          <w:color w:val="auto"/>
        </w:rPr>
        <w:t>. If Dealer determines reasonably and in good faith that the number of Shares required to be delivered to Counterparty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on the Settlement Date would result in an Excess Ownership Position, then Dealer may, by notice to Counterparty prior to the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any Shares due to be delivered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or at two or more times on the Nominal Settlement Date as follows:</w:t>
      </w:r>
    </w:p>
    <w:p>
      <w:pPr>
        <w:spacing w:after="0" w:line="73" w:lineRule="exact"/>
        <w:rPr>
          <w:rFonts w:ascii="Times New Roman" w:cs="Times New Roman" w:eastAsia="Times New Roman" w:hAnsi="Times New Roman"/>
          <w:sz w:val="18"/>
          <w:szCs w:val="18"/>
          <w:color w:val="auto"/>
        </w:rPr>
      </w:pPr>
    </w:p>
    <w:p>
      <w:pPr>
        <w:ind w:left="440" w:right="200" w:firstLine="419"/>
        <w:spacing w:after="0" w:line="224" w:lineRule="auto"/>
        <w:tabs>
          <w:tab w:leader="none" w:pos="107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will be on or prior to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Exchange Business Day after such Nominal Settlement Date) or delivery times and how it will allocate the Shares it is required to deliver hereunder on the Settlement Date among the Staggered Settlement Dates or delivery times; and</w:t>
      </w:r>
    </w:p>
    <w:p>
      <w:pPr>
        <w:spacing w:after="0" w:line="90"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Shares that Dealer will deliver to Counterparty hereunder on all such Staggered Settlement Dates and delivery times will equal the number of Shares that Dealer would otherwise be required to deliver on such Nominal Settlement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Staggered Settlement Date be a date later than the Final Termination Date.</w:t>
      </w:r>
    </w:p>
    <w:p>
      <w:pPr>
        <w:spacing w:after="0" w:line="173" w:lineRule="exact"/>
        <w:rPr>
          <w:rFonts w:ascii="Times New Roman" w:cs="Times New Roman" w:eastAsia="Times New Roman" w:hAnsi="Times New Roman"/>
          <w:sz w:val="18"/>
          <w:szCs w:val="18"/>
          <w:color w:val="auto"/>
        </w:rPr>
      </w:pPr>
    </w:p>
    <w:p>
      <w:pPr>
        <w:ind w:right="40" w:firstLine="436"/>
        <w:spacing w:after="0" w:line="290" w:lineRule="auto"/>
        <w:tabs>
          <w:tab w:leader="none" w:pos="69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Disclosure</w:t>
      </w:r>
      <w:r>
        <w:rPr>
          <w:rFonts w:ascii="Times New Roman" w:cs="Times New Roman" w:eastAsia="Times New Roman" w:hAnsi="Times New Roman"/>
          <w:sz w:val="17"/>
          <w:szCs w:val="17"/>
          <w:color w:val="auto"/>
        </w:rPr>
        <w:t>. Effective from the date of commencement of discussions concerning the Transaction, Counterparty and each of its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55" w:lineRule="exact"/>
        <w:rPr>
          <w:rFonts w:ascii="Times New Roman" w:cs="Times New Roman" w:eastAsia="Times New Roman" w:hAnsi="Times New Roman"/>
          <w:sz w:val="17"/>
          <w:szCs w:val="17"/>
          <w:color w:val="auto"/>
        </w:rPr>
      </w:pPr>
    </w:p>
    <w:p>
      <w:pPr>
        <w:ind w:firstLine="436"/>
        <w:spacing w:after="0" w:line="261"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Netting and Set-off. </w:t>
      </w:r>
      <w:r>
        <w:rPr>
          <w:rFonts w:ascii="Times New Roman" w:cs="Times New Roman" w:eastAsia="Times New Roman" w:hAnsi="Times New Roman"/>
          <w:sz w:val="18"/>
          <w:szCs w:val="18"/>
          <w:color w:val="auto"/>
        </w:rPr>
        <w:t>The provisions of Sections 2(c) and 6(f) of the Agreement shall not apply to the Transaction. Each party waives 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48" w:name="page149"/>
    <w:bookmarkEnd w:id="148"/>
    <w:p>
      <w:pPr>
        <w:ind w:left="-20" w:right="80" w:firstLine="436"/>
        <w:spacing w:after="0" w:line="257" w:lineRule="auto"/>
        <w:tabs>
          <w:tab w:leader="none" w:pos="63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Equity Rights</w:t>
      </w:r>
      <w:r>
        <w:rPr>
          <w:rFonts w:ascii="Times New Roman" w:cs="Times New Roman" w:eastAsia="Times New Roman" w:hAnsi="Times New Roman"/>
          <w:sz w:val="18"/>
          <w:szCs w:val="18"/>
          <w:color w:val="auto"/>
        </w:rPr>
        <w:t>. Dealer acknowledges and agrees that this Confirmation is not intended to convey to it rights with respect to the Transaction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82" w:lineRule="exact"/>
        <w:rPr>
          <w:rFonts w:ascii="Times New Roman" w:cs="Times New Roman" w:eastAsia="Times New Roman" w:hAnsi="Times New Roman"/>
          <w:sz w:val="18"/>
          <w:szCs w:val="18"/>
          <w:color w:val="auto"/>
        </w:rPr>
      </w:pPr>
    </w:p>
    <w:p>
      <w:pPr>
        <w:ind w:left="-20" w:firstLine="436"/>
        <w:spacing w:after="0" w:line="254" w:lineRule="auto"/>
        <w:tabs>
          <w:tab w:leader="none" w:pos="67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Unwind</w:t>
      </w:r>
      <w:r>
        <w:rPr>
          <w:rFonts w:ascii="Times New Roman" w:cs="Times New Roman" w:eastAsia="Times New Roman" w:hAnsi="Times New Roman"/>
          <w:sz w:val="18"/>
          <w:szCs w:val="18"/>
          <w:color w:val="auto"/>
        </w:rPr>
        <w:t>. In the event the sale of the [Firm Securities] [Additional Securities] (as defined in the Purchase Agreement, dated as of [____],</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among Morgan Stanley &amp; Co. LLC and J.P. Morgan Securities LLC, as representatives of the several initial purchasers thereto, and Counterparty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is not consummated pursuant to the Purchase Agreement for any reason by the close of business in the Premium Payment Date (or such later date as agreed upon by the parties which in no event shall be later than the second Scheduled Valid Day following the Premium Payment Date) (such date or such later date as agreed upon being the “</w:t>
      </w:r>
      <w:r>
        <w:rPr>
          <w:rFonts w:ascii="Times New Roman" w:cs="Times New Roman" w:eastAsia="Times New Roman" w:hAnsi="Times New Roman"/>
          <w:sz w:val="18"/>
          <w:szCs w:val="18"/>
          <w:b w:val="1"/>
          <w:bCs w:val="1"/>
          <w:color w:val="auto"/>
        </w:rPr>
        <w:t>Accelerated Unwind Date</w:t>
      </w:r>
      <w:r>
        <w:rPr>
          <w:rFonts w:ascii="Times New Roman" w:cs="Times New Roman" w:eastAsia="Times New Roman" w:hAnsi="Times New Roman"/>
          <w:sz w:val="18"/>
          <w:szCs w:val="18"/>
          <w:color w:val="auto"/>
        </w:rPr>
        <w:t>”), the Transaction shall automatically terminate on the Accelerated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Accelerated Unwind Date.</w:t>
      </w:r>
    </w:p>
    <w:p>
      <w:pPr>
        <w:spacing w:after="0" w:line="188" w:lineRule="exact"/>
        <w:rPr>
          <w:rFonts w:ascii="Times New Roman" w:cs="Times New Roman" w:eastAsia="Times New Roman" w:hAnsi="Times New Roman"/>
          <w:sz w:val="18"/>
          <w:szCs w:val="18"/>
          <w:color w:val="auto"/>
        </w:rPr>
      </w:pPr>
    </w:p>
    <w:p>
      <w:pPr>
        <w:ind w:left="-20" w:right="180" w:firstLine="436"/>
        <w:spacing w:after="0" w:line="257" w:lineRule="auto"/>
        <w:tabs>
          <w:tab w:leader="none" w:pos="63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The parties agree that, for the avoidance of doubt, for purposes of Section 5(b)(i) of the Agreement, “any applicable law”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Dodd-Frank Wall Street Reform and Consumer Protection Act of 2010, any rules and regulations promulgated thereunder and any similar law or regulation, without regard to Section 739 of the Dodd-Frank Wall Street Reform and Consumer Protection Act of 2010 or any similar legal certainty provision in any legislation enacted, or rule or regulation promulgated, on or after the Trade Date, and the consequences specified in the Agreement, including without limitation, the consequences specified in Section 6 of the Agreement, shall apply to any Illegality arising from any such act, rule or regulation.</w:t>
      </w:r>
    </w:p>
    <w:p>
      <w:pPr>
        <w:spacing w:after="0" w:line="182" w:lineRule="exact"/>
        <w:rPr>
          <w:rFonts w:ascii="Times New Roman" w:cs="Times New Roman" w:eastAsia="Times New Roman" w:hAnsi="Times New Roman"/>
          <w:sz w:val="18"/>
          <w:szCs w:val="18"/>
          <w:color w:val="auto"/>
        </w:rPr>
      </w:pPr>
    </w:p>
    <w:p>
      <w:pPr>
        <w:ind w:left="720" w:hanging="304"/>
        <w:spacing w:after="0"/>
        <w:tabs>
          <w:tab w:leader="none" w:pos="7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to Equity Definitions. </w:t>
      </w:r>
      <w:r>
        <w:rPr>
          <w:rFonts w:ascii="Times New Roman" w:cs="Times New Roman" w:eastAsia="Times New Roman" w:hAnsi="Times New Roman"/>
          <w:sz w:val="18"/>
          <w:szCs w:val="18"/>
          <w:color w:val="auto"/>
        </w:rPr>
        <w:t>The following amendments shall be made to the Equity Definitions:</w:t>
      </w:r>
    </w:p>
    <w:p>
      <w:pPr>
        <w:spacing w:after="0" w:line="119" w:lineRule="exact"/>
        <w:rPr>
          <w:rFonts w:ascii="Times New Roman" w:cs="Times New Roman" w:eastAsia="Times New Roman" w:hAnsi="Times New Roman"/>
          <w:sz w:val="18"/>
          <w:szCs w:val="18"/>
          <w:color w:val="auto"/>
        </w:rPr>
      </w:pPr>
    </w:p>
    <w:p>
      <w:pPr>
        <w:ind w:left="420" w:right="80" w:firstLine="419"/>
        <w:spacing w:after="0" w:line="282" w:lineRule="auto"/>
        <w:tabs>
          <w:tab w:leader="none" w:pos="105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applying the Equity Definitions and for purposes of this Confirmation, any reference in the Equity Definitions to a Strike Price shall be deemed to be a reference to either of the Strike Price or the Cap Price, or both, as appropriate;</w:t>
      </w:r>
    </w:p>
    <w:p>
      <w:pPr>
        <w:spacing w:after="0" w:line="53" w:lineRule="exact"/>
        <w:rPr>
          <w:rFonts w:ascii="Times New Roman" w:cs="Times New Roman" w:eastAsia="Times New Roman" w:hAnsi="Times New Roman"/>
          <w:sz w:val="18"/>
          <w:szCs w:val="18"/>
          <w:color w:val="auto"/>
        </w:rPr>
      </w:pPr>
    </w:p>
    <w:p>
      <w:pPr>
        <w:ind w:left="420" w:right="40" w:firstLine="419"/>
        <w:spacing w:after="0" w:line="253" w:lineRule="auto"/>
        <w:tabs>
          <w:tab w:leader="none" w:pos="110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adjustment under Section 11.2(c) of the Equity Definitions, the first sentence of Section 11.2(c) of the Equity Definitions, prior to clause (A) thereof, is hereby amended to read as follows: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in the commercially reasonable judgment of the Calculation Agent, a material economic effect on the theoretical value of the relevant Shares or options on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(x) an observable market, other than the market for Counterparty’s own stock or (y) an observable index, other than an index calculated and measured solely by reference to Counterparty’s own operations) and, if so, will (i) make appropriate adjustment(s), if any, determined in a commercially reasonable manner, to any one or more of:”, and the portion of such sentence immediately preceding clause</w:t>
      </w:r>
    </w:p>
    <w:p>
      <w:pPr>
        <w:ind w:left="420" w:right="120" w:hanging="4"/>
        <w:spacing w:after="0" w:line="252" w:lineRule="auto"/>
        <w:tabs>
          <w:tab w:leader="none" w:pos="68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is hereby amended by deleting the words “diluting or concentrative” and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to account solely for changes in volatility, expected dividends, stock loan rate or liquidity relative to the relevant Shares)” and replacing such latter phrase with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in the case of Sections 11.2(e)(i), (ii)(A) and (iv), no adjustments will be made to account solely for changes in volatility, expected dividends, stock loan rate or liquidity relative to the relevant Shares but, for the avoidance of doubt, solely in the case of Sections 11.2(e)(ii)(B) through (D), (iii), (v), (vi) and (vii), adjustments may be made to account solely for changes in volatility, expected dividends, stock loan rate or liquidity relative to the relevant Shares)”;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60" w:top="268" w:right="459" w:bottom="1440" w:gutter="0" w:footer="0" w:header="0"/>
        </w:sectPr>
      </w:pPr>
    </w:p>
    <w:bookmarkStart w:id="149" w:name="page150"/>
    <w:bookmarkEnd w:id="149"/>
    <w:p>
      <w:pPr>
        <w:ind w:left="4" w:right="80" w:firstLine="419"/>
        <w:spacing w:after="0" w:line="258" w:lineRule="auto"/>
        <w:tabs>
          <w:tab w:leader="none" w:pos="74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11.2(a) of the Equity Definitions is hereby amended by (1) deleting the words “in the determination of the Calculation Agent, a diluting or concentrative effect” and replacing these words with “in the commercially reasonable judgment of the Calculation Agent, a material economic effect”; and (2) adding at the end thereof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(i) an observable market, other than the market for Counterparty’s own stock or (ii) an observable index, other than an index calculated and measured solely by reference to Counterparty’s own operations”;</w:t>
      </w:r>
    </w:p>
    <w:p>
      <w:pPr>
        <w:spacing w:after="0" w:line="75"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73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11.2(e)(vii) of the Equity Definitions is hereby amended and restated as follows: “any other corporate event involving the Issuer that in the commercially reasonable judgment of the Calculation Agent has a material economic effect on the theoretical value of the Shares or options on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corporate event involving the Issuer is not based on (a) an observable market, other than the market for Counterparty’s own stock or (b) an observable index, other than an index calculated and measured solely by reference to Counterparty’s own operations.”;</w:t>
      </w:r>
    </w:p>
    <w:p>
      <w:pPr>
        <w:spacing w:after="0" w:line="75" w:lineRule="exact"/>
        <w:rPr>
          <w:rFonts w:ascii="Times New Roman" w:cs="Times New Roman" w:eastAsia="Times New Roman" w:hAnsi="Times New Roman"/>
          <w:sz w:val="18"/>
          <w:szCs w:val="18"/>
          <w:color w:val="auto"/>
        </w:rPr>
      </w:pPr>
    </w:p>
    <w:p>
      <w:pPr>
        <w:jc w:val="both"/>
        <w:ind w:left="4" w:right="100" w:firstLine="419"/>
        <w:spacing w:after="0" w:line="266" w:lineRule="auto"/>
        <w:tabs>
          <w:tab w:leader="none" w:pos="68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12.7(b) of the Equity Definitions is hereby amended by inserting, prior to the period at the end thereof, the following phrase: “; provided that in the case of a Merger Event or Tender Offer, the parties shall use commercially reasonable efforts to agree on such amount on or prior to the Merger Event Date or Tender Offer Date, as the case may be”; and</w:t>
      </w:r>
    </w:p>
    <w:p>
      <w:pPr>
        <w:spacing w:after="0" w:line="67"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Dividend” (as such term is used in the Equity Definitions) means any cash dividend on the Shares.</w:t>
      </w:r>
    </w:p>
    <w:p>
      <w:pPr>
        <w:spacing w:after="0" w:line="22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Exclusive Jurisdiction</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4" w:firstLine="419"/>
        <w:spacing w:after="0" w:line="262" w:lineRule="auto"/>
        <w:tabs>
          <w:tab w:leader="none" w:pos="641" w:val="left"/>
        </w:tabs>
        <w:numPr>
          <w:ilvl w:val="1"/>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68" w:lineRule="exact"/>
        <w:rPr>
          <w:rFonts w:ascii="Times New Roman" w:cs="Times New Roman" w:eastAsia="Times New Roman" w:hAnsi="Times New Roman"/>
          <w:sz w:val="18"/>
          <w:szCs w:val="18"/>
          <w:b w:val="1"/>
          <w:bCs w:val="1"/>
          <w:color w:val="auto"/>
        </w:rPr>
      </w:pPr>
    </w:p>
    <w:p>
      <w:pPr>
        <w:ind w:left="684" w:hanging="261"/>
        <w:spacing w:after="0"/>
        <w:tabs>
          <w:tab w:leader="none" w:pos="684" w:val="left"/>
        </w:tabs>
        <w:numPr>
          <w:ilvl w:val="1"/>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13(b) of the Agreement is deleted in its entirety and replaced by the following:</w:t>
      </w:r>
    </w:p>
    <w:p>
      <w:pPr>
        <w:spacing w:after="0" w:line="117" w:lineRule="exact"/>
        <w:rPr>
          <w:sz w:val="20"/>
          <w:szCs w:val="20"/>
          <w:color w:val="auto"/>
        </w:rPr>
      </w:pPr>
    </w:p>
    <w:p>
      <w:pPr>
        <w:ind w:left="4"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“Each party hereby irrevocably and unconditionally submits for itself and its property in any suit, legal action or proceeding relating to this Confirmation or the Agreement, or for recognition and enforcement of any judgment in respect thereof, (each, “Proceedings”) to the exclusive jurisdiction of the Supreme Court of the State of New York, sitting in New York County, the courts of the United States of America for the Southern District of New York and appellate courts from any thereof. Nothing in this Confirmation or the Agreement precludes either party from bringing Proceedings in any other jurisdiction if (A) the courts of the State of New York or the United States of America for the Southern District of New York lack jurisdiction over the parties or the subject matter of the Proceedings or decline to accept the Proceedings on the grounds of lacking such jurisdiction; (B) the Proceedings are commenced by a party for the purpose of enforcing against the other party’s property, assets or estate any decision or judgment rendered by any court in which Proceedings may be brought as provided hereunder; (C) the Proceedings are commenced to appeal any such court’s decision or judgment to any higher court with competent appellate jurisdiction over that court’s decisions or judgments if that higher court is located outside the State of New York or Borough of Manhattan, such as a federal court of appeals or the U.S. Supreme Court; or (D) any suit, action or proceeding has been commenced in another jurisdiction by or against the other party or against its property, assets or estate and, in order to exercise or protect its rights, interests or remedies under this Confirmation or the Agreement, the party (1) joins, files a claim, or takes any other action, in any such suit, action or proceeding, or (2) otherwise commences any Proceeding in that other jurisdiction as the result of that other suit, action or proceeding having commenced in that other jurisdiction.”</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150" w:name="page151"/>
    <w:bookmarkEnd w:id="150"/>
    <w:p>
      <w:pPr>
        <w:ind w:left="4" w:right="60" w:firstLine="436"/>
        <w:spacing w:after="0" w:line="261" w:lineRule="auto"/>
        <w:tabs>
          <w:tab w:leader="none" w:pos="69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w:t>
      </w:r>
      <w:r>
        <w:rPr>
          <w:rFonts w:ascii="Times New Roman" w:cs="Times New Roman" w:eastAsia="Times New Roman" w:hAnsi="Times New Roman"/>
          <w:sz w:val="18"/>
          <w:szCs w:val="18"/>
          <w:color w:val="auto"/>
        </w:rPr>
        <w:t>. For the avoidance of doubt, whenever the Calculation Agent, Hedging Party or Determining Party is called upon to make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calculation, determination or adjustment pursuant to the terms of this Confirmation or the Equity Definitions to take into account the effect of an event, the Calculation Agent, Hedging Party or Determining Party shall make such calculation, determination or adjustment by reference to the effect of such event on Dealer, assuming that the Dealer maintains a commercially reasonable hedge position.</w:t>
      </w:r>
    </w:p>
    <w:p>
      <w:pPr>
        <w:spacing w:after="0" w:line="179"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9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or Receipt of Cash</w:t>
      </w:r>
      <w:r>
        <w:rPr>
          <w:rFonts w:ascii="Times New Roman" w:cs="Times New Roman" w:eastAsia="Times New Roman" w:hAnsi="Times New Roman"/>
          <w:sz w:val="18"/>
          <w:szCs w:val="18"/>
          <w:color w:val="auto"/>
        </w:rPr>
        <w:t>. For the avoidance of doubt, other than payment of the Premium by Counterparty, nothing in this Confirmation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interpreted as requiring Counterparty to cash settle the Transaction, except in circumstances where cash settlement is within Counterparty’s control (including, without limitation, where Counterparty elects to deliver or receive cash) or in those circumstances in which all holders of Shares would also receive cash.</w:t>
      </w:r>
    </w:p>
    <w:p>
      <w:pPr>
        <w:spacing w:after="0" w:line="17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EACH PARTY HEREBY IRREVOCABLY WAIVES ANY AND ALL RIGHTS TO TRIAL BY JURY WITH</w:t>
      </w:r>
    </w:p>
    <w:p>
      <w:pPr>
        <w:spacing w:after="0" w:line="31" w:lineRule="exact"/>
        <w:rPr>
          <w:rFonts w:ascii="Times New Roman" w:cs="Times New Roman" w:eastAsia="Times New Roman" w:hAnsi="Times New Roman"/>
          <w:sz w:val="18"/>
          <w:szCs w:val="18"/>
          <w:color w:val="auto"/>
        </w:rPr>
      </w:pPr>
    </w:p>
    <w:p>
      <w:pPr>
        <w:ind w:left="4"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RESPECT TO ANY LEGAL PROCEEDING ARISING OUT OF OR RELATING TO THE AGREEMENT, THIS CONFIRMATION OR ANY TRANSACTIONS CONTEMPLATED HEREBY.</w:t>
      </w:r>
    </w:p>
    <w:p>
      <w:pPr>
        <w:spacing w:after="0" w:line="179" w:lineRule="exact"/>
        <w:rPr>
          <w:rFonts w:ascii="Times New Roman" w:cs="Times New Roman" w:eastAsia="Times New Roman" w:hAnsi="Times New Roman"/>
          <w:sz w:val="18"/>
          <w:szCs w:val="18"/>
          <w:color w:val="auto"/>
        </w:rPr>
      </w:pPr>
    </w:p>
    <w:p>
      <w:pPr>
        <w:ind w:left="4" w:right="100" w:firstLine="436"/>
        <w:spacing w:after="0" w:line="284" w:lineRule="auto"/>
        <w:tabs>
          <w:tab w:leader="none" w:pos="66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This Confirmation and the Agreement may not be modified, amended or supplemented, except in a written instrument signed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and Dealer.</w:t>
      </w:r>
    </w:p>
    <w:p>
      <w:pPr>
        <w:spacing w:after="0" w:line="158"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7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Confirmation may be executed in several counterparts, each of which shall be deemed an original but all of which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constitute one and the same instrument. Delivery of an executed signature page by electronic transmission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“pdf” or “tif”), or any electronic signature complying with the U.S. federal ESIGN Act of 2000, Uniform Electronic Transactions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shall be effective as delivery of a manually executed counterpart hereof.</w:t>
      </w:r>
    </w:p>
    <w:p>
      <w:pPr>
        <w:spacing w:after="0" w:line="18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Payee Tax Representations.</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Section 3(f) of the Agreement, Counterparty makes the following representation to Dealer:</w:t>
      </w:r>
    </w:p>
    <w:p>
      <w:pPr>
        <w:spacing w:after="0" w:line="117" w:lineRule="exact"/>
        <w:rPr>
          <w:sz w:val="20"/>
          <w:szCs w:val="20"/>
          <w:color w:val="auto"/>
        </w:rPr>
      </w:pPr>
    </w:p>
    <w:p>
      <w:pPr>
        <w:ind w:left="444" w:right="80"/>
        <w:spacing w:after="0" w:line="266" w:lineRule="auto"/>
        <w:rPr>
          <w:sz w:val="20"/>
          <w:szCs w:val="20"/>
          <w:color w:val="auto"/>
        </w:rPr>
      </w:pPr>
      <w:r>
        <w:rPr>
          <w:rFonts w:ascii="Times New Roman" w:cs="Times New Roman" w:eastAsia="Times New Roman" w:hAnsi="Times New Roman"/>
          <w:sz w:val="18"/>
          <w:szCs w:val="18"/>
          <w:color w:val="auto"/>
        </w:rPr>
        <w:t>Counterparty is a “U.S. person” (as that term is used in section 1.1441-4(a)(3)(ii) of the U.S. Treasury Regulations) for U.S. federal income tax purposes and “exempt” within the meaning of sections 1.6041-3(p) and 1.6049-4(c) of the U.S. Treasury Regulations from information reporting on U.S. Internal Revenue Service Form 1099 and backup withholding.</w:t>
      </w:r>
    </w:p>
    <w:p>
      <w:pPr>
        <w:spacing w:after="0" w:line="68" w:lineRule="exact"/>
        <w:rPr>
          <w:sz w:val="20"/>
          <w:szCs w:val="20"/>
          <w:color w:val="auto"/>
        </w:rPr>
      </w:pPr>
    </w:p>
    <w:p>
      <w:pPr>
        <w:ind w:left="444" w:right="1840" w:firstLine="419"/>
        <w:spacing w:after="0" w:line="407" w:lineRule="auto"/>
        <w:tabs>
          <w:tab w:leader="none" w:pos="1132"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Section 3(f) of the Agreement, Dealer makes the following representations to Counterparty: [To come]</w:t>
      </w:r>
    </w:p>
    <w:p>
      <w:pPr>
        <w:spacing w:after="0" w:line="51" w:lineRule="exact"/>
        <w:rPr>
          <w:rFonts w:ascii="Times New Roman" w:cs="Times New Roman" w:eastAsia="Times New Roman" w:hAnsi="Times New Roman"/>
          <w:sz w:val="18"/>
          <w:szCs w:val="18"/>
          <w:color w:val="auto"/>
        </w:rPr>
      </w:pPr>
    </w:p>
    <w:p>
      <w:pPr>
        <w:ind w:left="4" w:firstLine="436"/>
        <w:spacing w:after="0" w:line="273" w:lineRule="auto"/>
        <w:tabs>
          <w:tab w:leader="none" w:pos="699"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Tax Matters. </w:t>
      </w:r>
      <w:r>
        <w:rPr>
          <w:rFonts w:ascii="Times New Roman" w:cs="Times New Roman" w:eastAsia="Times New Roman" w:hAnsi="Times New Roman"/>
          <w:sz w:val="17"/>
          <w:szCs w:val="17"/>
          <w:color w:val="auto"/>
        </w:rPr>
        <w:t>For the purpose of Sections 4(a)(i) and (ii) of the Agreement, Counterparty agrees to deliver to Dealer one duly executed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completed U.S. Internal Revenue Service Form W-9 (or successor thereto) and Dealer agrees to deliver to Counterparty one duly executed and completed U.S. Internal Revenue Service [ ] (or successor thereto). Such forms or documents shall be delivered upon (i) execution of this Confirmation,</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request of the other party and (iii) Counterparty or Dealer, as applicable, learning that any such form has become obsolete or incorrect.</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4"/>
          </w:cols>
          <w:pgMar w:left="436" w:top="268" w:right="519" w:bottom="1440" w:gutter="0" w:footer="0" w:header="0"/>
        </w:sectPr>
      </w:pPr>
    </w:p>
    <w:bookmarkStart w:id="151" w:name="page152"/>
    <w:bookmarkEnd w:id="151"/>
    <w:p>
      <w:pPr>
        <w:ind w:firstLine="436"/>
        <w:spacing w:after="0" w:line="257"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 Tax imposed on payments to non-US counterparties under the United States Foreign Account Tax Compliance Act</w:t>
      </w:r>
      <w:r>
        <w:rPr>
          <w:rFonts w:ascii="Times New Roman" w:cs="Times New Roman" w:eastAsia="Times New Roman" w:hAnsi="Times New Roman"/>
          <w:sz w:val="18"/>
          <w:szCs w:val="18"/>
          <w:color w:val="auto"/>
        </w:rPr>
        <w:t>. “Indemnifiable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82" w:lineRule="exact"/>
        <w:rPr>
          <w:rFonts w:ascii="Times New Roman" w:cs="Times New Roman" w:eastAsia="Times New Roman" w:hAnsi="Times New Roman"/>
          <w:sz w:val="18"/>
          <w:szCs w:val="18"/>
          <w:color w:val="auto"/>
        </w:rPr>
      </w:pPr>
    </w:p>
    <w:p>
      <w:pPr>
        <w:ind w:right="140" w:firstLine="436"/>
        <w:spacing w:after="0" w:line="261" w:lineRule="auto"/>
        <w:tabs>
          <w:tab w:leader="none" w:pos="73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HIRE Act. </w:t>
      </w:r>
      <w:r>
        <w:rPr>
          <w:rFonts w:ascii="Times New Roman" w:cs="Times New Roman" w:eastAsia="Times New Roman" w:hAnsi="Times New Roman"/>
          <w:sz w:val="18"/>
          <w:szCs w:val="18"/>
          <w:color w:val="auto"/>
        </w:rPr>
        <w:t>“Indemnifiable Tax”, as defined in Section 14 of the Agreement, shall not include any tax imposed on payments treated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from sources within the United States under Section 871(m) of the Code or any regulations issued thereunder (a “</w:t>
      </w:r>
      <w:r>
        <w:rPr>
          <w:rFonts w:ascii="Times New Roman" w:cs="Times New Roman" w:eastAsia="Times New Roman" w:hAnsi="Times New Roman"/>
          <w:sz w:val="18"/>
          <w:szCs w:val="18"/>
          <w:b w:val="1"/>
          <w:bCs w:val="1"/>
          <w:color w:val="auto"/>
        </w:rPr>
        <w:t>Section 871(m) Tax</w:t>
      </w:r>
      <w:r>
        <w:rPr>
          <w:rFonts w:ascii="Times New Roman" w:cs="Times New Roman" w:eastAsia="Times New Roman" w:hAnsi="Times New Roman"/>
          <w:sz w:val="18"/>
          <w:szCs w:val="18"/>
          <w:color w:val="auto"/>
        </w:rPr>
        <w:t>”). For the avoidance of doubt, a Section 871(m) Tax is a Tax the deduction or withholding of which is required by applicable law for the purposes of Section 2(d) of the Agreement</w:t>
      </w:r>
      <w:r>
        <w:rPr>
          <w:rFonts w:ascii="Times New Roman" w:cs="Times New Roman" w:eastAsia="Times New Roman" w:hAnsi="Times New Roman"/>
          <w:sz w:val="18"/>
          <w:szCs w:val="18"/>
          <w:i w:val="1"/>
          <w:iCs w:val="1"/>
          <w:color w:val="auto"/>
        </w:rPr>
        <w:t>.</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[Insert QFC Language, If Applicable.]</w:t>
      </w:r>
    </w:p>
    <w:p>
      <w:pPr>
        <w:spacing w:after="0" w:line="225" w:lineRule="exact"/>
        <w:rPr>
          <w:rFonts w:ascii="Times New Roman" w:cs="Times New Roman" w:eastAsia="Times New Roman" w:hAnsi="Times New Roman"/>
          <w:sz w:val="18"/>
          <w:szCs w:val="18"/>
          <w:color w:val="auto"/>
        </w:rPr>
      </w:pPr>
    </w:p>
    <w:p>
      <w:pPr>
        <w:ind w:right="40" w:firstLine="436"/>
        <w:spacing w:after="0" w:line="252"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CARES Act. </w:t>
      </w:r>
      <w:r>
        <w:rPr>
          <w:rFonts w:ascii="Times New Roman" w:cs="Times New Roman" w:eastAsia="Times New Roman" w:hAnsi="Times New Roman"/>
          <w:sz w:val="18"/>
          <w:szCs w:val="18"/>
          <w:color w:val="auto"/>
        </w:rPr>
        <w:t>Counterparty represents and warrants that it and any of its subsidiaries has not applied, and shall not, until after the first date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or other investment, or to receive any financial assistance or relief under any program or facility (collectively “</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 that (a) is established under applicable law (whether in existence as of the Trade Date or subsequently enacted, adopted or amended), including without limitation the CARES Act and the Federal Reserve Act, as amended, and (b) (i) requires under applicable law (or any regulation, guidance, interpretation or other pronouncement of a governmental authority with jurisdiction for such program or facility) as a condition of such Financial Assistance, that Counterparty comply with any requirement not to, or otherwise agree, attest, certify or warrant that it has not, as of the date specified in such condition, repurchased, or will not repurchase, any equity security of Counterparty, and that Counterparty has not, as of the date specified in the condition, made a capital distribution or will not make a capital distribution, or (ii) where the terms of the Transaction would cause Counterparty to fail to satisfy any condition for application for or receipt or retention of the Financial Assistance (collectively “</w:t>
      </w:r>
      <w:r>
        <w:rPr>
          <w:rFonts w:ascii="Times New Roman" w:cs="Times New Roman" w:eastAsia="Times New Roman" w:hAnsi="Times New Roman"/>
          <w:sz w:val="18"/>
          <w:szCs w:val="18"/>
          <w:b w:val="1"/>
          <w:bCs w:val="1"/>
          <w:color w:val="auto"/>
        </w:rPr>
        <w:t>Restricted Financial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or any of its subsidiaries may apply for Restricted Financial Assistance if Counterparty either (a) determines based on the advice of outside counsel of national standing that the terms of the Transaction would not cause Counterparty or any of its subsidiaries to fail to satisfy any condition for application for or receipt or retention of such Financial Assistance based on the terms of the program or facility as of the date of such advice or (b) delivers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18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[Insert additional Dealer boilerplate, if applicable.]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152" w:name="page153"/>
    <w:bookmarkEnd w:id="152"/>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that the foregoing correctly sets forth the terms of our agreement by executing this Confirmation and returning it to Dealer.</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400"/>
          </w:cols>
          <w:pgMar w:left="440" w:top="270" w:right="105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[Form of Guarantee]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020"/>
          </w:cols>
          <w:pgMar w:left="1440" w:top="270" w:right="439" w:bottom="1440" w:gutter="0" w:footer="0" w:header="0"/>
        </w:sectPr>
      </w:pPr>
    </w:p>
    <w:bookmarkStart w:id="154" w:name="page155"/>
    <w:bookmarkEnd w:id="154"/>
    <w:p>
      <w:pPr>
        <w:ind w:left="5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Component of the Transaction, the Number of Options and Expiration Date is set forth below.</w:t>
      </w:r>
    </w:p>
    <w:p>
      <w:pPr>
        <w:spacing w:after="0" w:line="248" w:lineRule="exact"/>
        <w:rPr>
          <w:sz w:val="20"/>
          <w:szCs w:val="20"/>
          <w:color w:val="auto"/>
        </w:rPr>
      </w:pPr>
    </w:p>
    <w:p>
      <w:pPr>
        <w:jc w:val="right"/>
        <w:ind w:right="259"/>
        <w:spacing w:after="0"/>
        <w:tabs>
          <w:tab w:leader="none" w:pos="4560" w:val="left"/>
          <w:tab w:leader="none" w:pos="880" w:val="left"/>
        </w:tabs>
        <w:rPr>
          <w:sz w:val="20"/>
          <w:szCs w:val="20"/>
          <w:color w:val="auto"/>
        </w:rPr>
      </w:pPr>
      <w:r>
        <w:rPr>
          <w:rFonts w:ascii="Times New Roman" w:cs="Times New Roman" w:eastAsia="Times New Roman" w:hAnsi="Times New Roman"/>
          <w:sz w:val="14"/>
          <w:szCs w:val="14"/>
          <w:u w:val="single" w:color="auto"/>
          <w:color w:val="auto"/>
        </w:rPr>
        <w:t>Component Number</w:t>
      </w:r>
      <w:r>
        <w:rPr>
          <w:sz w:val="20"/>
          <w:szCs w:val="20"/>
          <w:color w:val="auto"/>
        </w:rPr>
        <w:tab/>
      </w:r>
      <w:r>
        <w:rPr>
          <w:rFonts w:ascii="Times New Roman" w:cs="Times New Roman" w:eastAsia="Times New Roman" w:hAnsi="Times New Roman"/>
          <w:sz w:val="14"/>
          <w:szCs w:val="14"/>
          <w:color w:val="auto"/>
        </w:rPr>
        <w:t>Number of Options</w:t>
      </w:r>
      <w:r>
        <w:rPr>
          <w:sz w:val="20"/>
          <w:szCs w:val="20"/>
          <w:color w:val="auto"/>
        </w:rPr>
        <w:tab/>
      </w:r>
      <w:r>
        <w:rPr>
          <w:rFonts w:ascii="Times New Roman" w:cs="Times New Roman" w:eastAsia="Times New Roman" w:hAnsi="Times New Roman"/>
          <w:sz w:val="14"/>
          <w:szCs w:val="14"/>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15240</wp:posOffset>
            </wp:positionV>
            <wp:extent cx="44659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1</w:t>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4</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5</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8</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9</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10</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11</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12</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13</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14</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15</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16</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17</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18</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19</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20</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019"/>
          </w:cols>
          <w:pgMar w:left="440" w:top="270" w:right="1440"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FOURTH AMENDMENT TO CREDIT AGREEMENT</w:t>
      </w:r>
    </w:p>
    <w:p>
      <w:pPr>
        <w:spacing w:after="0" w:line="22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This FOURTH AMENDMENT TO CREDIT AGREEMENT, dated as of June 30,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by and among Tempus AI, Inc., a Delaware corporation (f/k/a Tempus Labs,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other Loan Party signatory hereto, Ares Capital Corporation, as administrative agent for the Lenders party to the Credit Agreement referred to below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ACF Finco I LP, as revolving agent for the Lenders party to the Credit Agreement referred to below (in such capacity, the “</w:t>
      </w:r>
      <w:r>
        <w:rPr>
          <w:rFonts w:ascii="Times New Roman" w:cs="Times New Roman" w:eastAsia="Times New Roman" w:hAnsi="Times New Roman"/>
          <w:sz w:val="18"/>
          <w:szCs w:val="18"/>
          <w:u w:val="single" w:color="auto"/>
          <w:color w:val="auto"/>
        </w:rPr>
        <w:t>Revolving Agent</w:t>
      </w:r>
      <w:r>
        <w:rPr>
          <w:rFonts w:ascii="Times New Roman" w:cs="Times New Roman" w:eastAsia="Times New Roman" w:hAnsi="Times New Roman"/>
          <w:sz w:val="18"/>
          <w:szCs w:val="18"/>
          <w:color w:val="auto"/>
        </w:rPr>
        <w:t>”; the Revolving Agent together with the Administrative Agent,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and the Lenders signatory hereto (constituting at least the Required Lenders party to the Existing Credit Agreement immediately prior to the Fourth Amendment Effective Date), each in their individual capacity as a Lender under the Credit Agreement.</w:t>
      </w:r>
    </w:p>
    <w:p>
      <w:pPr>
        <w:spacing w:after="0" w:line="18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WHEREAS, reference is hereby made to the Credit Agreement, dated as of September 22, 2022 (as amended, restated, amended and restated, supplemented or otherwise modified from time to time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the Lenders party thereto from time to time, the Agents, and Ares Capital Management LLC, as Lead Arranger and Bookrunner;</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WHEREAS, the Borrower has requested that the Lenders and the Agents agree to certain amendments to the Existing Credit Agreement as set forth herein; and</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Amendment, the Lenders (constituting all Lenders party to the Existing Credit Agreement immediately prior to the Fourth Amendment Effective Date) signatory hereto and the Agents have agreed to make such amendments to the Existing Credit Agreement as more fully set forth herein.</w:t>
      </w:r>
    </w:p>
    <w:p>
      <w:pPr>
        <w:spacing w:after="0" w:line="176"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agreements, provisions and covenants herein contained, the parties hereto agree as follows:</w:t>
      </w:r>
    </w:p>
    <w:p>
      <w:pPr>
        <w:spacing w:after="0" w:line="54"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Unless otherwise specifically defined herein, each capitalized term used herein has the meaning assigned to such term in the Credit Agreement.</w:t>
      </w:r>
    </w:p>
    <w:p>
      <w:pPr>
        <w:spacing w:after="0" w:line="162"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 to Existing Credit Agreement</w:t>
      </w:r>
      <w:r>
        <w:rPr>
          <w:rFonts w:ascii="Times New Roman" w:cs="Times New Roman" w:eastAsia="Times New Roman" w:hAnsi="Times New Roman"/>
          <w:sz w:val="18"/>
          <w:szCs w:val="18"/>
          <w:color w:val="auto"/>
        </w:rPr>
        <w:t xml:space="preserve">. Subject to the satisfaction of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herein, on and as of the Fourth Amendment Effective Date (as defined below), and in reliance upon the representations and warranties of the Loan Parties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the Existing Credit Agreement is hereby amended to delete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to add the double-underlined text (indicated textually in the same manner as the following example: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double-underlined text</w:t>
      </w:r>
      <w:r>
        <w:rPr>
          <w:rFonts w:ascii="Times New Roman" w:cs="Times New Roman" w:eastAsia="Times New Roman" w:hAnsi="Times New Roman"/>
          <w:sz w:val="18"/>
          <w:szCs w:val="18"/>
          <w:color w:val="000000"/>
        </w:rPr>
        <w:t>), and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move the green text (indicated textually in the same manner as the following examples: </w:t>
      </w:r>
      <w:r>
        <w:rPr>
          <w:rFonts w:ascii="Times New Roman" w:cs="Times New Roman" w:eastAsia="Times New Roman" w:hAnsi="Times New Roman"/>
          <w:sz w:val="18"/>
          <w:szCs w:val="18"/>
          <w:b w:val="1"/>
          <w:bCs w:val="1"/>
          <w:color w:val="008000"/>
          <w:strike w:val="1"/>
        </w:rPr>
        <w:t>moved text</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b w:val="1"/>
          <w:bCs w:val="1"/>
          <w:color w:val="008000"/>
        </w:rPr>
        <w:t>moved text</w:t>
      </w:r>
      <w:r>
        <w:rPr>
          <w:rFonts w:ascii="Times New Roman" w:cs="Times New Roman" w:eastAsia="Times New Roman" w:hAnsi="Times New Roman"/>
          <w:sz w:val="18"/>
          <w:szCs w:val="18"/>
          <w:color w:val="000000"/>
        </w:rPr>
        <w:t xml:space="preserve">), in each case, as set forth in the pages of the Credit Agreement attached as </w:t>
      </w:r>
      <w:r>
        <w:rPr>
          <w:rFonts w:ascii="Times New Roman" w:cs="Times New Roman" w:eastAsia="Times New Roman" w:hAnsi="Times New Roman"/>
          <w:sz w:val="18"/>
          <w:szCs w:val="18"/>
          <w:u w:val="single" w:color="auto"/>
          <w:color w:val="000000"/>
        </w:rPr>
        <w:t>Annex A</w:t>
      </w:r>
      <w:r>
        <w:rPr>
          <w:rFonts w:ascii="Times New Roman" w:cs="Times New Roman" w:eastAsia="Times New Roman" w:hAnsi="Times New Roman"/>
          <w:sz w:val="18"/>
          <w:szCs w:val="18"/>
          <w:color w:val="000000"/>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5269230</wp:posOffset>
            </wp:positionH>
            <wp:positionV relativeFrom="paragraph">
              <wp:posOffset>-271780</wp:posOffset>
            </wp:positionV>
            <wp:extent cx="11144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Loan Party hereby represents and warrants to the Agents and each Lender that on the date hereof:</w:t>
      </w:r>
    </w:p>
    <w:p>
      <w:pPr>
        <w:spacing w:after="0" w:line="117" w:lineRule="exact"/>
        <w:rPr>
          <w:sz w:val="20"/>
          <w:szCs w:val="20"/>
          <w:color w:val="auto"/>
        </w:rPr>
      </w:pPr>
    </w:p>
    <w:p>
      <w:pPr>
        <w:ind w:left="440" w:right="40" w:firstLine="419"/>
        <w:spacing w:after="0" w:line="255" w:lineRule="auto"/>
        <w:tabs>
          <w:tab w:leader="none" w:pos="110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(i) is duly organized or formed, validly existing and in good standing under the laws of the jurisdiction of its incorporation or organization, (ii) has the power and authority and all governmental rights, qualifications, approvals, authorizations, permits, accreditations, licenses and franchises material to the business of such Loan Party taken as a whole that are necessary to own its assets, to carry on its business as now conducted and as proposed to be conducted and to execute, deliver and perform its obligations under this Amendment and</w:t>
      </w:r>
    </w:p>
    <w:p>
      <w:pPr>
        <w:spacing w:after="0" w:line="2" w:lineRule="exact"/>
        <w:rPr>
          <w:rFonts w:ascii="Times New Roman" w:cs="Times New Roman" w:eastAsia="Times New Roman" w:hAnsi="Times New Roman"/>
          <w:sz w:val="18"/>
          <w:szCs w:val="18"/>
          <w:color w:val="auto"/>
        </w:rPr>
      </w:pPr>
    </w:p>
    <w:p>
      <w:pPr>
        <w:ind w:left="440" w:hanging="4"/>
        <w:spacing w:after="0" w:line="260" w:lineRule="auto"/>
        <w:tabs>
          <w:tab w:leader="none" w:pos="7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do so, individually or in the aggregate, is not reasonably likely to result in a Material Adverse Effect, is qualified to do business in, and is in good standing in, every jurisdiction where such qualification is required;</w:t>
      </w:r>
    </w:p>
    <w:p>
      <w:pPr>
        <w:sectPr>
          <w:pgSz w:w="11900" w:h="16838" w:orient="portrait"/>
          <w:cols w:equalWidth="0" w:num="1">
            <w:col w:w="11020"/>
          </w:cols>
          <w:pgMar w:left="440" w:top="117" w:right="439" w:bottom="1440" w:gutter="0" w:footer="0" w:header="0"/>
        </w:sectPr>
      </w:pPr>
    </w:p>
    <w:bookmarkStart w:id="156" w:name="page157"/>
    <w:bookmarkEnd w:id="156"/>
    <w:p>
      <w:pPr>
        <w:ind w:right="600" w:firstLine="419"/>
        <w:spacing w:after="0" w:line="282" w:lineRule="auto"/>
        <w:tabs>
          <w:tab w:leader="none" w:pos="67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Loan Party is duly authorized by all necessary corporate or other action and, if required, stockholder action to enter into this Amendment;</w:t>
      </w:r>
    </w:p>
    <w:p>
      <w:pPr>
        <w:spacing w:after="0" w:line="53" w:lineRule="exact"/>
        <w:rPr>
          <w:rFonts w:ascii="Times New Roman" w:cs="Times New Roman" w:eastAsia="Times New Roman" w:hAnsi="Times New Roman"/>
          <w:sz w:val="18"/>
          <w:szCs w:val="18"/>
          <w:color w:val="auto"/>
        </w:rPr>
      </w:pPr>
    </w:p>
    <w:p>
      <w:pPr>
        <w:ind w:right="260" w:firstLine="419"/>
        <w:spacing w:after="0" w:line="289" w:lineRule="auto"/>
        <w:tabs>
          <w:tab w:leader="none" w:pos="66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executed and delivered by such Loan Party, this Amendment will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49" w:lineRule="exact"/>
        <w:rPr>
          <w:rFonts w:ascii="Times New Roman" w:cs="Times New Roman" w:eastAsia="Times New Roman" w:hAnsi="Times New Roman"/>
          <w:sz w:val="17"/>
          <w:szCs w:val="17"/>
          <w:color w:val="auto"/>
        </w:rPr>
      </w:pPr>
    </w:p>
    <w:p>
      <w:pPr>
        <w:ind w:firstLine="419"/>
        <w:spacing w:after="0" w:line="253" w:lineRule="auto"/>
        <w:tabs>
          <w:tab w:leader="none" w:pos="67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Loan Party of this Amendment and each other Loan Document to which it is a party, and the Borrowings by the Borrower under the Credit Agreement (as amended by this Amendment) (i) do not require any consent or approval of, registration or filing with, or any other action by, any Governmental Authority, except such as have been obtained or made and are in full force and effect and except those that are required or permitted to be obtained following consummation of the transactions contemplated by this Amendment, the absence of which individually or in the aggregate are not reasonably likely to result in a Material Adverse Effect and filings necessary to perfect Liens created under the Loan Documents, (ii) will not violate any Requirement of Law applicable to such Loan Party, (iii) will not violate or result in a default under any indenture or other material agreement or instrument binding upon such Loan Party or any of its assets, or give rise to a right thereunder to require any payment to be made by such Loan Party or give rise to a right of, or result in, termination, cancellation or acceleration of any material obligation thereunder, (iv) will not result in the creation or imposition of any Lien on any asset of such Loan Party, except Liens created under the Loan Documents and (v) will not violate any judgment, order, decree or injunction that is binding upon such Loan Party or any of their respective properties;</w:t>
      </w:r>
    </w:p>
    <w:p>
      <w:pPr>
        <w:spacing w:after="0" w:line="83" w:lineRule="exact"/>
        <w:rPr>
          <w:rFonts w:ascii="Times New Roman" w:cs="Times New Roman" w:eastAsia="Times New Roman" w:hAnsi="Times New Roman"/>
          <w:sz w:val="18"/>
          <w:szCs w:val="18"/>
          <w:color w:val="auto"/>
        </w:rPr>
      </w:pPr>
    </w:p>
    <w:p>
      <w:pPr>
        <w:ind w:right="20" w:firstLine="419"/>
        <w:spacing w:after="0" w:line="254" w:lineRule="auto"/>
        <w:tabs>
          <w:tab w:leader="none" w:pos="66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Fourth Amendment Effective Date, (a) the fair value of the assets of the Borrower, and its subsidiaries, on a consolidated basis, at fair valuation,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the Borrower and its subsidiaries, on a consolidated basis, are able to pay their debts and liabilities, subordinated, contingent or otherwise, as such liabilities become absolute and matured and (d) the Borrower and its subsidiaries, on a consolidated basis, do not have unreasonably small capital with which to conduct the business in which they are engaged as such business is now conducted and is proposed to be conducted after the Fourth Amendment Effective Date;</w:t>
      </w:r>
    </w:p>
    <w:p>
      <w:pPr>
        <w:spacing w:after="0" w:line="83" w:lineRule="exact"/>
        <w:rPr>
          <w:rFonts w:ascii="Times New Roman" w:cs="Times New Roman" w:eastAsia="Times New Roman" w:hAnsi="Times New Roman"/>
          <w:sz w:val="18"/>
          <w:szCs w:val="18"/>
          <w:color w:val="auto"/>
        </w:rPr>
      </w:pPr>
    </w:p>
    <w:p>
      <w:pPr>
        <w:ind w:right="220" w:firstLine="419"/>
        <w:spacing w:after="0" w:line="282" w:lineRule="auto"/>
        <w:tabs>
          <w:tab w:leader="none" w:pos="64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or would result from the consummation of the transactions contemplated by this Amendment; and</w:t>
      </w:r>
    </w:p>
    <w:p>
      <w:pPr>
        <w:spacing w:after="0" w:line="53" w:lineRule="exact"/>
        <w:rPr>
          <w:rFonts w:ascii="Times New Roman" w:cs="Times New Roman" w:eastAsia="Times New Roman" w:hAnsi="Times New Roman"/>
          <w:sz w:val="18"/>
          <w:szCs w:val="18"/>
          <w:color w:val="auto"/>
        </w:rPr>
      </w:pPr>
    </w:p>
    <w:p>
      <w:pPr>
        <w:ind w:right="100" w:firstLine="419"/>
        <w:spacing w:after="0" w:line="256" w:lineRule="auto"/>
        <w:tabs>
          <w:tab w:leader="none" w:pos="67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such Loan Party set forth in the Credit Agreement and the other Loan Documents are true and correct in all material respects (except to the extent any such representation or warranty is qualified by “materially”, “Material Adverse Effect” or a similar term, in which case such representation and warranty shall be true and correct in all respects) on and as of the date of hereof, except to the extent such representations and warranties expressly relate to an earlier date (in which case such representations and warranties shall be true and correct in all material respects (except to the extent any such representation or warranty is qualified by “materially”, “Material Adverse Effect” or a similar term, in which case such representation and warranty shall be true and correct in all respects) as of such earlier date).</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80" w:top="270" w:right="439" w:bottom="1440" w:gutter="0" w:footer="0" w:header="0"/>
        </w:sectPr>
      </w:pPr>
    </w:p>
    <w:bookmarkStart w:id="157" w:name="page158"/>
    <w:bookmarkEnd w:id="157"/>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shall become effective on the first date (the “</w:t>
      </w:r>
      <w:r>
        <w:rPr>
          <w:rFonts w:ascii="Times New Roman" w:cs="Times New Roman" w:eastAsia="Times New Roman" w:hAnsi="Times New Roman"/>
          <w:sz w:val="18"/>
          <w:szCs w:val="18"/>
          <w:u w:val="single" w:color="auto"/>
          <w:color w:val="auto"/>
        </w:rPr>
        <w:t>Fourth Amendment Effective Date</w:t>
      </w:r>
      <w:r>
        <w:rPr>
          <w:rFonts w:ascii="Times New Roman" w:cs="Times New Roman" w:eastAsia="Times New Roman" w:hAnsi="Times New Roman"/>
          <w:sz w:val="18"/>
          <w:szCs w:val="18"/>
          <w:color w:val="auto"/>
        </w:rPr>
        <w:t>”) when, and only when, each of the applicable conditions set forth below have been satisfied (or waived) in accordance with the terms herein:</w:t>
      </w:r>
    </w:p>
    <w:p>
      <w:pPr>
        <w:spacing w:after="0" w:line="54" w:lineRule="exact"/>
        <w:rPr>
          <w:sz w:val="20"/>
          <w:szCs w:val="20"/>
          <w:color w:val="auto"/>
        </w:rPr>
      </w:pPr>
    </w:p>
    <w:p>
      <w:pPr>
        <w:ind w:left="444" w:right="60" w:firstLine="419"/>
        <w:spacing w:after="0" w:line="282" w:lineRule="auto"/>
        <w:tabs>
          <w:tab w:leader="none" w:pos="111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the Borrower, each other Loan Party, the Revolving Agent and each Lender signatory hereto a counterpart to this Amendment, duly executed and delivered on behalf of such party;</w:t>
      </w:r>
    </w:p>
    <w:p>
      <w:pPr>
        <w:spacing w:after="0" w:line="53" w:lineRule="exact"/>
        <w:rPr>
          <w:rFonts w:ascii="Times New Roman" w:cs="Times New Roman" w:eastAsia="Times New Roman" w:hAnsi="Times New Roman"/>
          <w:sz w:val="18"/>
          <w:szCs w:val="18"/>
          <w:color w:val="auto"/>
        </w:rPr>
      </w:pPr>
    </w:p>
    <w:p>
      <w:pPr>
        <w:ind w:left="444" w:right="40" w:firstLine="419"/>
        <w:spacing w:after="0" w:line="282" w:lineRule="auto"/>
        <w:tabs>
          <w:tab w:leader="none" w:pos="112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each of the items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attached hereto, in each case, in form and substance reasonably acceptable to the Administrative Agent;</w:t>
      </w:r>
    </w:p>
    <w:p>
      <w:pPr>
        <w:spacing w:after="0" w:line="53" w:lineRule="exact"/>
        <w:rPr>
          <w:rFonts w:ascii="Times New Roman" w:cs="Times New Roman" w:eastAsia="Times New Roman" w:hAnsi="Times New Roman"/>
          <w:sz w:val="18"/>
          <w:szCs w:val="18"/>
          <w:color w:val="auto"/>
        </w:rPr>
      </w:pPr>
    </w:p>
    <w:p>
      <w:pPr>
        <w:ind w:left="444" w:firstLine="419"/>
        <w:spacing w:after="0" w:line="261" w:lineRule="auto"/>
        <w:tabs>
          <w:tab w:leader="none" w:pos="111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all fees and amounts due and payable on or prior to the Fourth Amendment Effective Date pursuant to the Loan Documents (in the case of expenses and reimbursement or payment of all reasonable and documented out-of-pocket expenses including reasonable fees, charges and disbursements of outside counsel), to the extent invoiced at least three (3) Business Day prior to the Fourth Amendment Effective Date required to be paid or reimbursed by any Loan Party;</w:t>
      </w:r>
    </w:p>
    <w:p>
      <w:pPr>
        <w:spacing w:after="0" w:line="71"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truth and accuracy of the representations and warranties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and</w:t>
      </w:r>
    </w:p>
    <w:p>
      <w:pPr>
        <w:spacing w:after="0" w:line="117" w:lineRule="exact"/>
        <w:rPr>
          <w:rFonts w:ascii="Times New Roman" w:cs="Times New Roman" w:eastAsia="Times New Roman" w:hAnsi="Times New Roman"/>
          <w:sz w:val="18"/>
          <w:szCs w:val="18"/>
          <w:color w:val="auto"/>
        </w:rPr>
      </w:pPr>
    </w:p>
    <w:p>
      <w:pPr>
        <w:ind w:left="444" w:right="820" w:firstLine="419"/>
        <w:spacing w:after="0" w:line="282" w:lineRule="auto"/>
        <w:tabs>
          <w:tab w:leader="none" w:pos="111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after giving effect to this Amendment, no Default or Event of Default shall have occurred and be continuing.</w:t>
      </w:r>
    </w:p>
    <w:p>
      <w:pPr>
        <w:spacing w:after="0" w:line="162"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Effect of Amendment; Reaffirmation and Ratification of Obligations; Etc.</w:t>
      </w:r>
      <w:r>
        <w:rPr>
          <w:rFonts w:ascii="Times New Roman" w:cs="Times New Roman" w:eastAsia="Times New Roman" w:hAnsi="Times New Roman"/>
          <w:sz w:val="17"/>
          <w:szCs w:val="17"/>
          <w:color w:val="auto"/>
        </w:rPr>
        <w:t xml:space="preserve"> Except as expressly set forth herein or in the Credit Agreement, this Amendment shall not by implication or otherwise limit, impair, constitute a waiver of or otherwise affect the rights and remedies of the Lenders or the Agents under the Credit Agreement or under any other Loan Document or constitute a course of conduct or dealing among the parties, and shall not alter, modify, amend or in any way affect any of the terms, conditions, obligations, covenants or agreements contained in the Credit Agreement or any other provision of the Credit Agreement or of any Loan Document, all of which are ratified and affirmed in all respects and shall continue in full force and effect after giving effect hereto. Each Loan Party hereby (a) acknowledges and agrees that the Credit Agreement and each other Loan Document to which it is a party is hereby confirmed and ratified and shall remain in full force and effect according to its respective terms,</w:t>
      </w:r>
    </w:p>
    <w:p>
      <w:pPr>
        <w:spacing w:after="0" w:line="2" w:lineRule="exact"/>
        <w:rPr>
          <w:sz w:val="20"/>
          <w:szCs w:val="20"/>
          <w:color w:val="auto"/>
        </w:rPr>
      </w:pPr>
    </w:p>
    <w:p>
      <w:pPr>
        <w:ind w:left="4" w:right="100" w:hanging="4"/>
        <w:spacing w:after="0" w:line="251" w:lineRule="auto"/>
        <w:tabs>
          <w:tab w:leader="none" w:pos="2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ratifies and reaffirms the validity and enforceability of the appointment of the Collateral Agent as its proxy and attorney-in-fact under each applicable Loan Document and, as of the date hereof without in any way impairing any previous appointment, reappoints the Collateral Agent as its proxy and attorney-in-fact in accordance with the terms of such applicable Loan Documents, which appointment (i) is IRREVOCABLE (which shall survive the bankruptcy, dissolution or winding up of such Loan Party), (ii) shall remain valid and in full force and effect until the repayment in full of the Obligations, (iii) is coupled with an interest and (iv) is granted for the purpose of carrying out the provisions of the Loan Documents, as applicable. On and as of the Fourth Amendment Effective Date, each reference in the Credit Agreement to “this Agreement,” “hereof,” “hereunder,” “herein” and “hereby” and each other similar reference, and each reference in any Loan Document to “the Credit Agreement,” “thereof,” “thereunder,” “therein” or “thereby” or any other similar reference to the Credit Agreement shall refer to the Credit Agreement as amended by this Amendment. This Amendment constitutes a Loan Document.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58" w:name="page159"/>
    <w:bookmarkEnd w:id="158"/>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used in this Amendment are for convenience only and shall not affect the construction of this Amendment.</w:t>
      </w:r>
    </w:p>
    <w:p>
      <w:pPr>
        <w:spacing w:after="0" w:line="223"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Amendment shall be construed in accordance with and governed by the laws of the State of New York. The provisions of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(d) and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are incorporated herein by reference,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and the parties hereto agree to such terms.</w:t>
      </w:r>
    </w:p>
    <w:p>
      <w:pPr>
        <w:spacing w:after="0" w:line="1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(and by different parties hereto on different counterparts), each of which shall constitute an original, but all of which when taken together shall constitute a single contract. This Amendment constitutes the entire contract among the parties relating to the subject matter hereof and supersede any and all previous agreements and understandings, oral or written, relating to the subject matter hereof. Delivery of an executed counterpart of a signature page of this Amendment by facsimile or electronic transmission shall be effective as delivery of a manually executed counterpart of this Amendment.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59" w:name="page160"/>
    <w:bookmarkEnd w:id="15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TEMPUS AI, INC., </w:t>
      </w:r>
      <w:r>
        <w:rPr>
          <w:rFonts w:ascii="Times New Roman" w:cs="Times New Roman" w:eastAsia="Times New Roman" w:hAnsi="Times New Roman"/>
          <w:sz w:val="18"/>
          <w:szCs w:val="18"/>
          <w:color w:val="auto"/>
        </w:rPr>
        <w:t>a Delaware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 and 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AMBRY GENETICS CORPORATION, </w:t>
      </w:r>
      <w:r>
        <w:rPr>
          <w:rFonts w:ascii="Times New Roman" w:cs="Times New Roman" w:eastAsia="Times New Roman" w:hAnsi="Times New Roman"/>
          <w:sz w:val="18"/>
          <w:szCs w:val="18"/>
          <w:color w:val="auto"/>
        </w:rPr>
        <w:t>a Delaware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Schoenherr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Tom Schoenherr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DEEP 6 AI INC.</w:t>
      </w:r>
      <w:r>
        <w:rPr>
          <w:rFonts w:ascii="Times New Roman" w:cs="Times New Roman" w:eastAsia="Times New Roman" w:hAnsi="Times New Roman"/>
          <w:sz w:val="18"/>
          <w:szCs w:val="18"/>
          <w:color w:val="auto"/>
        </w:rPr>
        <w:t>, a Delaware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GENOMESMART, INC., </w:t>
      </w:r>
      <w:r>
        <w:rPr>
          <w:rFonts w:ascii="Times New Roman" w:cs="Times New Roman" w:eastAsia="Times New Roman" w:hAnsi="Times New Roman"/>
          <w:sz w:val="18"/>
          <w:szCs w:val="18"/>
          <w:color w:val="auto"/>
        </w:rPr>
        <w:t>a Delaware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Schoenherr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Tom Schoenherr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GSLD HOLDINGS, LLC, </w:t>
      </w:r>
      <w:r>
        <w:rPr>
          <w:rFonts w:ascii="Times New Roman" w:cs="Times New Roman" w:eastAsia="Times New Roman" w:hAnsi="Times New Roman"/>
          <w:sz w:val="18"/>
          <w:szCs w:val="18"/>
          <w:color w:val="auto"/>
        </w:rPr>
        <w:t>a California limited liability</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Ambry Genetics Corporation, its Sole Member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Schoenherr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Tom Schoenherr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MPIRIK INC., </w:t>
      </w:r>
      <w:r>
        <w:rPr>
          <w:rFonts w:ascii="Times New Roman" w:cs="Times New Roman" w:eastAsia="Times New Roman" w:hAnsi="Times New Roman"/>
          <w:sz w:val="18"/>
          <w:szCs w:val="18"/>
          <w:color w:val="auto"/>
        </w:rPr>
        <w:t>a Delaware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13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Fourth Amendment to Credit Agreement</w:t>
      </w:r>
    </w:p>
    <w:p>
      <w:pPr>
        <w:sectPr>
          <w:pgSz w:w="11900" w:h="16838" w:orient="portrait"/>
          <w:cols w:equalWidth="0" w:num="1">
            <w:col w:w="10720"/>
          </w:cols>
          <w:pgMar w:left="440" w:top="270" w:right="739" w:bottom="1440" w:gutter="0" w:footer="0" w:header="0"/>
        </w:sectPr>
      </w:pPr>
    </w:p>
    <w:bookmarkStart w:id="160" w:name="page161"/>
    <w:bookmarkEnd w:id="16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ARTERYS INC.</w:t>
      </w:r>
      <w:r>
        <w:rPr>
          <w:rFonts w:ascii="Times New Roman" w:cs="Times New Roman" w:eastAsia="Times New Roman" w:hAnsi="Times New Roman"/>
          <w:sz w:val="18"/>
          <w:szCs w:val="18"/>
          <w:color w:val="auto"/>
        </w:rPr>
        <w:t>, a Delaware corporation</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PROGENY GENETICS LLC, </w:t>
      </w:r>
      <w:r>
        <w:rPr>
          <w:rFonts w:ascii="Times New Roman" w:cs="Times New Roman" w:eastAsia="Times New Roman" w:hAnsi="Times New Roman"/>
          <w:sz w:val="17"/>
          <w:szCs w:val="17"/>
          <w:color w:val="auto"/>
        </w:rPr>
        <w:t>a Delaware limited liability</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Ambry Genetics Corporation, its Sole Member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Schoenherr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Tom Schoenherr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SENGINE PRECISION MEDICINE LLC</w:t>
      </w:r>
      <w:r>
        <w:rPr>
          <w:rFonts w:ascii="Times New Roman" w:cs="Times New Roman" w:eastAsia="Times New Roman" w:hAnsi="Times New Roman"/>
          <w:sz w:val="18"/>
          <w:szCs w:val="18"/>
          <w:color w:val="auto"/>
        </w:rPr>
        <w:t>, a Delaware</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 liability company</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COMPASS, LLC</w:t>
      </w:r>
      <w:r>
        <w:rPr>
          <w:rFonts w:ascii="Times New Roman" w:cs="Times New Roman" w:eastAsia="Times New Roman" w:hAnsi="Times New Roman"/>
          <w:sz w:val="18"/>
          <w:szCs w:val="18"/>
          <w:color w:val="auto"/>
        </w:rPr>
        <w:t>, a Delaware limited liability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Tempus AI, Inc., its Sole Member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7" w:lineRule="exact"/>
        <w:rPr>
          <w:sz w:val="20"/>
          <w:szCs w:val="20"/>
          <w:color w:val="auto"/>
        </w:rPr>
      </w:pPr>
    </w:p>
    <w:p>
      <w:pPr>
        <w:ind w:left="3040" w:right="1060" w:firstLine="2576"/>
        <w:spacing w:after="0" w:line="433" w:lineRule="auto"/>
        <w:rPr>
          <w:sz w:val="20"/>
          <w:szCs w:val="20"/>
          <w:color w:val="auto"/>
        </w:rPr>
      </w:pPr>
      <w:r>
        <w:rPr>
          <w:rFonts w:ascii="Times New Roman" w:cs="Times New Roman" w:eastAsia="Times New Roman" w:hAnsi="Times New Roman"/>
          <w:sz w:val="18"/>
          <w:szCs w:val="18"/>
          <w:color w:val="auto"/>
        </w:rPr>
        <w:t>Title: Treasurer and Chief Financial Officer Fourth Amendment to Credit Agreement</w:t>
      </w:r>
    </w:p>
    <w:p>
      <w:pPr>
        <w:sectPr>
          <w:pgSz w:w="11900" w:h="16838" w:orient="portrait"/>
          <w:cols w:equalWidth="0" w:num="1">
            <w:col w:w="9960"/>
          </w:cols>
          <w:pgMar w:left="1440" w:top="482" w:right="499" w:bottom="1440" w:gutter="0" w:footer="0" w:header="0"/>
        </w:sectPr>
      </w:pPr>
    </w:p>
    <w:bookmarkStart w:id="161" w:name="page162"/>
    <w:bookmarkEnd w:id="16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 xml:space="preserve">ARES CAPITAL CORPORATION, </w:t>
      </w:r>
      <w:r>
        <w:rPr>
          <w:rFonts w:ascii="Times New Roman" w:cs="Times New Roman" w:eastAsia="Times New Roman" w:hAnsi="Times New Roman"/>
          <w:sz w:val="17"/>
          <w:szCs w:val="17"/>
          <w:color w:val="auto"/>
        </w:rPr>
        <w:t>as Administrative</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Agent and Collateral Agent</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ACF FINCO I LP</w:t>
      </w:r>
      <w:r>
        <w:rPr>
          <w:rFonts w:ascii="Times New Roman" w:cs="Times New Roman" w:eastAsia="Times New Roman" w:hAnsi="Times New Roman"/>
          <w:sz w:val="18"/>
          <w:szCs w:val="18"/>
          <w:color w:val="auto"/>
        </w:rPr>
        <w:t>, as Revolving Agent</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Boyle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Fourth Amendment to Credit Agreement</w:t>
      </w:r>
    </w:p>
    <w:p>
      <w:pPr>
        <w:sectPr>
          <w:pgSz w:w="11900" w:h="16838" w:orient="portrait"/>
          <w:cols w:equalWidth="0" w:num="1">
            <w:col w:w="10720"/>
          </w:cols>
          <w:pgMar w:left="440" w:top="270" w:right="739" w:bottom="1440" w:gutter="0" w:footer="0" w:header="0"/>
        </w:sectPr>
      </w:pPr>
    </w:p>
    <w:bookmarkStart w:id="162" w:name="page163"/>
    <w:bookmarkEnd w:id="162"/>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ARES CAPITAL CORPORATION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ARES CREDIT STRATEGIES INSURANCE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DEDICATED FUND SERIES INTERESTS OF SALI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MULTI-SERIES FUND, L.P.</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Ares Management LLC, its Investment Manager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Ares Capital Management LLC, as Sub-Adviser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ARES SFERS CREDIT STRATEGIES FUND LLC, as a</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 Ares Capital Management LLC, as Account Manager</w:t>
      </w:r>
    </w:p>
    <w:p>
      <w:pPr>
        <w:spacing w:after="0" w:line="23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PRIVATE CREDIT FUND O,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 Ares Capital Management LLC, as Account Manager</w:t>
      </w:r>
    </w:p>
    <w:p>
      <w:pPr>
        <w:spacing w:after="0" w:line="23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Fourth Amendment to Credit Agreement</w:t>
      </w:r>
    </w:p>
    <w:p>
      <w:pPr>
        <w:sectPr>
          <w:pgSz w:w="11900" w:h="16838" w:orient="portrait"/>
          <w:cols w:equalWidth="0" w:num="1">
            <w:col w:w="10760"/>
          </w:cols>
          <w:pgMar w:left="440" w:top="270" w:right="699" w:bottom="1440" w:gutter="0" w:footer="0" w:header="0"/>
        </w:sectPr>
      </w:pPr>
    </w:p>
    <w:bookmarkStart w:id="163" w:name="page164"/>
    <w:bookmarkEnd w:id="16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ARES CREDIT INVESTMENT PARTNERSHIP III 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FINANCE LLC</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SDL Capital Management LLC, its Services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Provider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PRIVATE CREDIT FUND C-1 HOLDCO, LLC –</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SERIES 1</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Capital Management LLC, its Asset Manager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PRIVATE CREDIT FUND C-1 SPV 2, LLC</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Capital Management LLC, its manager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ARES CREDIT INVESTMENT PARTNERSHIP III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 LP</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SDL Capital Management LLC, its Manager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ASH HOLDINGS II (L),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Capital Management LLC, its Manager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Fourth Amendment to Credit Agreement</w:t>
      </w:r>
    </w:p>
    <w:p>
      <w:pPr>
        <w:sectPr>
          <w:pgSz w:w="11900" w:h="16838" w:orient="portrait"/>
          <w:cols w:equalWidth="0" w:num="1">
            <w:col w:w="9900"/>
          </w:cols>
          <w:pgMar w:left="1440" w:top="266" w:right="559" w:bottom="1440" w:gutter="0" w:footer="0" w:header="0"/>
        </w:sectPr>
      </w:pPr>
    </w:p>
    <w:bookmarkStart w:id="164" w:name="page165"/>
    <w:bookmarkEnd w:id="16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ARES CSIDF HOLDINGS,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Capital Management LLC, as Servicer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ASH HOLDINGS II (U),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Capital Management LLC, its Manager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ASH FINANCE II,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Capital Management LLC, its Collateral Manager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ARES DIRECT FINANCE I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Ares Capital Management LLC, its Investment Manager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ARES DIVERSIFIED CREDIT STRATEGIES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FUND (S), L.P.</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Management LLC, its investment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Capital Management LLC, its sub-advisor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Fourth Amendment to Credit Agreement</w:t>
      </w:r>
    </w:p>
    <w:p>
      <w:pPr>
        <w:sectPr>
          <w:pgSz w:w="11900" w:h="16838" w:orient="portrait"/>
          <w:cols w:equalWidth="0" w:num="1">
            <w:col w:w="9980"/>
          </w:cols>
          <w:pgMar w:left="1440" w:top="266" w:right="479" w:bottom="1440" w:gutter="0" w:footer="0" w:header="0"/>
        </w:sectPr>
      </w:pPr>
    </w:p>
    <w:bookmarkStart w:id="165" w:name="page166"/>
    <w:bookmarkEnd w:id="16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ARES SFERS HOLDINGS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Capital Management LLC, its servicer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PRIVATE CREDIT FUND C-1 SPV,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Capital Management LLC, its manager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SA REAL ASSETS 20 LIMITED</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Management LLC, its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Ares Capital Management LLC, as Sub-Adviser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Liggitt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Liggitt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ARES COMMERCIAL FINANCE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Ares Commercial Finance Management LP, as Manager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Arthur Boyle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ACF FINCO I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Arthur Boyle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ACF FINCO II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Arthur Boyle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Fourth Amendment to Credit Agreement</w:t>
      </w:r>
    </w:p>
    <w:p>
      <w:pPr>
        <w:sectPr>
          <w:pgSz w:w="11900" w:h="16838" w:orient="portrait"/>
          <w:cols w:equalWidth="0" w:num="1">
            <w:col w:w="9940"/>
          </w:cols>
          <w:pgMar w:left="1440" w:top="266" w:right="519" w:bottom="1440" w:gutter="0" w:footer="0" w:header="0"/>
        </w:sectPr>
      </w:pPr>
    </w:p>
    <w:bookmarkStart w:id="166" w:name="page167"/>
    <w:bookmarkEnd w:id="166"/>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AO MIDDLE MARKET CREDIT L.P.,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its general partner, OCM Middle Market Credit G.P. Inc.</w:t>
      </w:r>
    </w:p>
    <w:p>
      <w:pPr>
        <w:spacing w:after="0" w:line="225" w:lineRule="exact"/>
        <w:rPr>
          <w:sz w:val="20"/>
          <w:szCs w:val="20"/>
          <w:color w:val="auto"/>
        </w:rPr>
      </w:pPr>
    </w:p>
    <w:tbl>
      <w:tblPr>
        <w:tblLayout w:type="fixed"/>
        <w:tblInd w:w="3040" w:type="dxa"/>
        <w:tblCellMar>
          <w:top w:w="0" w:type="dxa"/>
          <w:left w:w="0" w:type="dxa"/>
          <w:bottom w:w="0" w:type="dxa"/>
          <w:right w:w="0" w:type="dxa"/>
        </w:tblCellMar>
      </w:tblPr>
      <w:tr>
        <w:trPr>
          <w:trHeight w:val="234"/>
        </w:trPr>
        <w:tc>
          <w:tcPr>
            <w:tcW w:w="31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 Patel</w:t>
            </w:r>
          </w:p>
        </w:tc>
      </w:tr>
      <w:tr>
        <w:trPr>
          <w:trHeight w:val="205"/>
        </w:trPr>
        <w:tc>
          <w:tcPr>
            <w:tcW w:w="3160" w:type="dxa"/>
            <w:vAlign w:val="bottom"/>
          </w:tcPr>
          <w:p>
            <w:pPr>
              <w:ind w:left="25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 Patel</w:t>
            </w:r>
          </w:p>
        </w:tc>
      </w:tr>
      <w:tr>
        <w:trPr>
          <w:trHeight w:val="234"/>
        </w:trPr>
        <w:tc>
          <w:tcPr>
            <w:tcW w:w="31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1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Ehrlich</w:t>
            </w:r>
          </w:p>
        </w:tc>
      </w:tr>
      <w:tr>
        <w:trPr>
          <w:trHeight w:val="205"/>
        </w:trPr>
        <w:tc>
          <w:tcPr>
            <w:tcW w:w="3160" w:type="dxa"/>
            <w:vAlign w:val="bottom"/>
          </w:tcPr>
          <w:p>
            <w:pPr>
              <w:ind w:left="25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Jeremy Ehrlich</w:t>
            </w:r>
          </w:p>
        </w:tc>
      </w:tr>
      <w:tr>
        <w:trPr>
          <w:trHeight w:val="234"/>
        </w:trPr>
        <w:tc>
          <w:tcPr>
            <w:tcW w:w="31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6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Fourth Amendment to Credit Agreement</w:t>
            </w:r>
          </w:p>
        </w:tc>
        <w:tc>
          <w:tcPr>
            <w:tcW w:w="382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67" w:name="page168"/>
    <w:bookmarkEnd w:id="167"/>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AO MIDDLE MARKET CREDIT FINANCING L.P., </w:t>
      </w:r>
      <w:r>
        <w:rPr>
          <w:rFonts w:ascii="Times New Roman" w:cs="Times New Roman" w:eastAsia="Times New Roman" w:hAnsi="Times New Roman"/>
          <w:sz w:val="18"/>
          <w:szCs w:val="18"/>
          <w:color w:val="auto"/>
        </w:rPr>
        <w:t>as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AO Middle Market Credit Financing GP Ltd., its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tbl>
      <w:tblPr>
        <w:tblLayout w:type="fixed"/>
        <w:tblInd w:w="3040" w:type="dxa"/>
        <w:tblCellMar>
          <w:top w:w="0" w:type="dxa"/>
          <w:left w:w="0" w:type="dxa"/>
          <w:bottom w:w="0" w:type="dxa"/>
          <w:right w:w="0" w:type="dxa"/>
        </w:tblCellMar>
      </w:tblPr>
      <w:tr>
        <w:trPr>
          <w:trHeight w:val="234"/>
        </w:trPr>
        <w:tc>
          <w:tcPr>
            <w:tcW w:w="31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 Patel</w:t>
            </w:r>
          </w:p>
        </w:tc>
      </w:tr>
      <w:tr>
        <w:trPr>
          <w:trHeight w:val="205"/>
        </w:trPr>
        <w:tc>
          <w:tcPr>
            <w:tcW w:w="3160" w:type="dxa"/>
            <w:vAlign w:val="bottom"/>
          </w:tcPr>
          <w:p>
            <w:pPr>
              <w:ind w:left="25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 Patel</w:t>
            </w:r>
          </w:p>
        </w:tc>
      </w:tr>
      <w:tr>
        <w:trPr>
          <w:trHeight w:val="234"/>
        </w:trPr>
        <w:tc>
          <w:tcPr>
            <w:tcW w:w="31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1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Ehrlich</w:t>
            </w:r>
          </w:p>
        </w:tc>
      </w:tr>
      <w:tr>
        <w:trPr>
          <w:trHeight w:val="205"/>
        </w:trPr>
        <w:tc>
          <w:tcPr>
            <w:tcW w:w="3160" w:type="dxa"/>
            <w:vAlign w:val="bottom"/>
          </w:tcPr>
          <w:p>
            <w:pPr>
              <w:ind w:left="25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Jeremy Ehrlich</w:t>
            </w:r>
          </w:p>
        </w:tc>
      </w:tr>
      <w:tr>
        <w:trPr>
          <w:trHeight w:val="234"/>
        </w:trPr>
        <w:tc>
          <w:tcPr>
            <w:tcW w:w="31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65"/>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Fourth Amendment to Credit Agreement</w:t>
            </w:r>
          </w:p>
        </w:tc>
        <w:tc>
          <w:tcPr>
            <w:tcW w:w="382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MARKED VERSION REFLECTING CHANGES PURSUANT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THIRD</w:t>
      </w:r>
      <w:r>
        <w:rPr>
          <w:rFonts w:ascii="Times New Roman" w:cs="Times New Roman" w:eastAsia="Times New Roman" w:hAnsi="Times New Roman"/>
          <w:sz w:val="18"/>
          <w:szCs w:val="18"/>
          <w:b w:val="1"/>
          <w:bCs w:val="1"/>
          <w:u w:val="single" w:color="auto"/>
          <w:color w:val="0000FF"/>
        </w:rPr>
        <w:t>FOURTH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14605</wp:posOffset>
            </wp:positionV>
            <wp:extent cx="4800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ADDED TEXT SHOWN AS: </w:t>
      </w:r>
      <w:r>
        <w:rPr>
          <w:rFonts w:ascii="Times New Roman" w:cs="Times New Roman" w:eastAsia="Times New Roman" w:hAnsi="Times New Roman"/>
          <w:sz w:val="18"/>
          <w:szCs w:val="18"/>
          <w:b w:val="1"/>
          <w:bCs w:val="1"/>
          <w:u w:val="single" w:color="auto"/>
          <w:color w:val="0000FF"/>
        </w:rPr>
        <w:t>UNDERSCORED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DELETED TEXT SHOWN AS: </w:t>
      </w:r>
      <w:r>
        <w:rPr>
          <w:rFonts w:ascii="Times New Roman" w:cs="Times New Roman" w:eastAsia="Times New Roman" w:hAnsi="Times New Roman"/>
          <w:sz w:val="18"/>
          <w:szCs w:val="18"/>
          <w:b w:val="1"/>
          <w:bCs w:val="1"/>
          <w:color w:val="FF0000"/>
          <w:strike w:val="1"/>
        </w:rPr>
        <w:t>STRIKETHROUGH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-121920</wp:posOffset>
            </wp:positionV>
            <wp:extent cx="8826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MOVED TEXT SHOWN AS: </w:t>
      </w:r>
      <w:r>
        <w:rPr>
          <w:rFonts w:ascii="Times New Roman" w:cs="Times New Roman" w:eastAsia="Times New Roman" w:hAnsi="Times New Roman"/>
          <w:sz w:val="18"/>
          <w:szCs w:val="18"/>
          <w:b w:val="1"/>
          <w:bCs w:val="1"/>
          <w:u w:val="single" w:color="auto"/>
          <w:color w:val="008000"/>
        </w:rPr>
        <w:t>UNDERSCORED</w:t>
      </w:r>
      <w:r>
        <w:rPr>
          <w:rFonts w:ascii="Times New Roman" w:cs="Times New Roman" w:eastAsia="Times New Roman" w:hAnsi="Times New Roman"/>
          <w:sz w:val="18"/>
          <w:szCs w:val="18"/>
          <w:b w:val="1"/>
          <w:bCs w:val="1"/>
          <w:color w:val="auto"/>
        </w:rPr>
        <w:t xml:space="preserve"> OR </w:t>
      </w:r>
      <w:r>
        <w:rPr>
          <w:rFonts w:ascii="Times New Roman" w:cs="Times New Roman" w:eastAsia="Times New Roman" w:hAnsi="Times New Roman"/>
          <w:sz w:val="18"/>
          <w:szCs w:val="18"/>
          <w:b w:val="1"/>
          <w:bCs w:val="1"/>
          <w:color w:val="008000"/>
          <w:strike w:val="1"/>
        </w:rPr>
        <w:t>STRIKETHROUGH</w:t>
      </w:r>
      <w:r>
        <w:rPr>
          <w:rFonts w:ascii="Times New Roman" w:cs="Times New Roman" w:eastAsia="Times New Roman" w:hAnsi="Times New Roman"/>
          <w:sz w:val="18"/>
          <w:szCs w:val="18"/>
          <w:b w:val="1"/>
          <w:bCs w:val="1"/>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8826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For the avoidance of doubt, the base Credit Agreement on which the amendments reflected in this Annex A have been made include conforming changes made to the Credit Agreement dated as of September 22, 2022 as amended by that certain (i) Limited Waiver and First Amendment to Credit Agreement, dated April 25, 2023, (ii) Second Amendment to Credit Agreement, dated as of October 11, 2023, and (iii) the Third Amendment to Credit Agreement, dated as of February 3, 2025.</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22,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party hereto from time to time,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ARES CAPITAL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ACF FINCO I LP,</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as Revolving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ARES CAPITAL MANAGEMENT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Lead Arranger and Bookrunner</w:t>
      </w:r>
    </w:p>
    <w:p>
      <w:pPr>
        <w:sectPr>
          <w:pgSz w:w="11900" w:h="16838" w:orient="portrait"/>
          <w:cols w:equalWidth="0" w:num="1">
            <w:col w:w="11020"/>
          </w:cols>
          <w:pgMar w:left="440" w:top="266" w:right="4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4"/>
        </w:trPr>
        <w:tc>
          <w:tcPr>
            <w:tcW w:w="1060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10600" w:type="dxa"/>
            <w:vAlign w:val="bottom"/>
          </w:tcPr>
          <w:p>
            <w:pPr>
              <w:spacing w:after="0"/>
              <w:rPr>
                <w:sz w:val="24"/>
                <w:szCs w:val="24"/>
                <w:color w:val="auto"/>
              </w:rPr>
            </w:pPr>
          </w:p>
        </w:tc>
        <w:tc>
          <w:tcPr>
            <w:tcW w:w="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33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SECTION 1.01. Defined Terms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10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88"/>
              </w:rPr>
              <w:t>50</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1.03. Terms Generally</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50</w:t>
            </w: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1.04. Accounting Terms; GAAP</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1.05. Pro Forma Calculations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1.06. Rates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1.07. Divisions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1.08. UCC Definitions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54</w:t>
            </w:r>
          </w:p>
        </w:tc>
        <w:tc>
          <w:tcPr>
            <w:tcW w:w="0" w:type="dxa"/>
            <w:vAlign w:val="bottom"/>
          </w:tcPr>
          <w:p>
            <w:pPr>
              <w:spacing w:after="0"/>
              <w:rPr>
                <w:sz w:val="1"/>
                <w:szCs w:val="1"/>
                <w:color w:val="auto"/>
              </w:rPr>
            </w:pPr>
          </w:p>
        </w:tc>
      </w:tr>
      <w:tr>
        <w:trPr>
          <w:trHeight w:val="34"/>
        </w:trPr>
        <w:tc>
          <w:tcPr>
            <w:tcW w:w="10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SECTION 2.01. Commitments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54</w:t>
            </w: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2.02. Loans and Borrowings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2.03. Requests for Borrowings of Term Loans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2.04. Requests for Borrowings of Revolving Loans; Settlements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2.05. [Reserved]</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2.06. Funding of Borrowings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2.07. Interest Elections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2.08. Termination and Reductions of Commitments.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2.09. Evidence of Debt</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2.10. Repayment of Loans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2.11. Prepayment of Loans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2.12. Fees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2.13. Interest</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2.14. Benchmark Replacement Setting</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2.15. Increased Costs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2.16. Break Funding Payments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2.17. Taxes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2.18. Payments Generally; Pro Rata Treatment; Sharing of Setoffs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2.20. Bank Accounts and Collections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2.21. Defaulting Lenders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85</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87</w:t>
            </w:r>
          </w:p>
        </w:tc>
        <w:tc>
          <w:tcPr>
            <w:tcW w:w="0" w:type="dxa"/>
            <w:vAlign w:val="bottom"/>
          </w:tcPr>
          <w:p>
            <w:pPr>
              <w:spacing w:after="0"/>
              <w:rPr>
                <w:sz w:val="1"/>
                <w:szCs w:val="1"/>
                <w:color w:val="auto"/>
              </w:rPr>
            </w:pPr>
          </w:p>
        </w:tc>
      </w:tr>
      <w:tr>
        <w:trPr>
          <w:trHeight w:val="34"/>
        </w:trPr>
        <w:tc>
          <w:tcPr>
            <w:tcW w:w="10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SECTION 3.01. Organization; Power</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85</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87</w:t>
            </w: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3.02. Authorization; Enforceability</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86</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3.04. Financial Condition; No Material Adverse Change; Projections; No Default</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3.05. Properties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3.06. Litigation</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3.07. Compliance with Laws and Agreements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71"/>
        </w:trPr>
        <w:tc>
          <w:tcPr>
            <w:tcW w:w="10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60" w:type="dxa"/>
            <w:vAlign w:val="bottom"/>
          </w:tcPr>
          <w:p>
            <w:pPr>
              <w:spacing w:after="0"/>
              <w:rPr>
                <w:sz w:val="14"/>
                <w:szCs w:val="14"/>
                <w:color w:val="auto"/>
              </w:rPr>
            </w:pPr>
          </w:p>
        </w:tc>
        <w:tc>
          <w:tcPr>
            <w:tcW w:w="5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340" w:type="dxa"/>
            <w:vAlign w:val="bottom"/>
            <w:vMerge w:val="continue"/>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180" w:type="dxa"/>
            <w:vAlign w:val="bottom"/>
            <w:tcBorders>
              <w:top w:val="single" w:sz="8" w:color="auto"/>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0000FF"/>
                <w:w w:val="88"/>
              </w:rPr>
              <w:t>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3.09. Taxes</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3.10. ERISA</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3.11. Reports</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3.12. Subsidiaries</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3.13. Insurance</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3.14. Labor Matters</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3.15. Solvency</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3.16. Margin Regulations</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3.17. Patriot Act</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3.18. Anti-Corruption Laws</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3.19. Intellectual Property; Licenses, Etc</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3.20. Locations of Accounts and Collateral</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3.21. Environmental Compliance</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3.22. Health Care Regulatory Matters</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3.23. Deposit Accounts and Securities Accounts</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3.24. Use of Proceeds</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3.25. Absence of Undisclosed Liabilities</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3.26. Eligible Accounts; Borrowing Base</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ARTICLE IV Conditions Precedent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94</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SECTION 4.01. Conditions Precedent to the Borrowing of Effective Date Term Loans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94</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4.02. Conditions Precedent to Borrowings after the Third Amendment Effective Date</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96</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97</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98</w:t>
            </w: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97</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98</w:t>
            </w: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5.02. Notices of Material Events</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rPr>
              <w:t>99</w:t>
            </w: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5.03. Information Regarding Collateral</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100</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5.04. Existence; Conduct of Business; Public Health Laws</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101</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5.05. Payment of Taxes</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101</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5.06. Maintenance and Ownership of Properties</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101</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5.07. Insurance</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101</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5.08. Casualty and Condemnation</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102</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5.09. Books and Records; Inspection and Audit Rights</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102</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5.10. Compliance with Laws</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5.11. Use of Proceeds</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5.12. Additional Subsidiaries</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5.13. Further Assurances</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5.14. Environmental Matters</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5.15. Annual Lender Meeting</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5.16. Post-Closing Covenants</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5.17. Borrowing Base and Other Deliverables</w:t>
            </w:r>
          </w:p>
        </w:tc>
        <w:tc>
          <w:tcPr>
            <w:tcW w:w="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105</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107</w:t>
            </w: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SECTION 6.01. Indebtedness</w:t>
            </w: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106</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107</w:t>
            </w:r>
          </w:p>
        </w:tc>
        <w:tc>
          <w:tcPr>
            <w:tcW w:w="0" w:type="dxa"/>
            <w:vAlign w:val="bottom"/>
          </w:tcPr>
          <w:p>
            <w:pPr>
              <w:spacing w:after="0"/>
              <w:rPr>
                <w:sz w:val="1"/>
                <w:szCs w:val="1"/>
                <w:color w:val="auto"/>
              </w:rPr>
            </w:pPr>
          </w:p>
        </w:tc>
      </w:tr>
      <w:tr>
        <w:trPr>
          <w:trHeight w:val="34"/>
        </w:trPr>
        <w:tc>
          <w:tcPr>
            <w:tcW w:w="10340" w:type="dxa"/>
            <w:vAlign w:val="bottom"/>
            <w:vMerge w:val="restart"/>
          </w:tcPr>
          <w:p>
            <w:pPr>
              <w:ind w:left="5400"/>
              <w:spacing w:after="0"/>
              <w:rPr>
                <w:sz w:val="20"/>
                <w:szCs w:val="20"/>
                <w:color w:val="auto"/>
              </w:rPr>
            </w:pPr>
            <w:r>
              <w:rPr>
                <w:rFonts w:ascii="Times New Roman" w:cs="Times New Roman" w:eastAsia="Times New Roman" w:hAnsi="Times New Roman"/>
                <w:sz w:val="18"/>
                <w:szCs w:val="18"/>
                <w:color w:val="auto"/>
              </w:rPr>
              <w:t>-ii-</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03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40"/>
          </w:cols>
          <w:pgMar w:left="440" w:top="265"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2" w:name="page173"/>
    <w:bookmarkEnd w:id="172"/>
    <w:tbl>
      <w:tblPr>
        <w:tblLayout w:type="fixed"/>
        <w:tblInd w:w="0" w:type="dxa"/>
        <w:tblCellMar>
          <w:top w:w="0" w:type="dxa"/>
          <w:left w:w="0" w:type="dxa"/>
          <w:bottom w:w="0" w:type="dxa"/>
          <w:right w:w="0" w:type="dxa"/>
        </w:tblCellMar>
      </w:tblPr>
      <w:tr>
        <w:trPr>
          <w:trHeight w:val="168"/>
        </w:trPr>
        <w:tc>
          <w:tcPr>
            <w:tcW w:w="10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6.02. Liens</w:t>
            </w:r>
          </w:p>
        </w:tc>
        <w:tc>
          <w:tcPr>
            <w:tcW w:w="80" w:type="dxa"/>
            <w:vAlign w:val="bottom"/>
          </w:tcPr>
          <w:p>
            <w:pPr>
              <w:spacing w:after="0"/>
              <w:rPr>
                <w:sz w:val="14"/>
                <w:szCs w:val="14"/>
                <w:color w:val="auto"/>
              </w:rPr>
            </w:pPr>
          </w:p>
        </w:tc>
        <w:tc>
          <w:tcPr>
            <w:tcW w:w="5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6"/>
        </w:trPr>
        <w:tc>
          <w:tcPr>
            <w:tcW w:w="10340" w:type="dxa"/>
            <w:vAlign w:val="bottom"/>
            <w:vMerge w:val="continue"/>
          </w:tcPr>
          <w:p>
            <w:pPr>
              <w:spacing w:after="0"/>
              <w:rPr>
                <w:sz w:val="15"/>
                <w:szCs w:val="15"/>
                <w:color w:val="auto"/>
              </w:rPr>
            </w:pPr>
          </w:p>
        </w:tc>
        <w:tc>
          <w:tcPr>
            <w:tcW w:w="340" w:type="dxa"/>
            <w:vAlign w:val="bottom"/>
            <w:tcBorders>
              <w:top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108</w:t>
            </w:r>
          </w:p>
        </w:tc>
        <w:tc>
          <w:tcPr>
            <w:tcW w:w="260" w:type="dxa"/>
            <w:vAlign w:val="bottom"/>
            <w:tcBorders>
              <w:top w:val="single" w:sz="8" w:color="auto"/>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6.03. Fundamental Changes; Line of Business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110</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6.04. Investments, Loans, Advances, Guarantees and Acquisitions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110</w:t>
            </w: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6.05. Asset Sales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6.06. Sale and Leaseback Transactions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114</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6.07. [Reserved]</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114</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6.08. Restricted Payments; Certain Payments of Indebtedness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114</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6.09. Transactions with Affiliates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115</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6.10. Restrictive Agreements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117</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6.11. Amendment of Material Documents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117</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6.12. Financial Performance Covenants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118</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6.13. Accounting; Fiscal Year</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119</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6.14. Swap Agreements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6.15. Changes in Name</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6.16. OFAC; Patriot Act</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6.17. Issuance or Repurchase of Equity Interests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6.18. Capital Expenditures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119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119</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121</w:t>
            </w: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119</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121</w:t>
            </w: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7.02. Right to Cure</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123</w:t>
            </w: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The Agents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124</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126</w:t>
            </w: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SECTION 8.01. Appointment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124</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126</w:t>
            </w: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8.02. Agents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125</w:t>
            </w: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8.03. Exculpatory Provisions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125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8.04. Reliance by Agents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125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8.05. Notice of Default</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126</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8.06. Non-Reliance on Agents and Other Lenders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126</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8.07. Indemnification</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127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8.08. Individual Capacity of each Agent</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127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8.09. Successor Agents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127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8.10. Erroneous Payments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128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130</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132</w:t>
            </w: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SECTION 9.01. Notices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130</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132</w:t>
            </w: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9.02. Waivers; Amendments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131</w:t>
            </w: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9.03. Expenses; Indemnity; Damage Waiver</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136</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9.04. Successors and Assigns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137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9.05. Survival</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9.06. Counterparts; Integration; Effectiveness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9.07. Severability</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142</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9.08. Right of Setoff</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142</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9.09. Governing Law; Jurisdiction; Consent to Service of Process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142</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9.10. WAIVER OF JURY TRIAL</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143</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9.11. Headings</w:t>
            </w:r>
          </w:p>
        </w:tc>
        <w:tc>
          <w:tcPr>
            <w:tcW w:w="3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143</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262" w:right="51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71"/>
        </w:trPr>
        <w:tc>
          <w:tcPr>
            <w:tcW w:w="10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9.12. Confidentiality</w:t>
            </w:r>
          </w:p>
        </w:tc>
        <w:tc>
          <w:tcPr>
            <w:tcW w:w="6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340" w:type="dxa"/>
            <w:vAlign w:val="bottom"/>
            <w:vMerge w:val="continue"/>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143</w:t>
            </w:r>
          </w:p>
        </w:tc>
        <w:tc>
          <w:tcPr>
            <w:tcW w:w="260" w:type="dxa"/>
            <w:vAlign w:val="bottom"/>
            <w:tcBorders>
              <w:top w:val="single" w:sz="8" w:color="auto"/>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8"/>
                <w:szCs w:val="18"/>
                <w:color w:val="0000FF"/>
                <w:w w:val="88"/>
              </w:rPr>
              <w:t>145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9.13. Interest Rate Limitation</w:t>
            </w:r>
          </w:p>
        </w:tc>
        <w:tc>
          <w:tcPr>
            <w:tcW w:w="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9.14. USA Patriot Act</w:t>
            </w:r>
          </w:p>
        </w:tc>
        <w:tc>
          <w:tcPr>
            <w:tcW w:w="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9.15. Release of Collateral</w:t>
            </w:r>
          </w:p>
        </w:tc>
        <w:tc>
          <w:tcPr>
            <w:tcW w:w="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9.16. Acknowledgement and Consent to Bail-In of Affected Financial Institutions</w:t>
            </w:r>
          </w:p>
        </w:tc>
        <w:tc>
          <w:tcPr>
            <w:tcW w:w="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9.17. Purchase Option</w:t>
            </w:r>
          </w:p>
        </w:tc>
        <w:tc>
          <w:tcPr>
            <w:tcW w:w="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9.18. Agreements of Revolving Lenders and Term Lenders; Subordination</w:t>
            </w:r>
          </w:p>
        </w:tc>
        <w:tc>
          <w:tcPr>
            <w:tcW w:w="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265" w:right="5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 TO DISCLOSURE LETTER: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2.01(a)</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2.01(b)</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Designated Account; Revolving Agent’s Account</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3.03</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3.07</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3.13</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3.14</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Collective Bargaining Agreements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3.23</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 Accounts and Securities Accounts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5.16</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Post-Closing Covenants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6.01(iii)</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Date Indebtedness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6.01(xiii)</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Effective Date Non-Loan Party Subsidiary Indebtedness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Liens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6.04(iii)</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Date Investments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6.04(xvii)</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Date Non-Loan Party Subsidiary Investments</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6.10</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Restrictions</w:t>
            </w:r>
          </w:p>
        </w:tc>
      </w:tr>
      <w:tr>
        <w:trPr>
          <w:trHeight w:val="49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61"/>
        </w:trPr>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80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Borrowing Base Certificate</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Perfection Certificate</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Interest Election Request</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G</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H</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I-1-4</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U.S. Tax Compliance Certificates</w:t>
            </w:r>
          </w:p>
        </w:tc>
      </w:t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J</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365"/>
        </w:trPr>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-v-</w:t>
            </w:r>
          </w:p>
        </w:tc>
      </w:tr>
    </w:tbl>
    <w:p>
      <w:pPr>
        <w:sectPr>
          <w:pgSz w:w="11900" w:h="16838" w:orient="portrait"/>
          <w:cols w:equalWidth="0" w:num="1">
            <w:col w:w="10019"/>
          </w:cols>
          <w:pgMar w:left="440" w:top="270" w:right="1440"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w:t>
      </w:r>
    </w:p>
    <w:p>
      <w:pPr>
        <w:spacing w:after="0" w:line="229"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This CREDIT AGREEMENT is entered into as of September 22, 2022, by and among TEMPUS AI, INC., a Delaware corporation (f/k/a Tempus Labs,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hereto from time to time, ARES CAPITAL CORPORATION, as Administrative Agent, ARES CAPITAL MANAGEMENT LLC, as Lead Arranger and Bookrunner, and ACF FINCO I LP, as Revolving Agent.</w:t>
      </w:r>
    </w:p>
    <w:p>
      <w:pPr>
        <w:spacing w:after="0" w:line="176"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The Borrower has requested that the Lenders extend credit to the Borrower in the form of (i) Effective Date Term Loans in an aggregate principal amount not to exceed $175,000,000, which shall be funded on the Effective Date upon and subject to the terms and conditions set forth in this Agreement, (ii) First Amendment Effective Date Term Loans in an aggregate principal amount not to exceed $50,000,000, which shall be funded on the First Amendment Effective Date upon and subject to the terms and conditions set forth in the First Amendment, (iii) Second Amendment Effective Date Term Loans in an aggregate principal amount not to exceed $35,000,000, which shall be funded on the Second Amendment Effective Date upon and subject to the terms and conditions set forth in the Second Amendment, (iv) Third Amendment Effective Date Term Loans in an aggregate principal amount not to exceed $200,000,000, which shall be funded on the Third Amendment Effective Date upon and subject to the terms and conditions set forth in the Third Amendment, and (v) Revolving Commitments in an aggregate principal amount not to exceed $100,000,000 which shall be funded in full on the Third Amendment Effective Date (the “</w:t>
      </w:r>
      <w:r>
        <w:rPr>
          <w:rFonts w:ascii="Times New Roman" w:cs="Times New Roman" w:eastAsia="Times New Roman" w:hAnsi="Times New Roman"/>
          <w:sz w:val="18"/>
          <w:szCs w:val="18"/>
          <w:u w:val="single" w:color="auto"/>
          <w:color w:val="auto"/>
        </w:rPr>
        <w:t>Third Amendment Effective Date Revolver Draw</w:t>
      </w:r>
      <w:r>
        <w:rPr>
          <w:rFonts w:ascii="Times New Roman" w:cs="Times New Roman" w:eastAsia="Times New Roman" w:hAnsi="Times New Roman"/>
          <w:sz w:val="18"/>
          <w:szCs w:val="18"/>
          <w:color w:val="auto"/>
        </w:rPr>
        <w:t>”), upon and subject to the terms and conditions set forth in the Third Amendment.</w:t>
      </w:r>
    </w:p>
    <w:p>
      <w:pPr>
        <w:spacing w:after="0" w:line="194"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The proceeds of (a) the Term Loans will be used by the Borrower (i) for working capital and general corporate purposes, (ii) to finance growth initiatives, (iii) to pay for operating expenses, (iv) to pay the Transaction Costs, (v) to pay a portion of the consideration for the Third Amendment Effective Date Acquisition, (vi) to pay fees, costs and expenses incurred by the Loan Parties in connection with (x) the Third Amendment Effective Date Acquisition and (y) the Third Amendment and (b) the Revolving Loans will be used by the Borrower (i) to pay a portion of the consideration for the Third Amendment Effective Date Acquisition, (ii) to pay fees, costs and expenses incurred by the Loan Parties in connection with (x) the Third Amendment Effective Date Acquisition and (y) the Third Amendment and (iii) for working capital and general corporate purposes.</w:t>
      </w:r>
    </w:p>
    <w:p>
      <w:pPr>
        <w:spacing w:after="0" w:line="18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Lenders are willing to extend such credit to the Borrower, on the terms and subject to the conditions set forth herein. Accordingly, the parties hereto agree as follows:</w:t>
      </w:r>
    </w:p>
    <w:p>
      <w:pPr>
        <w:spacing w:after="0" w:line="3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1.01. </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Agreement, the following terms have the meanings specified below:</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Foreign Jurisdiction</w:t>
      </w:r>
      <w:r>
        <w:rPr>
          <w:rFonts w:ascii="Times New Roman" w:cs="Times New Roman" w:eastAsia="Times New Roman" w:hAnsi="Times New Roman"/>
          <w:sz w:val="18"/>
          <w:szCs w:val="18"/>
          <w:color w:val="auto"/>
        </w:rPr>
        <w:t>” means Canada, the United Kingdom, Germany, Sweden, Netherlands, France, Austria and Japan.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who is obligated to an Account.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s” means, collectively, (a) any right to payment of a monetary obligation, whether or not earned by performance, (b) without duplication, any “account” (as defined in the UCC), any accounts receivable (whether in the form of payments for services rendered or goods sold, rents, license fees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76" w:name="page177"/>
    <w:bookmarkEnd w:id="17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any “health-care-insurance receivables” (as defined in the UCC),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Loan Documents in respect of the foregoing, (d) all information and data compiled or derived by any Loan Party or to which any Loan Party is entitled in respect of or related to the foregoing, and (e) all proceeds of any of the foregoing.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ACF</w:t>
      </w:r>
      <w:r>
        <w:rPr>
          <w:rFonts w:ascii="Times New Roman" w:cs="Times New Roman" w:eastAsia="Times New Roman" w:hAnsi="Times New Roman"/>
          <w:sz w:val="18"/>
          <w:szCs w:val="18"/>
          <w:color w:val="auto"/>
        </w:rPr>
        <w:t>” means ACF Finco I LP.</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Ares, in its capacity as administrative agent for the Lenders under the Loan Documents, and any successor administrative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any other Person that directly, or indirectly through one or more intermediaries, Controls, is Controlled by or is under common Control with the Person specified.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as applicable, the Administrative Agent, the Collateral Agent and the Revolving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Cap</w:t>
      </w:r>
      <w:r>
        <w:rPr>
          <w:rFonts w:ascii="Times New Roman" w:cs="Times New Roman" w:eastAsia="Times New Roman" w:hAnsi="Times New Roman"/>
          <w:sz w:val="18"/>
          <w:szCs w:val="18"/>
          <w:color w:val="auto"/>
        </w:rPr>
        <w:t>” has the meaning set forth in the definition of “Consolidated Adjusted EBITDA.”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Aggregate Exposure Percentage</w:t>
      </w:r>
      <w:r>
        <w:rPr>
          <w:rFonts w:ascii="Times New Roman" w:cs="Times New Roman" w:eastAsia="Times New Roman" w:hAnsi="Times New Roman"/>
          <w:sz w:val="17"/>
          <w:szCs w:val="17"/>
          <w:color w:val="auto"/>
        </w:rPr>
        <w:t>” means, collectively, the Revolving Loan Exposure Percentage and the Term Loan Exposure Percentage.</w:t>
      </w:r>
    </w:p>
    <w:p>
      <w:pPr>
        <w:spacing w:after="0" w:line="2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 as the same may be renewed, extended, modified, supplemented or amended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9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means the audited consolidated financial statements of the Borrower for the fiscal years ended December 31, 2019, December 31, 2020 and December 31, 2021.</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all laws, rules, and regulations of any jurisdiction applicable to the Borrower or any Subsidiary from time to time concerning or relating to bribery or corruption.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77" w:name="page178"/>
    <w:bookmarkEnd w:id="177"/>
    <w:p>
      <w:pPr>
        <w:ind w:left="-987" w:right="120" w:firstLine="987"/>
        <w:spacing w:after="0" w:line="282" w:lineRule="auto"/>
        <w:tabs>
          <w:tab w:leader="none" w:pos="24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First Amendment Effective Date, the “Applicable Rate” as defined in this Agreement immediately prior to giving effect to the First Amendment;</w:t>
      </w:r>
    </w:p>
    <w:p>
      <w:pPr>
        <w:spacing w:after="0" w:line="161" w:lineRule="exact"/>
        <w:rPr>
          <w:rFonts w:ascii="Times New Roman" w:cs="Times New Roman" w:eastAsia="Times New Roman" w:hAnsi="Times New Roman"/>
          <w:sz w:val="18"/>
          <w:szCs w:val="18"/>
          <w:color w:val="auto"/>
        </w:rPr>
      </w:pPr>
    </w:p>
    <w:p>
      <w:pPr>
        <w:ind w:left="-987" w:firstLine="987"/>
        <w:spacing w:after="0" w:line="258" w:lineRule="auto"/>
        <w:tabs>
          <w:tab w:leader="none" w:pos="25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Amendment Effective Date immediately after giving effect to the First Amendment, through (but not including) the Third Amendment Effective Date, for any day with respect to any Term Loans, (i) for any Interest Period for which the Borrower exercises the PIK Election, (A) 4.00% per annum in the case of a Base Rate Loan or (B) 5.00% per annum in the case of a SOFR Loan or (ii) for any Interest Period for which the Borrower exercises the Cash Election, (A) 6.25% per annum in the case of a Base Rate Loan or (B) 7.25% per annum in the case of a SOFR Loan;</w:t>
      </w:r>
    </w:p>
    <w:p>
      <w:pPr>
        <w:spacing w:after="0" w:line="183" w:lineRule="exact"/>
        <w:rPr>
          <w:rFonts w:ascii="Times New Roman" w:cs="Times New Roman" w:eastAsia="Times New Roman" w:hAnsi="Times New Roman"/>
          <w:sz w:val="18"/>
          <w:szCs w:val="18"/>
          <w:color w:val="auto"/>
        </w:rPr>
      </w:pPr>
    </w:p>
    <w:p>
      <w:pPr>
        <w:ind w:left="-987" w:right="80" w:firstLine="987"/>
        <w:spacing w:after="0" w:line="282" w:lineRule="auto"/>
        <w:tabs>
          <w:tab w:leader="none" w:pos="24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Third Amendment Effective Date immediately after giving effect to the Third Amendment, for any day with respect to any Term Loans, the applicable rate per annum corresponding with the table set forth below:</w:t>
      </w:r>
    </w:p>
    <w:p>
      <w:pPr>
        <w:spacing w:after="0" w:line="170" w:lineRule="exact"/>
        <w:rPr>
          <w:sz w:val="20"/>
          <w:szCs w:val="20"/>
          <w:color w:val="auto"/>
        </w:rPr>
      </w:pPr>
    </w:p>
    <w:tbl>
      <w:tblPr>
        <w:tblLayout w:type="fixed"/>
        <w:tblInd w:w="773"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Base</w:t>
            </w: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SOFR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top w:val="single" w:sz="8" w:color="CCEEFF"/>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 any Interest Period where the Borrower exercises the PIK Election:</w:t>
            </w:r>
          </w:p>
        </w:tc>
        <w:tc>
          <w:tcPr>
            <w:tcW w:w="3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From and after the Third Amendment Effective Date immediately after</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auto"/>
            </w:tcBorders>
            <w:gridSpan w:val="7"/>
          </w:tcPr>
          <w:p>
            <w:pPr>
              <w:ind w:left="160"/>
              <w:spacing w:after="0" w:line="196" w:lineRule="exact"/>
              <w:rPr>
                <w:sz w:val="20"/>
                <w:szCs w:val="20"/>
                <w:color w:val="auto"/>
              </w:rPr>
            </w:pPr>
            <w:r>
              <w:rPr>
                <w:rFonts w:ascii="Times New Roman" w:cs="Times New Roman" w:eastAsia="Times New Roman" w:hAnsi="Times New Roman"/>
                <w:sz w:val="18"/>
                <w:szCs w:val="18"/>
                <w:color w:val="auto"/>
              </w:rPr>
              <w:t>giving effect to the Third Amendment until December 31, 2025:</w:t>
            </w:r>
          </w:p>
        </w:tc>
        <w:tc>
          <w:tcPr>
            <w:tcW w:w="860" w:type="dxa"/>
            <w:vAlign w:val="bottom"/>
            <w:gridSpan w:val="3"/>
          </w:tcPr>
          <w:p>
            <w:pPr>
              <w:spacing w:after="0"/>
              <w:rPr>
                <w:sz w:val="17"/>
                <w:szCs w:val="17"/>
                <w:color w:val="auto"/>
              </w:rPr>
            </w:pPr>
          </w:p>
        </w:tc>
        <w:tc>
          <w:tcPr>
            <w:tcW w:w="90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4.00%</w:t>
            </w:r>
          </w:p>
        </w:tc>
        <w:tc>
          <w:tcPr>
            <w:tcW w:w="6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0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From and after January 1, 2026:</w:t>
            </w:r>
          </w:p>
        </w:tc>
        <w:tc>
          <w:tcPr>
            <w:tcW w:w="3660" w:type="dxa"/>
            <w:vAlign w:val="bottom"/>
            <w:tcBorders>
              <w:bottom w:val="single" w:sz="8" w:color="CCEEFF"/>
            </w:tcBorders>
            <w:gridSpan w:val="7"/>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9"/>
              </w:rPr>
              <w:t>• </w:t>
            </w:r>
          </w:p>
        </w:tc>
        <w:tc>
          <w:tcPr>
            <w:tcW w:w="53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 If the Junior Capital Raise Date has occurred:</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9"/>
              </w:rPr>
              <w:t>• </w:t>
            </w:r>
          </w:p>
        </w:tc>
        <w:tc>
          <w:tcPr>
            <w:tcW w:w="5360" w:type="dxa"/>
            <w:vAlign w:val="bottom"/>
            <w:gridSpan w:val="8"/>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 If the Junior Capital Raise Date has not occurred:</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432"/>
        </w:trPr>
        <w:tc>
          <w:tcPr>
            <w:tcW w:w="59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For any Interest Period where the Borrower exercises the Cash Election:</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From and after the Third Amendment Effective Date immediately after</w:t>
            </w: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4620" w:type="dxa"/>
            <w:vAlign w:val="bottom"/>
            <w:tcBorders>
              <w:top w:val="single" w:sz="8" w:color="auto"/>
              <w:bottom w:val="single" w:sz="8" w:color="auto"/>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giving effect to the Third Amendment until December 31, 2025:</w:t>
            </w: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6.25%</w:t>
            </w:r>
          </w:p>
        </w:tc>
        <w:tc>
          <w:tcPr>
            <w:tcW w:w="600" w:type="dxa"/>
            <w:vAlign w:val="bottom"/>
            <w:tcBorders>
              <w:top w:val="single" w:sz="8" w:color="CCEEFF"/>
              <w:bottom w:val="single" w:sz="8" w:color="CCEEFF"/>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83"/>
        </w:trPr>
        <w:tc>
          <w:tcPr>
            <w:tcW w:w="5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From and after January 1, 2026 until the financial statements have been</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auto"/>
            </w:tcBorders>
            <w:gridSpan w:val="8"/>
          </w:tcPr>
          <w:p>
            <w:pPr>
              <w:ind w:left="160"/>
              <w:spacing w:after="0" w:line="196" w:lineRule="exact"/>
              <w:rPr>
                <w:sz w:val="20"/>
                <w:szCs w:val="20"/>
                <w:color w:val="auto"/>
              </w:rPr>
            </w:pPr>
            <w:r>
              <w:rPr>
                <w:rFonts w:ascii="Times New Roman" w:cs="Times New Roman" w:eastAsia="Times New Roman" w:hAnsi="Times New Roman"/>
                <w:sz w:val="18"/>
                <w:szCs w:val="18"/>
                <w:color w:val="auto"/>
              </w:rPr>
              <w:t>delivered for the fiscal quarter ending December 31, 2025:</w:t>
            </w:r>
          </w:p>
        </w:tc>
        <w:tc>
          <w:tcPr>
            <w:tcW w:w="8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9"/>
              </w:rPr>
              <w:t>• </w:t>
            </w:r>
          </w:p>
        </w:tc>
        <w:tc>
          <w:tcPr>
            <w:tcW w:w="5360" w:type="dxa"/>
            <w:vAlign w:val="bottom"/>
            <w:gridSpan w:val="8"/>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 If the Junior Capital Raise Date has occurred:</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6.25%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9"/>
              </w:rPr>
              <w:t>• </w:t>
            </w:r>
          </w:p>
        </w:tc>
        <w:tc>
          <w:tcPr>
            <w:tcW w:w="53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 If the Junior Capital Raise Date has not occurred:</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6.75%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2"/>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9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From the date the financial statements have been delivered for the fiscal</w:t>
            </w: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0" w:type="dxa"/>
            <w:vAlign w:val="bottom"/>
            <w:tcBorders>
              <w:top w:val="single" w:sz="8" w:color="auto"/>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quarter ending December 31, 2025 until June 30, 2026:</w:t>
            </w:r>
          </w:p>
        </w:tc>
        <w:tc>
          <w:tcPr>
            <w:tcW w:w="8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70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9"/>
              </w:rPr>
              <w:t>• </w:t>
            </w:r>
          </w:p>
        </w:tc>
        <w:tc>
          <w:tcPr>
            <w:tcW w:w="53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 If the Junior Capital Raise Date has not occurred:</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6.75%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9"/>
              </w:rPr>
              <w:t>• </w:t>
            </w:r>
          </w:p>
        </w:tc>
        <w:tc>
          <w:tcPr>
            <w:tcW w:w="5360" w:type="dxa"/>
            <w:vAlign w:val="bottom"/>
            <w:gridSpan w:val="8"/>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 If the Junior Capital Raise Date has occurred, the Applicable Rate</w:t>
            </w: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36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shall be in accordance with the First Lien Leverage Ratio based</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36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pricing grid set forth below:</w:t>
            </w: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gridSpan w:val="8"/>
          </w:tcPr>
          <w:p>
            <w:pPr>
              <w:ind w:left="100"/>
              <w:spacing w:after="0"/>
              <w:rPr>
                <w:sz w:val="20"/>
                <w:szCs w:val="20"/>
                <w:color w:val="auto"/>
              </w:rPr>
            </w:pPr>
            <w:r>
              <w:rPr>
                <w:rFonts w:ascii="Times New Roman" w:cs="Times New Roman" w:eastAsia="Times New Roman" w:hAnsi="Times New Roman"/>
                <w:sz w:val="18"/>
                <w:szCs w:val="18"/>
                <w:i w:val="1"/>
                <w:iCs w:val="1"/>
                <w:color w:val="auto"/>
              </w:rPr>
              <w:t>First Lien Leverage Ratio:</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360" w:type="dxa"/>
            <w:vAlign w:val="bottom"/>
            <w:gridSpan w:val="8"/>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&gt; 5.50 to 1.00</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6.25%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gridSpan w:val="8"/>
          </w:tcPr>
          <w:p>
            <w:pPr>
              <w:ind w:left="460"/>
              <w:spacing w:after="0"/>
              <w:rPr>
                <w:sz w:val="20"/>
                <w:szCs w:val="20"/>
                <w:color w:val="auto"/>
              </w:rPr>
            </w:pPr>
            <w:r>
              <w:rPr>
                <w:rFonts w:ascii="Times New Roman" w:cs="Times New Roman" w:eastAsia="Times New Roman" w:hAnsi="Times New Roman"/>
                <w:sz w:val="18"/>
                <w:szCs w:val="18"/>
                <w:color w:val="auto"/>
              </w:rPr>
              <w:t>≤ 5.50 to 1.00 but &gt; 4.50 to 1.00</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6.00%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360" w:type="dxa"/>
            <w:vAlign w:val="bottom"/>
            <w:gridSpan w:val="8"/>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4.50 to 1.00</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5.75%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3"/>
          </w:cols>
          <w:pgMar w:left="1427" w:top="270" w:right="459" w:bottom="1440" w:gutter="0" w:footer="0" w:header="0"/>
        </w:sectPr>
      </w:pPr>
    </w:p>
    <w:bookmarkStart w:id="178" w:name="page179"/>
    <w:bookmarkEnd w:id="1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Base</w:t>
            </w: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SOFR</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0" w:type="dxa"/>
            <w:vAlign w:val="bottom"/>
          </w:tcPr>
          <w:p>
            <w:pPr>
              <w:spacing w:after="0"/>
              <w:rPr>
                <w:sz w:val="1"/>
                <w:szCs w:val="1"/>
                <w:color w:val="auto"/>
              </w:rPr>
            </w:pPr>
          </w:p>
        </w:tc>
      </w:tr>
      <w:tr>
        <w:trPr>
          <w:trHeight w:val="176"/>
        </w:trPr>
        <w:tc>
          <w:tcPr>
            <w:tcW w:w="20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From and after July 1, 2026:</w:t>
            </w:r>
          </w:p>
        </w:tc>
        <w:tc>
          <w:tcPr>
            <w:tcW w:w="66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14"/>
        </w:trPr>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 If the Junior Capital Raise Date has not occurred then Applicable Rate shall be in accordance with the First</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Lien Leverage Ratio based pricing grid set forth below:</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First Lien Leverage Ratio:</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&gt; 5.50 to 1.00</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6.75%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5.50 to 1.00 but &gt; 4.50 to 1.00</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6.50%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8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4.50 to 1.00</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6.25%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198"/>
        </w:trPr>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812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 If the Junior Capital Raise Date has occurred, then Applicable Rate shall be in accordance with the First</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 w:type="dxa"/>
            <w:vAlign w:val="bottom"/>
            <w:shd w:val="clear" w:color="auto" w:fill="CCEEFF"/>
          </w:tcPr>
          <w:p>
            <w:pPr>
              <w:spacing w:after="0"/>
              <w:rPr>
                <w:sz w:val="20"/>
                <w:szCs w:val="20"/>
                <w:color w:val="auto"/>
              </w:rPr>
            </w:pPr>
          </w:p>
        </w:tc>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Lien Leverage Ratio based pricing grid set forth below:</w:t>
            </w:r>
          </w:p>
        </w:tc>
        <w:tc>
          <w:tcPr>
            <w:tcW w:w="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First Lien Leverage Ratio:</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&gt; 5.50 to 1.00</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6.25%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5.50 to 1.00 but &gt; 4.50 to 1.00</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4.50 to 1.00</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5.75%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Applicable Rate shall be adjusted quarterly, to the extent applicable, as of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Business Day of the month following the date on which financial statements are required to be delivered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(including with respect to the last fiscal quarter of each fiscal year) after the end of each related fiscal quarter based on the First Lien Leverage Ratio as of the last day of such fiscal quarter. Notwithstanding the foregoing, if the Borrower fails to deliver the financial statements required by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and the related Compliance Certificate required by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by the respective date required thereunder, the Applicable Rate shall be the rates corresponding to the First Lien Leverage Ratio of &gt; 5.50 to 1.00 the foregoing table until such financial statements and Compliance Certificate are delivered.</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If, as a result of any restatement of or other adjustment to the financial statements of the Loan Parties or for any other reason, the Administrative Agent reasonably determines that (a) the First Lien Leverage Ratio as calculated by the Borrower as of any applicable date was inaccurate and (b) a proper calculation of the First Lien Leverage Ratio would have resulted in different pricing for any period, then (i) if the proper calculation of the First Lien Leverage Ratio would have resulted in higher pricing for such period, the Borrower shall automatically and retroactively be obligated to pay to the Administrative Agent, for the benefit of the applicable Lenders (or ratably to their respective assignees as of the date of such payment), promptly on demand by the Administrative Agent, an amount equal to the excess of the amount of interest and fees that should have been paid for such period over the amount of interest and fees actually paid for such period; and (ii) if the proper calculation of the First Lien Leverage Ratio would have resulted in lower pricing for such period, neither the Administrative Agent, the Revolving Agent nor any Lender shall have any obligation to repay any interest or fees to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as a result of any restatement or other event a proper calculation of the First Lien Leverage Ratio would have resulted in higher pricing for one or more periods and lower pricing for one or more other periods (due to the shifting of income or expenses from one period to another period or any similar reason), then the amount payable by the Borrower pursuant to clause (b)(i) above shall be based upon the excess, if any, of the amount of interest and fees that should have been paid for all applicable periods over the amount of interest and fees paid for all such periods. This paragraph shall not limit the rights of the Administrative Agent, the Revolving Agent or any Lender, as the case may be, including the rights available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51" w:right="499" w:bottom="1440" w:gutter="0" w:footer="0" w:header="0"/>
        </w:sectPr>
      </w:pPr>
    </w:p>
    <w:bookmarkStart w:id="179" w:name="page180"/>
    <w:bookmarkEnd w:id="179"/>
    <w:p>
      <w:pPr>
        <w:ind w:firstLine="987"/>
        <w:spacing w:after="0" w:line="266"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and after the Third Amendment Effective Date immediately after giving effect to the Third Amendment, for any day with respect to any Revolving Loans, (i) 2.75% per annum in the case of a Base Rate Loan or (ii) 3.75% per annum in the case of a SOFR Loan. For the avoidance of doubt, the Revolving Loans shall not be subject to any PIK Interest and shall be payable solely in cash in accordance with this Agreement.</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with respect to any Lender, any Fund that is administered, advised or managed by (a) a Lender, (b) an Affiliate of a Lender, (c) an entity or an Affiliate of an entity that administers, advises or manages a Lender or (d) a limited partner or member of any of the foregoing.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Ares</w:t>
      </w:r>
      <w:r>
        <w:rPr>
          <w:rFonts w:ascii="Times New Roman" w:cs="Times New Roman" w:eastAsia="Times New Roman" w:hAnsi="Times New Roman"/>
          <w:sz w:val="18"/>
          <w:szCs w:val="18"/>
          <w:color w:val="auto"/>
        </w:rPr>
        <w:t>” means Ares Capital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means, as of any date of determination, the aggregate amount that the Borrower is entitled to borrow as Revolving Loans, in each case, under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(after giving effect to the then outstanding Revolver Usage).</w:t>
      </w:r>
    </w:p>
    <w:p>
      <w:pPr>
        <w:spacing w:after="0" w:line="162"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Basket Amount</w:t>
      </w:r>
      <w:r>
        <w:rPr>
          <w:rFonts w:ascii="Times New Roman" w:cs="Times New Roman" w:eastAsia="Times New Roman" w:hAnsi="Times New Roman"/>
          <w:sz w:val="18"/>
          <w:szCs w:val="18"/>
          <w:color w:val="auto"/>
        </w:rPr>
        <w:t xml:space="preserve">” means, as of any date of determination, (a) without duplication, the net cash proceeds of any issuance of Equity Interests of the Borrower (other than Disqualified Equity Interests) and 100% of the aggregate amount of cash contributions to the common capital of the Borrower, in each case after the Effective Date (in each case, to the extent not earmarked or for any other purposes under this Agreement or the other Loan Documents or Not Otherwise Applied),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of Investments (including Permitted Acquisitions and payments in respect of earnouts, milestone and other similar deferred purchase price obligations) and other payments made in respect of the Google Note, in each case, made using the Available Basket Amount on or prior to such date.</w:t>
      </w:r>
    </w:p>
    <w:p>
      <w:pPr>
        <w:spacing w:after="0" w:line="18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clause (d)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80" w:name="page181"/>
    <w:bookmarkEnd w:id="180"/>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Average Revolver Usage</w:t>
      </w:r>
      <w:r>
        <w:rPr>
          <w:rFonts w:ascii="Times New Roman" w:cs="Times New Roman" w:eastAsia="Times New Roman" w:hAnsi="Times New Roman"/>
          <w:sz w:val="18"/>
          <w:szCs w:val="18"/>
          <w:color w:val="auto"/>
        </w:rPr>
        <w:t>” means, with respect to any period, the sum of the aggregate amount of Revolver Usage for each calendar day in such period (calculated as of the end of each respective day) divided by the number of calendar days in such period.</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the greatest of (a) the “Prime Rate” appearing in the “Money Rates” section of The Wall Street Journal or another national publication selected by Agent, (b) the Federal Funds Rate plus 0.50%, (c) Term SOFR for a one-month tenor in effect on such day plus 1.00%, in each instance as of such day and (d) 2.00%. Any change in the Base Rate due to a change in any of the foregoing shall be effective on the effective date of such change in the Prime Rate, the Federal Funds Rate or Term SOFR for an Interest Period of one month.</w:t>
      </w:r>
    </w:p>
    <w:p>
      <w:pPr>
        <w:spacing w:after="0" w:line="180"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Borrowing</w:t>
      </w:r>
      <w:r>
        <w:rPr>
          <w:rFonts w:ascii="Times New Roman" w:cs="Times New Roman" w:eastAsia="Times New Roman" w:hAnsi="Times New Roman"/>
          <w:sz w:val="18"/>
          <w:szCs w:val="18"/>
          <w:color w:val="auto"/>
        </w:rPr>
        <w:t>” means, when used in reference to any Borrowing, refers to whether the Loans comprising such Borrowing are bearing interest at a rate determined by reference to the Base Rate.</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when used in reference to any Loan, refers to whether such Loan is bearing interest at a rate determined by reference to the Base Rate.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81" w:name="page182"/>
    <w:bookmarkEnd w:id="181"/>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clause (a)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18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w:t>
      </w:r>
    </w:p>
    <w:p>
      <w:pPr>
        <w:spacing w:after="0" w:line="117" w:lineRule="exact"/>
        <w:rPr>
          <w:sz w:val="20"/>
          <w:szCs w:val="20"/>
          <w:color w:val="auto"/>
        </w:rPr>
      </w:pPr>
    </w:p>
    <w:p>
      <w:pPr>
        <w:ind w:left="440" w:right="540" w:firstLine="952"/>
        <w:spacing w:after="0" w:line="261" w:lineRule="auto"/>
        <w:rPr>
          <w:sz w:val="20"/>
          <w:szCs w:val="20"/>
          <w:color w:val="auto"/>
        </w:rPr>
      </w:pPr>
      <w:r>
        <w:rPr>
          <w:rFonts w:ascii="Times New Roman" w:cs="Times New Roman" w:eastAsia="Times New Roman" w:hAnsi="Times New Roman"/>
          <w:sz w:val="18"/>
          <w:szCs w:val="18"/>
          <w:color w:val="auto"/>
        </w:rPr>
        <w:t>(1)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72" w:lineRule="exact"/>
        <w:rPr>
          <w:sz w:val="20"/>
          <w:szCs w:val="20"/>
          <w:color w:val="auto"/>
        </w:rPr>
      </w:pPr>
    </w:p>
    <w:p>
      <w:pPr>
        <w:ind w:left="440" w:right="100" w:firstLine="952"/>
        <w:spacing w:after="0" w:line="258" w:lineRule="auto"/>
        <w:rPr>
          <w:sz w:val="20"/>
          <w:szCs w:val="20"/>
          <w:color w:val="auto"/>
        </w:rPr>
      </w:pPr>
      <w:r>
        <w:rPr>
          <w:rFonts w:ascii="Times New Roman" w:cs="Times New Roman" w:eastAsia="Times New Roman" w:hAnsi="Times New Roman"/>
          <w:sz w:val="18"/>
          <w:szCs w:val="18"/>
          <w:color w:val="auto"/>
        </w:rPr>
        <w:t xml:space="preserve">(2)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82" w:name="page183"/>
    <w:bookmarkEnd w:id="18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17" w:lineRule="exact"/>
        <w:rPr>
          <w:sz w:val="20"/>
          <w:szCs w:val="20"/>
          <w:color w:val="auto"/>
        </w:rPr>
      </w:pPr>
    </w:p>
    <w:p>
      <w:pPr>
        <w:ind w:left="440" w:right="240" w:firstLine="952"/>
        <w:spacing w:after="0" w:line="261" w:lineRule="auto"/>
        <w:rPr>
          <w:sz w:val="20"/>
          <w:szCs w:val="20"/>
          <w:color w:val="auto"/>
        </w:rPr>
      </w:pPr>
      <w:r>
        <w:rPr>
          <w:rFonts w:ascii="Times New Roman" w:cs="Times New Roman" w:eastAsia="Times New Roman" w:hAnsi="Times New Roman"/>
          <w:sz w:val="18"/>
          <w:szCs w:val="18"/>
          <w:color w:val="auto"/>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2" w:lineRule="exact"/>
        <w:rPr>
          <w:sz w:val="20"/>
          <w:szCs w:val="20"/>
          <w:color w:val="auto"/>
        </w:rPr>
      </w:pPr>
    </w:p>
    <w:p>
      <w:pPr>
        <w:ind w:left="440" w:right="60" w:firstLine="952"/>
        <w:spacing w:after="0" w:line="255" w:lineRule="auto"/>
        <w:rPr>
          <w:sz w:val="20"/>
          <w:szCs w:val="20"/>
          <w:color w:val="auto"/>
        </w:rPr>
      </w:pPr>
      <w:r>
        <w:rPr>
          <w:rFonts w:ascii="Times New Roman" w:cs="Times New Roman" w:eastAsia="Times New Roman" w:hAnsi="Times New Roman"/>
          <w:sz w:val="18"/>
          <w:szCs w:val="18"/>
          <w:color w:val="auto"/>
        </w:rPr>
        <w:t>(b)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81" w:lineRule="exact"/>
        <w:rPr>
          <w:sz w:val="20"/>
          <w:szCs w:val="20"/>
          <w:color w:val="auto"/>
        </w:rPr>
      </w:pPr>
    </w:p>
    <w:p>
      <w:pPr>
        <w:jc w:val="both"/>
        <w:ind w:left="440" w:right="140" w:firstLine="952"/>
        <w:spacing w:after="0" w:line="266" w:lineRule="auto"/>
        <w:rPr>
          <w:sz w:val="20"/>
          <w:szCs w:val="20"/>
          <w:color w:val="auto"/>
        </w:rPr>
      </w:pPr>
      <w:r>
        <w:rPr>
          <w:rFonts w:ascii="Times New Roman" w:cs="Times New Roman" w:eastAsia="Times New Roman" w:hAnsi="Times New Roman"/>
          <w:sz w:val="18"/>
          <w:szCs w:val="18"/>
          <w:color w:val="auto"/>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991"/>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19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(i) in the case of any corporation, the board of directors of such Person or any committee thereof duly authorized to act on behalf of such</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40" w:top="270" w:right="539" w:bottom="1440" w:gutter="0" w:footer="0" w:header="0"/>
        </w:sectPr>
      </w:pPr>
    </w:p>
    <w:bookmarkStart w:id="183" w:name="page184"/>
    <w:bookmarkEnd w:id="183"/>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(ii) in the case of any limited liability company, the board of managers, board of directors, manager or managing member of such Person, (iii) in the case of any partnership, the board of directors or board of managers of the general partner of such Person and (iv) in any other case, the functional equivalent of the foregoing.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SOFR Loans, as to which a single Interest Period is in effect.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means, at any time, an amount equal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lesser of:</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the Revolving Commitments, and</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the sum of:</w:t>
      </w:r>
    </w:p>
    <w:p>
      <w:pPr>
        <w:spacing w:after="0" w:line="117" w:lineRule="exact"/>
        <w:rPr>
          <w:sz w:val="20"/>
          <w:szCs w:val="20"/>
          <w:color w:val="auto"/>
        </w:rPr>
      </w:pPr>
    </w:p>
    <w:p>
      <w:pPr>
        <w:ind w:left="1420" w:firstLine="863"/>
        <w:spacing w:after="0" w:line="282" w:lineRule="auto"/>
        <w:rPr>
          <w:sz w:val="20"/>
          <w:szCs w:val="20"/>
          <w:color w:val="auto"/>
        </w:rPr>
      </w:pPr>
      <w:r>
        <w:rPr>
          <w:rFonts w:ascii="Times New Roman" w:cs="Times New Roman" w:eastAsia="Times New Roman" w:hAnsi="Times New Roman"/>
          <w:sz w:val="18"/>
          <w:szCs w:val="18"/>
          <w:color w:val="auto"/>
        </w:rPr>
        <w:t xml:space="preserve">(A)  an amount not to exceed 90% of the aggregate amount of the result of Eligible Accounts less the Dilution Reserve, if any, at such time; </w:t>
      </w:r>
      <w:r>
        <w:rPr>
          <w:rFonts w:ascii="Times New Roman" w:cs="Times New Roman" w:eastAsia="Times New Roman" w:hAnsi="Times New Roman"/>
          <w:sz w:val="18"/>
          <w:szCs w:val="18"/>
          <w:u w:val="single" w:color="auto"/>
          <w:color w:val="auto"/>
        </w:rPr>
        <w:t>plus</w:t>
      </w:r>
    </w:p>
    <w:p>
      <w:pPr>
        <w:spacing w:after="0" w:line="5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(B)   100% of Qualified Cash in an amount not to exceed $50,000,000; less</w:t>
      </w:r>
    </w:p>
    <w:p>
      <w:pPr>
        <w:spacing w:after="0" w:line="117" w:lineRule="exact"/>
        <w:rPr>
          <w:sz w:val="20"/>
          <w:szCs w:val="20"/>
          <w:color w:val="auto"/>
        </w:rPr>
      </w:pPr>
    </w:p>
    <w:p>
      <w:pPr>
        <w:ind w:left="440" w:right="360" w:firstLine="952"/>
        <w:spacing w:after="0" w:line="282" w:lineRule="auto"/>
        <w:rPr>
          <w:sz w:val="20"/>
          <w:szCs w:val="20"/>
          <w:color w:val="auto"/>
        </w:rPr>
      </w:pPr>
      <w:r>
        <w:rPr>
          <w:rFonts w:ascii="Times New Roman" w:cs="Times New Roman" w:eastAsia="Times New Roman" w:hAnsi="Times New Roman"/>
          <w:sz w:val="18"/>
          <w:szCs w:val="18"/>
          <w:color w:val="auto"/>
        </w:rPr>
        <w:t>(b)  without duplication of any Reserves accounted for pursuant to clause (a)(ii) above, the aggregate amount of all Reserves in effect at such time.</w:t>
      </w:r>
    </w:p>
    <w:p>
      <w:pPr>
        <w:spacing w:after="0" w:line="162"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The Borrowing Base at any time shall be determined by reference to the most recent Borrowing Base Certificate delivered to the Revolving Agent in accordance with this Agreement.</w:t>
      </w:r>
    </w:p>
    <w:p>
      <w:pPr>
        <w:spacing w:after="0" w:line="162"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a certificate duly completed and executed by a financial officer of the Borrower,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any other form approved by the Revolving Agent.</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written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Borrowing Request shall be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or such other form as shall be approved by the Administrative Agent.</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commercial banks are open for commercial banking business in Chicago, Illinois and New York, New York; provided, that for purposes of determining the rate of interest applicable to any Loan the reference rate for which utilizes Term SOFR and for any notice periods related to the borrowing or continuation of, or the conversion into, a SOFR Loan, “Business Day” shall exclude any day on which the Securities Industry and Financial Markets Association recommends that the fixed income departments of its members be closed for the entire day for purposes of trading in United States government securities.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 Carryover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84" w:name="page185"/>
    <w:bookmarkEnd w:id="184"/>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should be capitalized on the balance sheet of such Person in accordance with GAAP.</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any lease of property which in accordance with GAAP is required to be capitalized on the balance sheet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lessee.</w:t>
      </w:r>
    </w:p>
    <w:p>
      <w:pPr>
        <w:spacing w:after="0" w:line="207"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tangible personal property, or a combination thereof, which obligations are, or are required to be, classified and accounted for as capital leases on the balance sheet of such Person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all purposes hereunder, any obligations of such Person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87" w:lineRule="exact"/>
        <w:rPr>
          <w:sz w:val="20"/>
          <w:szCs w:val="20"/>
          <w:color w:val="auto"/>
        </w:rPr>
      </w:pPr>
    </w:p>
    <w:p>
      <w:pPr>
        <w:ind w:left="4" w:right="180"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Dominion Event</w:t>
      </w:r>
      <w:r>
        <w:rPr>
          <w:rFonts w:ascii="Times New Roman" w:cs="Times New Roman" w:eastAsia="Times New Roman" w:hAnsi="Times New Roman"/>
          <w:sz w:val="17"/>
          <w:szCs w:val="17"/>
          <w:color w:val="auto"/>
        </w:rPr>
        <w:t>” means (i) the occurrence of a Specified Event of Default;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Specified Event of Default is cured, waived or otherwise no longer exists, the Cash Dominion Event shall no longer be deemed to exist pursuant to this clause (i) until such time as another Specified Event of Default occurs), or (ii) Liquidity being less than the greater of (1) $15,000,000 and (2) 15% of the Maximum Revolving Commitment Amount (provided that, if Liquidity thereafter equals or exceeds the greater of (1) $15,000,000 and (2) 15% of the Maximum Revolving Commitment Amount for a period of thirty (30) consecutive days, the Cash Dominion Event shall no longer be deemed to exist pursuant to this clause</w:t>
      </w:r>
    </w:p>
    <w:p>
      <w:pPr>
        <w:spacing w:after="0" w:line="3" w:lineRule="exact"/>
        <w:rPr>
          <w:sz w:val="20"/>
          <w:szCs w:val="20"/>
          <w:color w:val="auto"/>
        </w:rPr>
      </w:pPr>
    </w:p>
    <w:p>
      <w:pPr>
        <w:ind w:left="4" w:right="120" w:hanging="4"/>
        <w:spacing w:after="0" w:line="250" w:lineRule="auto"/>
        <w:tabs>
          <w:tab w:leader="none" w:pos="26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such time as Liquidity falls below the threshold in this clause (ii) on another occasion;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a Cash Dominion Event may not be deemed to have ended under clause (ii) of this definition on more than three (3) occasions in any period of three hundred sixty-five</w:t>
      </w: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 consecutive days and (B) the expiration of any Cash Dominion Event in accordance with this definition shall not impair the commencement of any subsequent Cash Dominion Event).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(a)  marketable direct obligations issued by, or unconditionally guaranteed by, the United States or issued by any agency thereof and backed by the full faith and credit of the United States, in each case maturing within one (1) year from the date of acquisition thereof;</w:t>
      </w:r>
    </w:p>
    <w:p>
      <w:pPr>
        <w:spacing w:after="0" w:line="162"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(b)  marketable direct obligations issued or fully guaranteed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w:t>
      </w:r>
    </w:p>
    <w:p>
      <w:pPr>
        <w:spacing w:after="0" w:line="176"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(c)  commercial paper maturing no more than three hundred sixty-five (365) days from the date of creation thereof and, at the time of acquisition, having a rating of at least A-2 from S&amp;P or at least P-2 from Moody’s;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85" w:name="page186"/>
    <w:bookmarkEnd w:id="185"/>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certificates of deposit, time deposits, overnight bank deposits or bankers’ acceptances maturing within one (1)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$500,000,000;</w:t>
      </w:r>
    </w:p>
    <w:p>
      <w:pPr>
        <w:spacing w:after="0" w:line="176"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(e)  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(f)  repurchase obligations of any commercial bank satisfying the requirements of clause (d) of this definition or any recognized securities dealer having combined capital and surplus of not less than $500,000,000, having a term of not more than thirty (30) days, with respect to securities satisfying the criteria in clauses (a) or (d) above;</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(g)  debt securities with maturities of six (6) months or less from the date of acquisition backed by standby letters of credit issued by any commercial bank satisfying the criteria described in clause (d) above; and</w:t>
      </w:r>
    </w:p>
    <w:p>
      <w:pPr>
        <w:spacing w:after="0" w:line="162"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(h)  Investments in money market funds substantially all of whose assets are invested in the types of assets described in clauses (a) through (g) above.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of 1980, as subsequently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CERCLIS</w:t>
      </w:r>
      <w:r>
        <w:rPr>
          <w:rFonts w:ascii="Times New Roman" w:cs="Times New Roman" w:eastAsia="Times New Roman" w:hAnsi="Times New Roman"/>
          <w:sz w:val="18"/>
          <w:szCs w:val="18"/>
          <w:color w:val="auto"/>
        </w:rPr>
        <w:t>” means the Comprehensive Environmental Response, Compensation and Liability Information System maintained by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Protection Agency.</w:t>
      </w:r>
    </w:p>
    <w:p>
      <w:pPr>
        <w:spacing w:after="0" w:line="20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by any lending office of such Lender or by such Lender’s holding company, if any) with any request, guideline or directive (whether or not having the force of law) of any Governmental Authority made or issued after the date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80" w:firstLine="952"/>
        <w:spacing w:after="0" w:line="266" w:lineRule="auto"/>
        <w:rPr>
          <w:sz w:val="20"/>
          <w:szCs w:val="20"/>
          <w:color w:val="auto"/>
        </w:rPr>
      </w:pPr>
      <w:r>
        <w:rPr>
          <w:rFonts w:ascii="Times New Roman" w:cs="Times New Roman" w:eastAsia="Times New Roman" w:hAnsi="Times New Roman"/>
          <w:sz w:val="18"/>
          <w:szCs w:val="18"/>
          <w:color w:val="auto"/>
        </w:rPr>
        <w:t>(a)  at any time prior to an IPO, the Permitted Holders, directly or indirectly, shall cease to beneficially own (within the meaning of Rule 13d-3 and Rule 13d-5 under the Exchange Act) Equity Interests representing more than 50.1% of the total voting power of all of the outstanding voting stock of the Borrower;</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   at any time on or after an IPO, the acquisition by any Person or group (within the meaning of Section 13(d)(3) or Section 14(d)</w:t>
      </w:r>
    </w:p>
    <w:p>
      <w:pPr>
        <w:spacing w:after="0" w:line="27" w:lineRule="exact"/>
        <w:rPr>
          <w:sz w:val="20"/>
          <w:szCs w:val="20"/>
          <w:color w:val="auto"/>
        </w:rPr>
      </w:pPr>
    </w:p>
    <w:p>
      <w:pPr>
        <w:ind w:left="440" w:right="140" w:hanging="4"/>
        <w:spacing w:after="0" w:line="255" w:lineRule="auto"/>
        <w:tabs>
          <w:tab w:leader="none" w:pos="69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but excluding any employee benefit plan and/or Person acting as the trustee, agent or other fiduciary or administrator therefor, other than one or more Permitted Holders, in a single transaction or in a related series of transactions, by way of merger, amalgamation, consolidation or other business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86" w:name="page187"/>
    <w:bookmarkEnd w:id="186"/>
    <w:p>
      <w:pPr>
        <w:ind w:left="440"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combination or purchase of beneficial ownership (within the meaning of Rule 13d-3 under the Exchange Act) of Equity Interests representing more than 35.0% of the total voting power of all of the outstanding voting stock of the Borrower;</w:t>
      </w:r>
    </w:p>
    <w:p>
      <w:pPr>
        <w:spacing w:after="0" w:line="54" w:lineRule="exact"/>
        <w:rPr>
          <w:sz w:val="20"/>
          <w:szCs w:val="20"/>
          <w:color w:val="auto"/>
        </w:rPr>
      </w:pPr>
    </w:p>
    <w:p>
      <w:pPr>
        <w:ind w:left="440" w:right="20" w:firstLine="952"/>
        <w:spacing w:after="0" w:line="282" w:lineRule="auto"/>
        <w:rPr>
          <w:sz w:val="20"/>
          <w:szCs w:val="20"/>
          <w:color w:val="auto"/>
        </w:rPr>
      </w:pPr>
      <w:r>
        <w:rPr>
          <w:rFonts w:ascii="Times New Roman" w:cs="Times New Roman" w:eastAsia="Times New Roman" w:hAnsi="Times New Roman"/>
          <w:sz w:val="18"/>
          <w:szCs w:val="18"/>
          <w:color w:val="auto"/>
        </w:rPr>
        <w:t>(c)  Eric Lefkofsky shall cease to have the right or ability by voting power, contract or otherwise to elect or designate for election at least a majority of the Board of Directors of the Borrower;</w:t>
      </w:r>
    </w:p>
    <w:p>
      <w:pPr>
        <w:spacing w:after="0" w:line="54" w:lineRule="exact"/>
        <w:rPr>
          <w:sz w:val="20"/>
          <w:szCs w:val="20"/>
          <w:color w:val="auto"/>
        </w:rPr>
      </w:pPr>
    </w:p>
    <w:p>
      <w:pPr>
        <w:jc w:val="both"/>
        <w:ind w:left="440" w:right="140" w:firstLine="952"/>
        <w:spacing w:after="0" w:line="266" w:lineRule="auto"/>
        <w:rPr>
          <w:sz w:val="20"/>
          <w:szCs w:val="20"/>
          <w:color w:val="auto"/>
        </w:rPr>
      </w:pPr>
      <w:r>
        <w:rPr>
          <w:rFonts w:ascii="Times New Roman" w:cs="Times New Roman" w:eastAsia="Times New Roman" w:hAnsi="Times New Roman"/>
          <w:sz w:val="18"/>
          <w:szCs w:val="18"/>
          <w:color w:val="auto"/>
        </w:rPr>
        <w:t>(d)  Eric Lefkofsky shall (i) cease to be the Chief Executive Officer of the Borrower and (ii) cease to be a member of the Board of Directors of the Borrower, in each case within three (3) years of the Effective Date and, in each case, except as a result of his death, disability or incapacitation; or</w:t>
      </w:r>
    </w:p>
    <w:p>
      <w:pPr>
        <w:spacing w:after="0" w:line="68" w:lineRule="exact"/>
        <w:rPr>
          <w:sz w:val="20"/>
          <w:szCs w:val="20"/>
          <w:color w:val="auto"/>
        </w:rPr>
      </w:pPr>
    </w:p>
    <w:p>
      <w:pPr>
        <w:ind w:left="440" w:right="160" w:firstLine="952"/>
        <w:spacing w:after="0" w:line="282" w:lineRule="auto"/>
        <w:rPr>
          <w:sz w:val="20"/>
          <w:szCs w:val="20"/>
          <w:color w:val="auto"/>
        </w:rPr>
      </w:pPr>
      <w:r>
        <w:rPr>
          <w:rFonts w:ascii="Times New Roman" w:cs="Times New Roman" w:eastAsia="Times New Roman" w:hAnsi="Times New Roman"/>
          <w:sz w:val="18"/>
          <w:szCs w:val="18"/>
          <w:color w:val="auto"/>
        </w:rPr>
        <w:t>(e)  the occurrence of a “Change of Control</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and/or “Fundamental Change” (each howsoever defined)</w:t>
      </w:r>
      <w:r>
        <w:rPr>
          <w:rFonts w:ascii="Times New Roman" w:cs="Times New Roman" w:eastAsia="Times New Roman" w:hAnsi="Times New Roman"/>
          <w:sz w:val="18"/>
          <w:szCs w:val="18"/>
          <w:color w:val="auto"/>
        </w:rPr>
        <w:t xml:space="preserve"> as defined in any Material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-151130</wp:posOffset>
            </wp:positionV>
            <wp:extent cx="26060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Claims Act</w:t>
      </w:r>
      <w:r>
        <w:rPr>
          <w:rFonts w:ascii="Times New Roman" w:cs="Times New Roman" w:eastAsia="Times New Roman" w:hAnsi="Times New Roman"/>
          <w:sz w:val="18"/>
          <w:szCs w:val="18"/>
          <w:color w:val="auto"/>
        </w:rPr>
        <w:t>” has the meaning set forth in the definition of “Health Care Laws.”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and the rules and regulations promulgated thereunder, as amended from time to time.</w:t>
      </w:r>
    </w:p>
    <w:p>
      <w:pPr>
        <w:spacing w:after="0" w:line="225" w:lineRule="exact"/>
        <w:rPr>
          <w:sz w:val="20"/>
          <w:szCs w:val="20"/>
          <w:color w:val="auto"/>
        </w:rPr>
      </w:pPr>
    </w:p>
    <w:p>
      <w:pPr>
        <w:ind w:right="6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Collateral</w:t>
      </w:r>
      <w:r>
        <w:rPr>
          <w:rFonts w:ascii="Times New Roman" w:cs="Times New Roman" w:eastAsia="Times New Roman" w:hAnsi="Times New Roman"/>
          <w:sz w:val="17"/>
          <w:szCs w:val="17"/>
          <w:color w:val="auto"/>
        </w:rPr>
        <w:t>” means any and all “Collateral,” as defined in any applicable Security Document (which shall include the Mortgaged Properties) and all other property of whatever kind subject or purported to be subject from time to time to a Lien under any Security Document.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Ares, in its capacity as collateral agent for the Lenders under this Agreement and any Security Document.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means the Guarantee and Collateral Agreement among the Loan Parties and the Collateral Agent, dated as of the Effective Date (as amended or supplemented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the requirement that:</w:t>
      </w:r>
    </w:p>
    <w:p>
      <w:pPr>
        <w:spacing w:after="0" w:line="117" w:lineRule="exact"/>
        <w:rPr>
          <w:sz w:val="20"/>
          <w:szCs w:val="20"/>
          <w:color w:val="auto"/>
        </w:rPr>
      </w:pPr>
    </w:p>
    <w:p>
      <w:pPr>
        <w:jc w:val="both"/>
        <w:ind w:left="440" w:right="580" w:firstLine="952"/>
        <w:spacing w:after="0" w:line="266" w:lineRule="auto"/>
        <w:rPr>
          <w:sz w:val="20"/>
          <w:szCs w:val="20"/>
          <w:color w:val="auto"/>
        </w:rPr>
      </w:pPr>
      <w:r>
        <w:rPr>
          <w:rFonts w:ascii="Times New Roman" w:cs="Times New Roman" w:eastAsia="Times New Roman" w:hAnsi="Times New Roman"/>
          <w:sz w:val="18"/>
          <w:szCs w:val="18"/>
          <w:color w:val="auto"/>
        </w:rPr>
        <w:t>(a)  the Collateral Agent shall have received from each Loan Party either (i) a counterpart of the Collateral Agreement duly executed and delivered on behalf of such Loan Party or (ii) in the case of any Person that becomes a Loan Party after the Effective Date, a supplement to the Collateral Agreement, in the form specified therein, duly executed and delivered on behalf of such Loan Party;</w:t>
      </w:r>
    </w:p>
    <w:p>
      <w:pPr>
        <w:spacing w:after="0" w:line="68" w:lineRule="exact"/>
        <w:rPr>
          <w:sz w:val="20"/>
          <w:szCs w:val="20"/>
          <w:color w:val="auto"/>
        </w:rPr>
      </w:pPr>
    </w:p>
    <w:p>
      <w:pPr>
        <w:ind w:left="440" w:right="220" w:firstLine="952"/>
        <w:spacing w:after="0" w:line="261" w:lineRule="auto"/>
        <w:rPr>
          <w:sz w:val="20"/>
          <w:szCs w:val="20"/>
          <w:color w:val="auto"/>
        </w:rPr>
      </w:pPr>
      <w:r>
        <w:rPr>
          <w:rFonts w:ascii="Times New Roman" w:cs="Times New Roman" w:eastAsia="Times New Roman" w:hAnsi="Times New Roman"/>
          <w:sz w:val="18"/>
          <w:szCs w:val="18"/>
          <w:color w:val="auto"/>
        </w:rPr>
        <w:t>(b)  all outstanding Equity Interests of each wholly-owned Subsidiary owned directly by any Loan Party shall have been pledged pursuant to the Collateral Agreement (except that the Loan Parties (i) shall not be required to pledge or otherwise grant security interests in</w:t>
      </w:r>
    </w:p>
    <w:p>
      <w:pPr>
        <w:ind w:left="440" w:hanging="4"/>
        <w:spacing w:after="0" w:line="253" w:lineRule="auto"/>
        <w:tabs>
          <w:tab w:leader="none" w:pos="7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of a direct or indirect Foreign Subsidiary or (B) any assets of any Domestic Subsidiary if substantially all of its assets consist of the Equity Interests or Equity Interests and Indebtedness of (x) one or more direct or indirect Foreign Subsidiaries that are “controlled foreign corporations” under Section 957 of the Code if any of the dividends of such controlled foreign corporation are not entitled to the dividends received deduction under Section 245A of the Code (as reasonably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187" w:name="page188"/>
    <w:bookmarkEnd w:id="187"/>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determined by the Borrower in good faith) or (y) other Domestic Subsidiaries otherwise described in this clause (B) (each, a “</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or (C) any equity interests (as determined for U.S. federal income tax purposes) of (1) a direct or indirect Domestic Subsidiary of a direct or indirect Foreign Subsidiary, (2) any direct or indirect Domestic Subsidiary that is treated as a disregarded entity for U.S. federal income tax purposes if substantially all of its assets consists of the Equity Interests or indebtedness (as determined for U.S. federal income tax purposes) of one or more direct or indirect Foreign Subsidiaries, and (3) that are voting equity interests of (x) any Foreign Subsidiary or (y) any FSHCO, in each case, in excess of 65% of the voting equity interests and 100% of the outstanding non-voting equity interests thereof, and (ii) shall not be required to make any pledge, the pledge of which would constitute a violation of law or any contract permitted under this Agreement) and the Collateral Agent shall have received certificates or other instruments (if any) representing all such Equity Interests, together with undated stock powers or other instruments of transfer with respect thereto endorsed in blank;</w:t>
      </w:r>
    </w:p>
    <w:p>
      <w:pPr>
        <w:spacing w:after="0" w:line="80" w:lineRule="exact"/>
        <w:rPr>
          <w:sz w:val="20"/>
          <w:szCs w:val="20"/>
          <w:color w:val="auto"/>
        </w:rPr>
      </w:pPr>
    </w:p>
    <w:p>
      <w:pPr>
        <w:ind w:left="440" w:right="120" w:firstLine="952"/>
        <w:spacing w:after="0" w:line="258" w:lineRule="auto"/>
        <w:rPr>
          <w:sz w:val="20"/>
          <w:szCs w:val="20"/>
          <w:color w:val="auto"/>
        </w:rPr>
      </w:pPr>
      <w:r>
        <w:rPr>
          <w:rFonts w:ascii="Times New Roman" w:cs="Times New Roman" w:eastAsia="Times New Roman" w:hAnsi="Times New Roman"/>
          <w:sz w:val="18"/>
          <w:szCs w:val="18"/>
          <w:color w:val="auto"/>
        </w:rPr>
        <w:t>(c)  all Indebtedness for borrowed money of a Subsidiary in excess of $250,000 that is owing to any Loan Party shall be evidenced by a promissory note and shall have been pledged pursuant to the Collateral Agreement, and the Collateral Agent shall have received all such promissory notes and other promissory notes required to be delivered pursuant to the Collateral Agreement, together with undated instruments of transfer with respect thereto; provided, however, that the foregoing delivery requirement with respect to any intercompany indebtedness may be satisfied by delivery of an omnibus or global intercompany note executed by all Loan Parties as payees and all such obligors as payors;</w:t>
      </w:r>
    </w:p>
    <w:p>
      <w:pPr>
        <w:spacing w:after="0" w:line="75" w:lineRule="exact"/>
        <w:rPr>
          <w:sz w:val="20"/>
          <w:szCs w:val="20"/>
          <w:color w:val="auto"/>
        </w:rPr>
      </w:pPr>
    </w:p>
    <w:p>
      <w:pPr>
        <w:ind w:left="440" w:right="60" w:firstLine="952"/>
        <w:spacing w:after="0" w:line="261" w:lineRule="auto"/>
        <w:rPr>
          <w:sz w:val="20"/>
          <w:szCs w:val="20"/>
          <w:color w:val="auto"/>
        </w:rPr>
      </w:pPr>
      <w:r>
        <w:rPr>
          <w:rFonts w:ascii="Times New Roman" w:cs="Times New Roman" w:eastAsia="Times New Roman" w:hAnsi="Times New Roman"/>
          <w:sz w:val="18"/>
          <w:szCs w:val="18"/>
          <w:color w:val="auto"/>
        </w:rPr>
        <w:t>(d)  all documents and instruments, including Uniform Commercial Code financing statements and control agreements, required by law or reasonably requested by the Collateral Agent to be executed, filed, registered or recorded to create the Liens intended to be created by the Collateral Agreement and perfect such Liens to the extent required by the Collateral Agreement, shall have been executed, filed, registered or recorded or delivered to the Collateral Agent for filing, registration or recording; and</w:t>
      </w:r>
    </w:p>
    <w:p>
      <w:pPr>
        <w:spacing w:after="0" w:line="72" w:lineRule="exact"/>
        <w:rPr>
          <w:sz w:val="20"/>
          <w:szCs w:val="20"/>
          <w:color w:val="auto"/>
        </w:rPr>
      </w:pPr>
    </w:p>
    <w:p>
      <w:pPr>
        <w:ind w:left="440" w:right="40" w:firstLine="952"/>
        <w:spacing w:after="0" w:line="255" w:lineRule="auto"/>
        <w:rPr>
          <w:sz w:val="20"/>
          <w:szCs w:val="20"/>
          <w:color w:val="auto"/>
        </w:rPr>
      </w:pPr>
      <w:r>
        <w:rPr>
          <w:rFonts w:ascii="Times New Roman" w:cs="Times New Roman" w:eastAsia="Times New Roman" w:hAnsi="Times New Roman"/>
          <w:sz w:val="18"/>
          <w:szCs w:val="18"/>
          <w:color w:val="auto"/>
        </w:rPr>
        <w:t xml:space="preserve">(e)  the Collateral Agent shall have received (i) counterparts of a Mortgage with respect to each Mortgaged Property duly executed and delivered by the record owner of such Mortgaged Property, (ii) a policy or policies of title insurance issued by a nationally recognized title insurance company insuring the Lien of each such Mortgage as a valid senior secured Lien on the Mortgaged Property described therein, free of any other Liens except as expressly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and such surveys and legal opinions (excluding zoning and land use opinions if the title insurance policy includes a zoning endorsement), completed Federal Emergency Management Agency Standard Flood Hazard Determination with respect to each Mortgaged Property and other documents as the Collateral Agent may reasonably request with respect to any such Mortgage or Mortgaged Property.</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or any Security Document, (i) no Loan Party shall be required to pledge or grant security interests in any Excluded Asset (as defined in the Collateral Agreement) and (ii) no perfection steps or other actions or filings outside of the United States shall be required. The Administrative Agent may grant extensions of time for the perfection of security interests in or the obtaining of title insurance or surveys with respect to particular assets (including extensions beyond the Effective Date for the perfection of security interests in the assets of the Loan Parties on such date) where it reasonably determines, in consultation with the Borrower, that perfection cannot be accomplished without undue effort or expense by the time or times at which it would otherwise be required by this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88" w:name="page189"/>
    <w:bookmarkEnd w:id="188"/>
    <w:p>
      <w:pPr>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or the Security Documents. Notwithstanding the foregoing provisions of this definition or anything in this Agreement or any other Loan Document to the contrary, Liens required to be granted from time to time pursuant to the Collateral and Guarantee Requirement shall be subject to exceptions and limitations set forth in the Security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individually or collectively, the Term Loan Commitment and/or the Revolving Commitment, as the context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§1 et. seq.), as amended from time to time, and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Competitors</w:t>
      </w:r>
      <w:r>
        <w:rPr>
          <w:rFonts w:ascii="Times New Roman" w:cs="Times New Roman" w:eastAsia="Times New Roman" w:hAnsi="Times New Roman"/>
          <w:sz w:val="18"/>
          <w:szCs w:val="18"/>
          <w:color w:val="auto"/>
        </w:rPr>
        <w:t>” means any Person who is not an Affiliate of a Loan Party and who engages (or whose Affiliate engages), as its primary business, in the same or similar business as the Permitted Business.</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duly completed and executed by a financial officer of the Borrower,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Disclosure Letter</w:t>
      </w:r>
      <w:r>
        <w:rPr>
          <w:rFonts w:ascii="Times New Roman" w:cs="Times New Roman" w:eastAsia="Times New Roman" w:hAnsi="Times New Roman"/>
          <w:sz w:val="18"/>
          <w:szCs w:val="18"/>
          <w:color w:val="auto"/>
        </w:rPr>
        <w:t>” means that certain Confidential Disclosure Letter, dated as of the Effective Date, and delivered by the Borrower to the Agents.</w:t>
      </w:r>
    </w:p>
    <w:p>
      <w:pPr>
        <w:spacing w:after="0" w:line="16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Revolving Lender DIP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9.18(b)(ii)(7)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Term Lender DIP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9.18(b)(i)(2)(F)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Adjusted EBITDA</w:t>
      </w:r>
      <w:r>
        <w:rPr>
          <w:rFonts w:ascii="Times New Roman" w:cs="Times New Roman" w:eastAsia="Times New Roman" w:hAnsi="Times New Roman"/>
          <w:sz w:val="18"/>
          <w:szCs w:val="18"/>
          <w:color w:val="auto"/>
        </w:rPr>
        <w:t>” means, for a specified measurement period, an amount determined for the Borrower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on a consolidated basis equal to:</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Consolidated Net Income, plus</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   to the extent deducted in calculating Consolidated Net Income for such period, the sum of, without duplication, amounts for: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89" w:name="page190"/>
    <w:bookmarkEnd w:id="189"/>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total depreciation expense;</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(ii)   total amortization expense;</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(iii)   Consolidated Interest Expense (net of interest income);</w:t>
      </w:r>
    </w:p>
    <w:p>
      <w:pPr>
        <w:spacing w:after="0" w:line="117" w:lineRule="exact"/>
        <w:rPr>
          <w:sz w:val="20"/>
          <w:szCs w:val="20"/>
          <w:color w:val="auto"/>
        </w:rPr>
      </w:pPr>
    </w:p>
    <w:p>
      <w:pPr>
        <w:ind w:right="60" w:firstLine="952"/>
        <w:spacing w:after="0" w:line="266" w:lineRule="auto"/>
        <w:rPr>
          <w:sz w:val="20"/>
          <w:szCs w:val="20"/>
          <w:color w:val="auto"/>
        </w:rPr>
      </w:pPr>
      <w:r>
        <w:rPr>
          <w:rFonts w:ascii="Times New Roman" w:cs="Times New Roman" w:eastAsia="Times New Roman" w:hAnsi="Times New Roman"/>
          <w:sz w:val="18"/>
          <w:szCs w:val="18"/>
          <w:color w:val="auto"/>
        </w:rPr>
        <w:t>(iv)  provisions for Taxes based on income, profits or capital, plus state, provincial, franchise, property or similar taxes and foreign withholding taxes and foreign unreimbursed value added taxes, of such Person for such period (including, in each case, penalties and interest related to such taxes or arising from tax examinations);</w:t>
      </w:r>
    </w:p>
    <w:p>
      <w:pPr>
        <w:spacing w:after="0" w:line="68" w:lineRule="exact"/>
        <w:rPr>
          <w:sz w:val="20"/>
          <w:szCs w:val="20"/>
          <w:color w:val="auto"/>
        </w:rPr>
      </w:pPr>
    </w:p>
    <w:p>
      <w:pPr>
        <w:ind w:right="140" w:firstLine="952"/>
        <w:spacing w:after="0" w:line="266" w:lineRule="auto"/>
        <w:rPr>
          <w:sz w:val="20"/>
          <w:szCs w:val="20"/>
          <w:color w:val="auto"/>
        </w:rPr>
      </w:pPr>
      <w:r>
        <w:rPr>
          <w:rFonts w:ascii="Times New Roman" w:cs="Times New Roman" w:eastAsia="Times New Roman" w:hAnsi="Times New Roman"/>
          <w:sz w:val="18"/>
          <w:szCs w:val="18"/>
          <w:color w:val="auto"/>
        </w:rPr>
        <w:t>(v)  non-cash charges, expenses or losses (other than (x) any non-cash item to the extent it represents an accrual of, or reserve for, anticipated cash expenditures in any future period and (y) any non-cash item relating to write-downs, write-offs or reserves with respect to accounts receivable or inventory);</w:t>
      </w:r>
    </w:p>
    <w:p>
      <w:pPr>
        <w:spacing w:after="0" w:line="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(vi)   losses associated with the extinguishment of Indebtedness;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(vii)   any non-cash increase in expenses due to purchase accounting associated with the transactions contemplated by the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w:t>
      </w:r>
    </w:p>
    <w:p>
      <w:pPr>
        <w:spacing w:after="0" w:line="99" w:lineRule="exact"/>
        <w:rPr>
          <w:sz w:val="20"/>
          <w:szCs w:val="20"/>
          <w:color w:val="auto"/>
        </w:rPr>
      </w:pPr>
    </w:p>
    <w:p>
      <w:pPr>
        <w:ind w:right="60" w:firstLine="952"/>
        <w:spacing w:after="0" w:line="282" w:lineRule="auto"/>
        <w:rPr>
          <w:sz w:val="20"/>
          <w:szCs w:val="20"/>
          <w:color w:val="auto"/>
        </w:rPr>
      </w:pPr>
      <w:r>
        <w:rPr>
          <w:rFonts w:ascii="Times New Roman" w:cs="Times New Roman" w:eastAsia="Times New Roman" w:hAnsi="Times New Roman"/>
          <w:sz w:val="18"/>
          <w:szCs w:val="18"/>
          <w:color w:val="auto"/>
        </w:rPr>
        <w:t>(viii)  to the extent not adjusted in the definition of Consolidated Net Income, any unrealized gain or loss due solely to fluctuations in currency values;</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(ix)   extraordinary, unusual or non-recurring charges, expenses or losses;</w:t>
      </w:r>
    </w:p>
    <w:p>
      <w:pPr>
        <w:spacing w:after="0" w:line="117" w:lineRule="exact"/>
        <w:rPr>
          <w:sz w:val="20"/>
          <w:szCs w:val="20"/>
          <w:color w:val="auto"/>
        </w:rPr>
      </w:pPr>
    </w:p>
    <w:p>
      <w:pPr>
        <w:ind w:firstLine="952"/>
        <w:spacing w:after="0" w:line="266" w:lineRule="auto"/>
        <w:rPr>
          <w:sz w:val="20"/>
          <w:szCs w:val="20"/>
          <w:color w:val="auto"/>
        </w:rPr>
      </w:pPr>
      <w:r>
        <w:rPr>
          <w:rFonts w:ascii="Times New Roman" w:cs="Times New Roman" w:eastAsia="Times New Roman" w:hAnsi="Times New Roman"/>
          <w:sz w:val="18"/>
          <w:szCs w:val="18"/>
          <w:color w:val="auto"/>
        </w:rPr>
        <w:t>(x)  the amount of fees, costs and expenses paid to the Administrative Agent or the Lenders in connection with this Agreement, any other Loan Documents or agreements with respect to any Indebtedness permitted under this Agreement, including any amendments, waivers or other modifications to any of the foregoing;</w:t>
      </w:r>
    </w:p>
    <w:p>
      <w:pPr>
        <w:spacing w:after="0" w:line="68" w:lineRule="exact"/>
        <w:rPr>
          <w:sz w:val="20"/>
          <w:szCs w:val="20"/>
          <w:color w:val="auto"/>
        </w:rPr>
      </w:pPr>
    </w:p>
    <w:p>
      <w:pPr>
        <w:ind w:right="20" w:firstLine="952"/>
        <w:spacing w:after="0" w:line="282" w:lineRule="auto"/>
        <w:rPr>
          <w:sz w:val="20"/>
          <w:szCs w:val="20"/>
          <w:color w:val="auto"/>
        </w:rPr>
      </w:pPr>
      <w:r>
        <w:rPr>
          <w:rFonts w:ascii="Times New Roman" w:cs="Times New Roman" w:eastAsia="Times New Roman" w:hAnsi="Times New Roman"/>
          <w:sz w:val="18"/>
          <w:szCs w:val="18"/>
          <w:color w:val="auto"/>
        </w:rPr>
        <w:t>(xi)  to the extent actually reimbursed in cash from insurance proceeds and deducted from Consolidated Net Income, the amount of expenses for such period with respect to any business interruption, liability, casualty or other events of loss covered by an insurance policy;</w:t>
      </w:r>
    </w:p>
    <w:p>
      <w:pPr>
        <w:spacing w:after="0" w:line="54" w:lineRule="exact"/>
        <w:rPr>
          <w:sz w:val="20"/>
          <w:szCs w:val="20"/>
          <w:color w:val="auto"/>
        </w:rPr>
      </w:pPr>
    </w:p>
    <w:p>
      <w:pPr>
        <w:ind w:right="40" w:firstLine="952"/>
        <w:spacing w:after="0" w:line="258" w:lineRule="auto"/>
        <w:rPr>
          <w:sz w:val="20"/>
          <w:szCs w:val="20"/>
          <w:color w:val="auto"/>
        </w:rPr>
      </w:pPr>
      <w:r>
        <w:rPr>
          <w:rFonts w:ascii="Times New Roman" w:cs="Times New Roman" w:eastAsia="Times New Roman" w:hAnsi="Times New Roman"/>
          <w:sz w:val="18"/>
          <w:szCs w:val="18"/>
          <w:color w:val="auto"/>
        </w:rPr>
        <w:t>(xii)  fees, costs and expenses in connection with any actual or proposed (A) issuance, repayment (including breakage fees and any unamortized fees, costs and expenses paid in cash in connection with such repayment), amendment, negotiation, modification, restatement, waiver, forbearance or other transaction cost related to Indebtedness (including any refinancing of Indebtedness), (B) issuance of Equity Interests permitted hereunder, (C) Permitted Acquisitions and other similar Investments permitted hereunder, (D) Restricted Payment permitted hereunder or (E) Disposition permitted hereunder, in each case, whether or not consummated or successful;</w:t>
      </w:r>
    </w:p>
    <w:p>
      <w:pPr>
        <w:spacing w:after="0" w:line="75" w:lineRule="exact"/>
        <w:rPr>
          <w:sz w:val="20"/>
          <w:szCs w:val="20"/>
          <w:color w:val="auto"/>
        </w:rPr>
      </w:pPr>
    </w:p>
    <w:p>
      <w:pPr>
        <w:ind w:right="560" w:firstLine="952"/>
        <w:spacing w:after="0" w:line="282" w:lineRule="auto"/>
        <w:rPr>
          <w:sz w:val="20"/>
          <w:szCs w:val="20"/>
          <w:color w:val="auto"/>
        </w:rPr>
      </w:pPr>
      <w:r>
        <w:rPr>
          <w:rFonts w:ascii="Times New Roman" w:cs="Times New Roman" w:eastAsia="Times New Roman" w:hAnsi="Times New Roman"/>
          <w:sz w:val="18"/>
          <w:szCs w:val="18"/>
          <w:color w:val="auto"/>
        </w:rPr>
        <w:t>(xiii)  the amount of any restructuring costs, integration costs, business optimization expenses or costs, retention, recruiting, relocation and signing bonuses and expenses, location closing costs, severance costs and transaction fees and expenses; and</w:t>
      </w:r>
    </w:p>
    <w:p>
      <w:pPr>
        <w:spacing w:after="0" w:line="54" w:lineRule="exact"/>
        <w:rPr>
          <w:sz w:val="20"/>
          <w:szCs w:val="20"/>
          <w:color w:val="auto"/>
        </w:rPr>
      </w:pPr>
    </w:p>
    <w:p>
      <w:pPr>
        <w:ind w:right="580" w:firstLine="952"/>
        <w:spacing w:after="0" w:line="282" w:lineRule="auto"/>
        <w:rPr>
          <w:sz w:val="20"/>
          <w:szCs w:val="20"/>
          <w:color w:val="auto"/>
        </w:rPr>
      </w:pPr>
      <w:r>
        <w:rPr>
          <w:rFonts w:ascii="Times New Roman" w:cs="Times New Roman" w:eastAsia="Times New Roman" w:hAnsi="Times New Roman"/>
          <w:sz w:val="18"/>
          <w:szCs w:val="18"/>
          <w:color w:val="auto"/>
        </w:rPr>
        <w:t xml:space="preserve">(xiv)  solely for purposes of determining compliance with the First Lien Leverage Ratio required under </w:t>
      </w:r>
      <w:r>
        <w:rPr>
          <w:rFonts w:ascii="Times New Roman" w:cs="Times New Roman" w:eastAsia="Times New Roman" w:hAnsi="Times New Roman"/>
          <w:sz w:val="18"/>
          <w:szCs w:val="18"/>
          <w:u w:val="single" w:color="auto"/>
          <w:color w:val="auto"/>
        </w:rPr>
        <w:t>Section 6.12(c)</w:t>
      </w:r>
      <w:r>
        <w:rPr>
          <w:rFonts w:ascii="Times New Roman" w:cs="Times New Roman" w:eastAsia="Times New Roman" w:hAnsi="Times New Roman"/>
          <w:sz w:val="18"/>
          <w:szCs w:val="18"/>
          <w:color w:val="auto"/>
        </w:rPr>
        <w:t xml:space="preserve">, the Leverage Cure Amount, if any, received by the Borrower in accordance with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00"/>
          </w:cols>
          <w:pgMar w:left="880" w:top="270" w:right="519" w:bottom="1440" w:gutter="0" w:footer="0" w:header="0"/>
        </w:sectPr>
      </w:pPr>
    </w:p>
    <w:bookmarkStart w:id="190" w:name="page191"/>
    <w:bookmarkEnd w:id="190"/>
    <w:p>
      <w:pPr>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amounts in the foregoing clauses (b)(ix), (b)(x), (b)(xi), (b)(xii) and (b)(xiii), shall not exceed in the aggregate 25% of Consolidated Adjusted EBITDA (the “</w:t>
      </w:r>
      <w:r>
        <w:rPr>
          <w:rFonts w:ascii="Times New Roman" w:cs="Times New Roman" w:eastAsia="Times New Roman" w:hAnsi="Times New Roman"/>
          <w:sz w:val="18"/>
          <w:szCs w:val="18"/>
          <w:u w:val="single" w:color="auto"/>
          <w:color w:val="auto"/>
        </w:rPr>
        <w:t>Aggregate Cap</w:t>
      </w:r>
      <w:r>
        <w:rPr>
          <w:rFonts w:ascii="Times New Roman" w:cs="Times New Roman" w:eastAsia="Times New Roman" w:hAnsi="Times New Roman"/>
          <w:sz w:val="18"/>
          <w:szCs w:val="18"/>
          <w:color w:val="auto"/>
        </w:rPr>
        <w:t xml:space="preserve">”) (before giving effect to any of the amounts that may be added back pursuant to the foregoing clause (b));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for purposes of determining the First Lien Leverage Ratio, Consolidated Adjusted EBITDA (including any component definition thereof) shall be determined on a pro forma basis.</w:t>
      </w:r>
    </w:p>
    <w:p>
      <w:pPr>
        <w:spacing w:after="0" w:line="180"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Debt</w:t>
      </w:r>
      <w:r>
        <w:rPr>
          <w:rFonts w:ascii="Times New Roman" w:cs="Times New Roman" w:eastAsia="Times New Roman" w:hAnsi="Times New Roman"/>
          <w:sz w:val="18"/>
          <w:szCs w:val="18"/>
          <w:color w:val="auto"/>
        </w:rPr>
        <w:t>” means, as at any date of determination, the aggregate principal amount of Consolidated Total Debt outstanding on such date that is secured by Collateral that does not rank junior to the Liens on the Collateral securing the Obligations.</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specified measurement period, for the Borrower and its Subsidiaries, determined on a consolidated basis in accordance with GAAP, the sum of: (a) all interest expense in respect of Indebtedness (including, without limitation, the interest component of any payments in respect of Capital Lease Obligations) accrued or capitalized during such period (whether or not actually paid during such period), plus (b) the net amount payable (or minus the net amount receivable) in respect of hedging obligations relating to interest during such period (whether or not actually paid or received during such period).</w:t>
      </w:r>
    </w:p>
    <w:p>
      <w:pPr>
        <w:spacing w:after="0" w:line="183"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for any specified measurement period, the consolidated net income (or loss) of the Borrower and its Subsidiaries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(i) the income (or loss) of any Person (other than consolidated Subsidiaries of the Borrower) in which any Person (other than the Borrower or any of its consolidated Subsidiaries) has a joint ownership interest or that is accounted for by the equity method of accounting, except to the extent of the amount of dividends or other distributions actually paid to the Borrower or any of its consolidated Subsidiaries by such Person during such specified measurement period, (ii) the income (or loss) of any Person accrued prior to the date it becomes a consolidated Subsidiary of the Borrower or is merged into or consolidated with the Borrower or any of its consolidated Subsidiaries or such Person’s assets are acquired by the Borrower or any of its consolidated Subsidiaries, except where such calculation is required to be made on a pro forma basis, (iii) the income of any consolidated Subsidiary of the Borrower (other than a Loan Party) to the extent that the declaration or payment of dividends or similar distributions by that consolidated Subsidiary of that income is not at the time permitted by operation of the terms of its charter or any agreement, instrument, judgment, decree, order, statute, rule, governmental regulation applicable to that consolidated Subsidiary or would require governmental (including regulatory)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income (or loss) of any consolidated Subsidiary of the Borrower (other than a Loan Party) shall not be excluded from this definition to the extent governmental (including regulatory) consent has been received for the declaration or payment of dividends or similar distributions by that consolidated Subsidiary of its income, (iv) the net income for such measurement period shall not include the cumulative effect of a change in accounting principles during such measurement period, whether effected through a cumulative effect adjustment or a retroactive application in each case in accordance with GAAP, (v) effects of adjustments (including the effects of such adjustments pushed down to the Borrower and its Subsidiaries) in such Person’s consolidated financial statements pursuant to GAAP (including in the inventory, property and equipment, software, goodwill, intangible assets, in-process research and development, deferred revenue and debt line items thereof) resulting from the application of recapitalization accounting or purchase accounting, as the case may be, in relation to any consummated Permitted Acquisition or the amortization or write-off of any amounts thereof, net of taxes, shall be excluded, and (vi) any net after-tax income (loss) from disposed or discontinued operations (but if such operations are classified as discontinued due to the fact that they are being held for sale or are subject to an agreement to dispose of such operations, only when and to the extent such operations are actually disposed of) and any net after-tax gains or losses on disposal of disposed or discontinued operations shall be excluded.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191" w:name="page192"/>
    <w:bookmarkEnd w:id="191"/>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Total Debt</w:t>
      </w:r>
      <w:r>
        <w:rPr>
          <w:rFonts w:ascii="Times New Roman" w:cs="Times New Roman" w:eastAsia="Times New Roman" w:hAnsi="Times New Roman"/>
          <w:sz w:val="18"/>
          <w:szCs w:val="18"/>
          <w:color w:val="auto"/>
        </w:rPr>
        <w:t xml:space="preserve">” means the outstanding principal amount of all Indebtedness of the types described in clauses (a), (b), (d), (f) (to the extent such guarantee is of Indebtedness of the types described in clauses (a) and (b)), (g), (h) and (j) of the definition of “Indebtedness,” including guarantees of the foregoing in each case of the Loan Parties,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“Consolidated Total Debt” shall exclude, without limitation, any hedging obligations, lease obligations in connection with any sale leaseback transaction, undrawn letters of credit, and earnout obligations to the extent not then due and payable and not recognized as a debt on a balance sheet in accordance with GAAP.</w:t>
      </w:r>
    </w:p>
    <w:p>
      <w:pPr>
        <w:spacing w:after="0" w:line="187" w:lineRule="exact"/>
        <w:rPr>
          <w:sz w:val="20"/>
          <w:szCs w:val="20"/>
          <w:color w:val="auto"/>
        </w:rPr>
      </w:pPr>
    </w:p>
    <w:p>
      <w:pPr>
        <w:ind w:left="4" w:right="3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Deposit Account</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Securities Account</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each of the Administrative Agent, the Collateral Agent, the Revolving Agent and the Lenders.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“Cross-Default Reference Obligation” has the meaning assigned to such term in the definition of Permitted Convertible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61207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which upon notice, lapse of time or both would, unless cured or waived, become an Event of Default.</w:t>
      </w:r>
    </w:p>
    <w:p>
      <w:pPr>
        <w:spacing w:after="0" w:line="16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any Lender that (a) has failed, within two (2)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Administrative Agent in writing, or has made a public statement to the effect, that it does not intend or expect to comply with any of its funding obligations under this Agreement or generally under other agreements in which it commits to extend credit, (c) has failed, within three</w:t>
      </w:r>
    </w:p>
    <w:p>
      <w:pPr>
        <w:spacing w:after="0" w:line="5" w:lineRule="exact"/>
        <w:rPr>
          <w:sz w:val="20"/>
          <w:szCs w:val="20"/>
          <w:color w:val="auto"/>
        </w:rPr>
      </w:pPr>
    </w:p>
    <w:p>
      <w:pPr>
        <w:ind w:left="4" w:hanging="4"/>
        <w:spacing w:after="0" w:line="265" w:lineRule="auto"/>
        <w:tabs>
          <w:tab w:leader="none" w:pos="259"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after request by a Credit Party, acting in good faith, to provide a certification in writing from an authorized officer of such Lender that it will comply with its obligations (and is financially able to meet such obligations) to fund prospective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may, by notice to the Borrower and the other Lenders, declare that such Defaulting Lender is no longer a Defaulting Lender pursuant to this clause</w:t>
      </w:r>
    </w:p>
    <w:p>
      <w:pPr>
        <w:ind w:left="4"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upon the Administrative Agent’s receipt of such certification in form and substance satisfactory to it and the Administrative Agent, (d) has become the subject of a Bankruptcy Event or (e) has become the subject of a Bail-In Action.</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192" w:name="page193"/>
    <w:bookmarkEnd w:id="192"/>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Defaulting Lender Rate</w:t>
      </w:r>
      <w:r>
        <w:rPr>
          <w:rFonts w:ascii="Times New Roman" w:cs="Times New Roman" w:eastAsia="Times New Roman" w:hAnsi="Times New Roman"/>
          <w:sz w:val="18"/>
          <w:szCs w:val="18"/>
          <w:color w:val="auto"/>
        </w:rPr>
        <w:t>” means (a) for the first three (3) days from and after the date the relevant payment is due, the Prime Rate, and (b) thereafter, the interest rate then applicable to Loans as if the Prime Rate were applicable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 Control Agreement</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Account</w:t>
      </w:r>
      <w:r>
        <w:rPr>
          <w:rFonts w:ascii="Times New Roman" w:cs="Times New Roman" w:eastAsia="Times New Roman" w:hAnsi="Times New Roman"/>
          <w:sz w:val="18"/>
          <w:szCs w:val="18"/>
          <w:color w:val="auto"/>
        </w:rPr>
        <w:t xml:space="preserve">” means the Deposit Account of the Borrower identified on Schedule </w:t>
      </w:r>
      <w:r>
        <w:rPr>
          <w:rFonts w:ascii="Times New Roman" w:cs="Times New Roman" w:eastAsia="Times New Roman" w:hAnsi="Times New Roman"/>
          <w:sz w:val="18"/>
          <w:szCs w:val="18"/>
          <w:u w:val="single" w:color="auto"/>
          <w:color w:val="auto"/>
        </w:rPr>
        <w:t>2.01(b)</w:t>
      </w:r>
      <w:r>
        <w:rPr>
          <w:rFonts w:ascii="Times New Roman" w:cs="Times New Roman" w:eastAsia="Times New Roman" w:hAnsi="Times New Roman"/>
          <w:sz w:val="18"/>
          <w:szCs w:val="18"/>
          <w:color w:val="auto"/>
        </w:rPr>
        <w:t xml:space="preserve"> as a “Designated Account” (or such other Deposit Account of the Borrower located at Designated Account Bank that has been designated as such, in writing, by the Borrower to Collateral Agent).</w:t>
      </w:r>
    </w:p>
    <w:p>
      <w:pPr>
        <w:spacing w:after="0" w:line="176"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Designated Account Bank</w:t>
      </w:r>
      <w:r>
        <w:rPr>
          <w:rFonts w:ascii="Times New Roman" w:cs="Times New Roman" w:eastAsia="Times New Roman" w:hAnsi="Times New Roman"/>
          <w:sz w:val="17"/>
          <w:szCs w:val="17"/>
          <w:color w:val="auto"/>
        </w:rPr>
        <w:t xml:space="preserve">” means the depositary institution shown on </w:t>
      </w:r>
      <w:r>
        <w:rPr>
          <w:rFonts w:ascii="Times New Roman" w:cs="Times New Roman" w:eastAsia="Times New Roman" w:hAnsi="Times New Roman"/>
          <w:sz w:val="17"/>
          <w:szCs w:val="17"/>
          <w:u w:val="single" w:color="auto"/>
          <w:color w:val="auto"/>
        </w:rPr>
        <w:t>Schedule 2.20</w:t>
      </w:r>
      <w:r>
        <w:rPr>
          <w:rFonts w:ascii="Times New Roman" w:cs="Times New Roman" w:eastAsia="Times New Roman" w:hAnsi="Times New Roman"/>
          <w:sz w:val="17"/>
          <w:szCs w:val="17"/>
          <w:color w:val="auto"/>
        </w:rPr>
        <w:t xml:space="preserve"> which maintains the Designated Account of the Borrower (or such other bank that is located within the United States that has been designated as such, in writing, by the Borrower to Collateral Agent).</w:t>
      </w:r>
    </w:p>
    <w:p>
      <w:pPr>
        <w:spacing w:after="0" w:line="140"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w:t>
      </w:r>
      <w:r>
        <w:rPr>
          <w:rFonts w:ascii="Times New Roman" w:cs="Times New Roman" w:eastAsia="Times New Roman" w:hAnsi="Times New Roman"/>
          <w:sz w:val="18"/>
          <w:szCs w:val="18"/>
          <w:color w:val="auto"/>
        </w:rPr>
        <w:t>” means, as of any date of determination, a percentage, based upon the experience during any prior period selected from time to time by Revolving Agent in its sole discretion, that is the result of dividing the dollar amount of (a) bad debt write-downs, discounts, advertising allowances, credits, or other dilutive items with respect to Loan Parties’ Accounts during such period, by (b) Loan Parties’ billings with respect to Accounts during such period.</w:t>
      </w:r>
    </w:p>
    <w:p>
      <w:pPr>
        <w:spacing w:after="0" w:line="18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 Reserve</w:t>
      </w:r>
      <w:r>
        <w:rPr>
          <w:rFonts w:ascii="Times New Roman" w:cs="Times New Roman" w:eastAsia="Times New Roman" w:hAnsi="Times New Roman"/>
          <w:sz w:val="18"/>
          <w:szCs w:val="18"/>
          <w:color w:val="auto"/>
        </w:rPr>
        <w:t>” means, as of any date of determination, an amount sufficient to reduce the advance rate against Eligible Accounts by one (1) percentage point for each incremental whole percentage point by which Dilution is in excess of 5.00%.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xml:space="preserve">” means any Equity Interest that, by its terms (or by the terms of any security into which it is convertible, or for which it is exchangeable, in each case, at the option of the holder of the Equity Interest), or upon the happening of any event, matures (excluding any maturity as the result of an optional redemption by the issuer thereof) or is mandatorily redeemable, pursuant to a sinking fund obligation or otherwise, or redeemable at the option of the holder of the Equity Interest, in whole or in part, other than in each case solely in exchange for Qualified Equity Interests (and cash in lieu of fractional shares), on or prior to the date that is ninety-one (91) days after the Maturity Date. Notwithstanding the preceding sentence, (w) any Equity Interest that would constitute Disqualified Equity Interests solely because the holders of the Equity Interest have the right to require the Borrower or the Subsidiary that issued such Equity Interest to repurchase such Equity Interest upon the occurrence of a change of control or an asset sale will not constitute Disqualified Equity Interests if any such requirement becomes operative only after, or payment thereunder is subject to the prior, repayment in full of all the Loans and all other Obligations that are accrued and payable and the termination of the Commitments, (x) any Equity Interest that would constitute Disqualified Equity Interests solely as a result of any redemption feature that is conditioned upon, and subject to, compliance with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will not constitute Disqualified Equity Interests, (y) any Equity Interest issued to any plan for the benefit of employees will not constitute Disqualified Equity Interests solely because it may be required to be repurchased by the Borrower or the Subsidiary that issued such Equity Interest in order to satisfy applicable statutory or regulatory obligations and (z) any class of Equity Interests of such Person that by its terms requires or permits such Person to satisfy its obligations thereunder by delivery of Qualified Equity Interests shall not be deemed to be Disqualified Equity Interests. The amount of Disqualified Equity Interests deemed to be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93" w:name="page194"/>
    <w:bookmarkEnd w:id="193"/>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at any time for purposes of this Agreement will be the maximum amount that the Borrower and its Subsidiaries may become obligated to pay upon the maturity of, or pursuant to any mandatory redemption provisions of, such Disqualified Equity Interests, exclusive of accrued dividends.</w:t>
      </w:r>
    </w:p>
    <w:p>
      <w:pPr>
        <w:spacing w:after="0" w:line="140"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xml:space="preserve">” means (a) any competitor of the Borrower or its Subsidiaries identified in writing by or on behalf of the Borrower to (i) the Lead Arranger prior to the Effective Date or (ii) the Administrative Agent from time to time after the Effective Date with the written consent of the Administrative Agent (in its sole discretion), (b) those particular banks, financial institutions, other institutional lenders and other Persons identified by or on behalf of the Borrower to the Lead Arranger in writing (as provided herein) (x) prior to the Effective Date (or related funds of any such Persons) or (y) after the Effective Date with the written consent of the Administrative Agent (in its sole discretion) and (c) any Affiliate of the entities described in the preceding clauses (a) or (b) that are either (w) reasonably identifiable as such on the basis of their name or (x) are identified as such in writing by or on behalf of the Borrower to (i) the Lead Arranger prior to the Effective Date or (ii) the Administrative Agent from time to time after the Effective Date (other than, in each case, Affiliates that constitute bona fide debt funds primarily investing in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that is a Lender or a Participant and subsequently becomes a Disqualified Institution (but was not a Disqualified Institution at the time it became a Lender or a Participant, as applicable) shall be deemed to not be a Disqualified Institution hereunder (in the case of any such Participant that is not a Lender, solely with respect to the participations held by such Participant). The identity of Disqualified Institutions may be disclosed (i) by the Administrative Agent to a Lender upon request and (ii) by any Lender to any prospective Lender, Participant or Eligible Assignee, subject to the acknowledgment and acceptance by such prospective Lender, Participant or Eligible Assignee that the identity of Disqualified Institutions is being disseminated on a confidential basis and that such prospective Lender, Participant or Eligible Assignee shall be bound by the same confidentiality restrictions as those applicable to the Lender making such communication, but will not be otherwise posted or distributed to any Person. Notwithstanding anything to the contrary contained in this Agreement, (a) the Administrative Agent shall not be responsible or have any liability for, or have any duty to ascertain, inquire into, monitor or enforce, compliance with the provisions hereof relating to Disqualified Institutions and (b) the Borrower (on behalf of themselves and the other Loan Parties) and the Lenders acknowledge and agree that the Administrative Agent shall have no responsibility or obligation to determine whether any Lender or potential Lender is a Disqualified Institution and that the Administrative Agent shall have no liability with respect to any assignment or participation made to a Disqualified Institution.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incorporated or organized under the laws of the United States of America, any State thereof or the District of Columbia.</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94" w:name="page195"/>
    <w:bookmarkEnd w:id="194"/>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September 22, 2022.</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Term Lender</w:t>
      </w:r>
      <w:r>
        <w:rPr>
          <w:rFonts w:ascii="Times New Roman" w:cs="Times New Roman" w:eastAsia="Times New Roman" w:hAnsi="Times New Roman"/>
          <w:sz w:val="18"/>
          <w:szCs w:val="18"/>
          <w:color w:val="auto"/>
        </w:rPr>
        <w:t>” means, at any time, any Term Lender that has an Effective Date Term Loan Commitment or an outstanding Effective Date Term Loan.</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Term Loan Commitments</w:t>
      </w:r>
      <w:r>
        <w:rPr>
          <w:rFonts w:ascii="Times New Roman" w:cs="Times New Roman" w:eastAsia="Times New Roman" w:hAnsi="Times New Roman"/>
          <w:sz w:val="18"/>
          <w:szCs w:val="18"/>
          <w:color w:val="auto"/>
        </w:rPr>
        <w:t xml:space="preserve">” means, with respect to each Effective Date Term Lender, such Effective Date Term Lender’s Term Loan Commitment to make an Effective Date Term Loan hereunder on the Effective Date as set forth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opposite such Effective Date Term Lender’s name under the heading “Effective Date Term Loan Commitment,” expressed as an amount representing the maximum principal amount of the Effective Date Term Loan to be made by such Effective Date Term Lender hereunder, as such commitment may be reduced or increased from time to time pursuant to this Agreement and as amended to reflect assignments. Unless the context shall otherwise require, the term “Effective Date Term Loan Commitments” shall include any commitment to Replacement Term Loans of such Effective Date Term Lender. The aggregate amount of the Effective Date Term Loan Commitments as of the Effective Date is $175,000,000.</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Term Loans</w:t>
      </w:r>
      <w:r>
        <w:rPr>
          <w:rFonts w:ascii="Times New Roman" w:cs="Times New Roman" w:eastAsia="Times New Roman" w:hAnsi="Times New Roman"/>
          <w:sz w:val="18"/>
          <w:szCs w:val="18"/>
          <w:color w:val="auto"/>
        </w:rPr>
        <w:t>” has the meaning set forth in Section 2.01(a)(i).</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Accounts</w:t>
      </w:r>
      <w:r>
        <w:rPr>
          <w:rFonts w:ascii="Times New Roman" w:cs="Times New Roman" w:eastAsia="Times New Roman" w:hAnsi="Times New Roman"/>
          <w:sz w:val="18"/>
          <w:szCs w:val="18"/>
          <w:color w:val="auto"/>
        </w:rPr>
        <w:t>” means, subject to the criteria below, an account receivable of a Loan Party, which was generated in the Ordinary Course of Business, which was generated originally in the name of a Loan Party and not acquired via assignment or otherwise. The net amount of an Eligible Account at any time shall be the face amount of such Eligible Account as originally billed minus all cash collections and other proceeds of such Account received from or on behalf of the Account Debtor thereunder as of such date and any and all returns, rebates, discounts, credits, allowances or excise taxes of any nature at any time issued, owing, claimed by Account Debtors, granted, outstanding or payable in connection with such Accounts at such time. Without limiting the generality of the foregoing, no Account shall be an Eligible Account if:</w:t>
      </w:r>
    </w:p>
    <w:p>
      <w:pPr>
        <w:spacing w:after="0" w:line="79" w:lineRule="exact"/>
        <w:rPr>
          <w:sz w:val="20"/>
          <w:szCs w:val="20"/>
          <w:color w:val="auto"/>
        </w:rPr>
      </w:pPr>
    </w:p>
    <w:p>
      <w:pPr>
        <w:ind w:left="440" w:right="240" w:firstLine="952"/>
        <w:spacing w:after="0" w:line="282" w:lineRule="auto"/>
        <w:rPr>
          <w:sz w:val="20"/>
          <w:szCs w:val="20"/>
          <w:color w:val="auto"/>
        </w:rPr>
      </w:pPr>
      <w:r>
        <w:rPr>
          <w:rFonts w:ascii="Times New Roman" w:cs="Times New Roman" w:eastAsia="Times New Roman" w:hAnsi="Times New Roman"/>
          <w:sz w:val="18"/>
          <w:szCs w:val="18"/>
          <w:color w:val="auto"/>
        </w:rPr>
        <w:t>(a)  the Account remains unpaid (i) more than one hundred twenty (120) days past the claim or invoice date or (ii) more than one hundred eighty (180) days after the applicable goods or services have been rendered or delivered;</w:t>
      </w:r>
    </w:p>
    <w:p>
      <w:pPr>
        <w:spacing w:after="0" w:line="54" w:lineRule="exact"/>
        <w:rPr>
          <w:sz w:val="20"/>
          <w:szCs w:val="20"/>
          <w:color w:val="auto"/>
        </w:rPr>
      </w:pPr>
    </w:p>
    <w:p>
      <w:pPr>
        <w:ind w:left="440" w:right="60" w:firstLine="952"/>
        <w:spacing w:after="0" w:line="261" w:lineRule="auto"/>
        <w:rPr>
          <w:sz w:val="20"/>
          <w:szCs w:val="20"/>
          <w:color w:val="auto"/>
        </w:rPr>
      </w:pPr>
      <w:r>
        <w:rPr>
          <w:rFonts w:ascii="Times New Roman" w:cs="Times New Roman" w:eastAsia="Times New Roman" w:hAnsi="Times New Roman"/>
          <w:sz w:val="18"/>
          <w:szCs w:val="18"/>
          <w:color w:val="auto"/>
        </w:rPr>
        <w:t>(b)  the Account is subject to any defense, set-off, recoupment, counterclaim, deduction, discount, credit, chargeback, freight claim, allowance, or adjustment of any kind (but only to the extent of such defense, set-off, recoupment, counterclaim, deduction, discount, credit, chargeback, freight claim, allowance, or adjustment), or the applicable Loan Party is not able to bring suit or otherwise enforce its remedies against the Account Debtor through judicial process;</w:t>
      </w:r>
    </w:p>
    <w:p>
      <w:pPr>
        <w:spacing w:after="0" w:line="72" w:lineRule="exact"/>
        <w:rPr>
          <w:sz w:val="20"/>
          <w:szCs w:val="20"/>
          <w:color w:val="auto"/>
        </w:rPr>
      </w:pPr>
    </w:p>
    <w:p>
      <w:pPr>
        <w:ind w:left="440" w:right="360" w:firstLine="952"/>
        <w:spacing w:after="0" w:line="282" w:lineRule="auto"/>
        <w:rPr>
          <w:sz w:val="20"/>
          <w:szCs w:val="20"/>
          <w:color w:val="auto"/>
        </w:rPr>
      </w:pPr>
      <w:r>
        <w:rPr>
          <w:rFonts w:ascii="Times New Roman" w:cs="Times New Roman" w:eastAsia="Times New Roman" w:hAnsi="Times New Roman"/>
          <w:sz w:val="18"/>
          <w:szCs w:val="18"/>
          <w:color w:val="auto"/>
        </w:rPr>
        <w:t>(c)  if the Account arises from the sale of goods, any part of any goods the sale of which has given rise to the Account has been returned, rejected, lost, or damaged (but only to the extent that such goods have been so returned, rejected, lost or damaged);</w:t>
      </w:r>
    </w:p>
    <w:p>
      <w:pPr>
        <w:spacing w:after="0" w:line="54" w:lineRule="exact"/>
        <w:rPr>
          <w:sz w:val="20"/>
          <w:szCs w:val="20"/>
          <w:color w:val="auto"/>
        </w:rPr>
      </w:pPr>
    </w:p>
    <w:p>
      <w:pPr>
        <w:ind w:left="440" w:right="120" w:firstLine="952"/>
        <w:spacing w:after="0" w:line="261" w:lineRule="auto"/>
        <w:rPr>
          <w:sz w:val="20"/>
          <w:szCs w:val="20"/>
          <w:color w:val="auto"/>
        </w:rPr>
      </w:pPr>
      <w:r>
        <w:rPr>
          <w:rFonts w:ascii="Times New Roman" w:cs="Times New Roman" w:eastAsia="Times New Roman" w:hAnsi="Times New Roman"/>
          <w:sz w:val="18"/>
          <w:szCs w:val="18"/>
          <w:color w:val="auto"/>
        </w:rPr>
        <w:t>(d)  if the Account arises from the sale of goods, the sale was not an absolute, bona fide sale, or the sale was made on consignment or on approval or on a sale-or-return or bill-and-hold or progress billing basis, or the sale was made subject to any other repurchase or return agreement, or the goods have not been shipped to the Account Debtor or its designee or the sale was not made in compliance with the applicable Requirements of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95" w:name="page196"/>
    <w:bookmarkEnd w:id="195"/>
    <w:p>
      <w:pPr>
        <w:ind w:right="420" w:firstLine="95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if the Account arises from the performance of services, the services have not actually been performed or the services were undertaken in violation of any Requirement of Law or the Account represents a progress billing for which services have not been fully and completely rendered;</w:t>
      </w:r>
    </w:p>
    <w:p>
      <w:pPr>
        <w:spacing w:after="0" w:line="68" w:lineRule="exact"/>
        <w:rPr>
          <w:sz w:val="20"/>
          <w:szCs w:val="20"/>
          <w:color w:val="auto"/>
        </w:rPr>
      </w:pPr>
    </w:p>
    <w:p>
      <w:pPr>
        <w:ind w:right="240" w:firstLine="952"/>
        <w:spacing w:after="0" w:line="282" w:lineRule="auto"/>
        <w:rPr>
          <w:sz w:val="20"/>
          <w:szCs w:val="20"/>
          <w:color w:val="auto"/>
        </w:rPr>
      </w:pPr>
      <w:r>
        <w:rPr>
          <w:rFonts w:ascii="Times New Roman" w:cs="Times New Roman" w:eastAsia="Times New Roman" w:hAnsi="Times New Roman"/>
          <w:sz w:val="18"/>
          <w:szCs w:val="18"/>
          <w:color w:val="auto"/>
        </w:rPr>
        <w:t xml:space="preserve">(f)  the Account is subject to a Lien (other than Liens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or the Collateral Agent does not have a first priority, perfected Lien on such Account (other than Eligible Government Accounts);</w:t>
      </w:r>
    </w:p>
    <w:p>
      <w:pPr>
        <w:spacing w:after="0" w:line="54" w:lineRule="exact"/>
        <w:rPr>
          <w:sz w:val="20"/>
          <w:szCs w:val="20"/>
          <w:color w:val="auto"/>
        </w:rPr>
      </w:pPr>
    </w:p>
    <w:p>
      <w:pPr>
        <w:ind w:right="140" w:firstLine="952"/>
        <w:spacing w:after="0" w:line="282" w:lineRule="auto"/>
        <w:rPr>
          <w:sz w:val="20"/>
          <w:szCs w:val="20"/>
          <w:color w:val="auto"/>
        </w:rPr>
      </w:pPr>
      <w:r>
        <w:rPr>
          <w:rFonts w:ascii="Times New Roman" w:cs="Times New Roman" w:eastAsia="Times New Roman" w:hAnsi="Times New Roman"/>
          <w:sz w:val="18"/>
          <w:szCs w:val="18"/>
          <w:color w:val="auto"/>
        </w:rPr>
        <w:t>(g)  the Account is evidenced by Chattel Paper or an Instrument of any kind, or has been reduced to judgment, unless such Chattel Paper or Instrument has been delivered to the Collateral Agent;</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(h)   the Account Debtor is an Affiliate or Subsidiary of a Loan Party, or if the Account Debtor holds any Indebtedness of a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99" w:lineRule="exact"/>
        <w:rPr>
          <w:sz w:val="20"/>
          <w:szCs w:val="20"/>
          <w:color w:val="auto"/>
        </w:rPr>
      </w:pPr>
    </w:p>
    <w:p>
      <w:pPr>
        <w:ind w:firstLine="952"/>
        <w:spacing w:after="0" w:line="282" w:lineRule="auto"/>
        <w:rPr>
          <w:sz w:val="20"/>
          <w:szCs w:val="20"/>
          <w:color w:val="auto"/>
        </w:rPr>
      </w:pPr>
      <w:r>
        <w:rPr>
          <w:rFonts w:ascii="Times New Roman" w:cs="Times New Roman" w:eastAsia="Times New Roman" w:hAnsi="Times New Roman"/>
          <w:sz w:val="18"/>
          <w:szCs w:val="18"/>
          <w:color w:val="auto"/>
        </w:rPr>
        <w:t>(i)  more than 50% of the aggregate balance of all Accounts owing from the Account Debtor obligated on the Account are ineligible under subclause (a)(i) above (in which case all Accounts from such Account Debtor shall be ineligible);</w:t>
      </w:r>
    </w:p>
    <w:p>
      <w:pPr>
        <w:spacing w:after="0" w:line="54" w:lineRule="exact"/>
        <w:rPr>
          <w:sz w:val="20"/>
          <w:szCs w:val="20"/>
          <w:color w:val="auto"/>
        </w:rPr>
      </w:pPr>
    </w:p>
    <w:p>
      <w:pPr>
        <w:ind w:right="140" w:firstLine="952"/>
        <w:spacing w:after="0" w:line="282" w:lineRule="auto"/>
        <w:rPr>
          <w:sz w:val="20"/>
          <w:szCs w:val="20"/>
          <w:color w:val="auto"/>
        </w:rPr>
      </w:pPr>
      <w:r>
        <w:rPr>
          <w:rFonts w:ascii="Times New Roman" w:cs="Times New Roman" w:eastAsia="Times New Roman" w:hAnsi="Times New Roman"/>
          <w:sz w:val="18"/>
          <w:szCs w:val="18"/>
          <w:color w:val="auto"/>
        </w:rPr>
        <w:t>(j)  any covenant, representation or warranty contained in the Loan Documents with respect to such Account has been breached in any material respect (with respect to covenants) or is incorrect in any material respect (with respect to representations and warranties);</w:t>
      </w:r>
    </w:p>
    <w:p>
      <w:pPr>
        <w:spacing w:after="0" w:line="54" w:lineRule="exact"/>
        <w:rPr>
          <w:sz w:val="20"/>
          <w:szCs w:val="20"/>
          <w:color w:val="auto"/>
        </w:rPr>
      </w:pPr>
    </w:p>
    <w:p>
      <w:pPr>
        <w:ind w:right="80" w:firstLine="952"/>
        <w:spacing w:after="0" w:line="282" w:lineRule="auto"/>
        <w:rPr>
          <w:sz w:val="20"/>
          <w:szCs w:val="20"/>
          <w:color w:val="auto"/>
        </w:rPr>
      </w:pPr>
      <w:r>
        <w:rPr>
          <w:rFonts w:ascii="Times New Roman" w:cs="Times New Roman" w:eastAsia="Times New Roman" w:hAnsi="Times New Roman"/>
          <w:sz w:val="18"/>
          <w:szCs w:val="18"/>
          <w:color w:val="auto"/>
        </w:rPr>
        <w:t>(k)  the Account is unbilled or has not been invoiced to the Account Debtor in accordance with the procedures and requirements of the applicable Account Debtor;</w:t>
      </w:r>
    </w:p>
    <w:p>
      <w:pPr>
        <w:spacing w:after="0" w:line="54" w:lineRule="exact"/>
        <w:rPr>
          <w:sz w:val="20"/>
          <w:szCs w:val="20"/>
          <w:color w:val="auto"/>
        </w:rPr>
      </w:pPr>
    </w:p>
    <w:p>
      <w:pPr>
        <w:ind w:firstLine="952"/>
        <w:spacing w:after="0" w:line="258" w:lineRule="auto"/>
        <w:rPr>
          <w:sz w:val="20"/>
          <w:szCs w:val="20"/>
          <w:color w:val="auto"/>
        </w:rPr>
      </w:pPr>
      <w:r>
        <w:rPr>
          <w:rFonts w:ascii="Times New Roman" w:cs="Times New Roman" w:eastAsia="Times New Roman" w:hAnsi="Times New Roman"/>
          <w:sz w:val="18"/>
          <w:szCs w:val="18"/>
          <w:color w:val="auto"/>
        </w:rPr>
        <w:t>(l)  other than Eligible Government Accounts, the Account is an obligation of an Account Debtor that is the federal, state or local government or any political subdivision thereof, unless otherwise agreed to in writing by Revolving Agent or the applicable Loan Party assigns its right to payment of such Account to Revolving Agent pursuant to the federal Assignment of Claims Act (to the extent applicable) and has otherwise complied with applicable statutes or ordinances necessary for Revolving Agent or the Lenders to enforce their rights and collect amounts due in respect of such Account;</w:t>
      </w:r>
    </w:p>
    <w:p>
      <w:pPr>
        <w:spacing w:after="0" w:line="75" w:lineRule="exact"/>
        <w:rPr>
          <w:sz w:val="20"/>
          <w:szCs w:val="20"/>
          <w:color w:val="auto"/>
        </w:rPr>
      </w:pPr>
    </w:p>
    <w:p>
      <w:pPr>
        <w:ind w:firstLine="952"/>
        <w:spacing w:after="0" w:line="258" w:lineRule="auto"/>
        <w:rPr>
          <w:sz w:val="20"/>
          <w:szCs w:val="20"/>
          <w:color w:val="auto"/>
        </w:rPr>
      </w:pPr>
      <w:r>
        <w:rPr>
          <w:rFonts w:ascii="Times New Roman" w:cs="Times New Roman" w:eastAsia="Times New Roman" w:hAnsi="Times New Roman"/>
          <w:sz w:val="18"/>
          <w:szCs w:val="18"/>
          <w:color w:val="auto"/>
        </w:rPr>
        <w:t>(m)  the Account is an obligation of an Account Debtor that has suspended business, made a general assignment for the benefit of creditors, is unable to pay its debts as they become due or as to which a petition has been filed (voluntary or involuntary) under any law relating to bankruptcy, insolvency, reorganization or relief of debtors, or the Account is an Account as to which any facts, events or occurrences exist which could reasonably be expected to impair the validity, enforceability or collectability of such Account or reduce the amount payable or delay payment thereunder;</w:t>
      </w:r>
    </w:p>
    <w:p>
      <w:pPr>
        <w:spacing w:after="0" w:line="75" w:lineRule="exact"/>
        <w:rPr>
          <w:sz w:val="20"/>
          <w:szCs w:val="20"/>
          <w:color w:val="auto"/>
        </w:rPr>
      </w:pPr>
    </w:p>
    <w:p>
      <w:pPr>
        <w:ind w:right="520" w:firstLine="952"/>
        <w:spacing w:after="0" w:line="282" w:lineRule="auto"/>
        <w:rPr>
          <w:sz w:val="20"/>
          <w:szCs w:val="20"/>
          <w:color w:val="auto"/>
        </w:rPr>
      </w:pPr>
      <w:r>
        <w:rPr>
          <w:rFonts w:ascii="Times New Roman" w:cs="Times New Roman" w:eastAsia="Times New Roman" w:hAnsi="Times New Roman"/>
          <w:sz w:val="18"/>
          <w:szCs w:val="18"/>
          <w:color w:val="auto"/>
        </w:rPr>
        <w:t>(n)  except for Specified Foreign Account Debtors, the Account Debtor has its principal place of business or executive office outside the United States;</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(o)   the Account is payable in a currency other than United States dollars;</w:t>
      </w:r>
    </w:p>
    <w:p>
      <w:pPr>
        <w:spacing w:after="0" w:line="15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0"/>
          </w:cols>
          <w:pgMar w:left="880" w:top="270" w:right="479" w:bottom="1440" w:gutter="0" w:footer="0" w:header="0"/>
        </w:sectPr>
      </w:pPr>
    </w:p>
    <w:bookmarkStart w:id="196" w:name="page197"/>
    <w:bookmarkEnd w:id="196"/>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   the Account Debtor is an individual;</w:t>
      </w:r>
    </w:p>
    <w:p>
      <w:pPr>
        <w:spacing w:after="0" w:line="117" w:lineRule="exact"/>
        <w:rPr>
          <w:sz w:val="20"/>
          <w:szCs w:val="20"/>
          <w:color w:val="auto"/>
        </w:rPr>
      </w:pPr>
    </w:p>
    <w:p>
      <w:pPr>
        <w:ind w:left="440" w:right="60" w:firstLine="952"/>
        <w:spacing w:after="0" w:line="258" w:lineRule="auto"/>
        <w:rPr>
          <w:sz w:val="20"/>
          <w:szCs w:val="20"/>
          <w:color w:val="auto"/>
        </w:rPr>
      </w:pPr>
      <w:r>
        <w:rPr>
          <w:rFonts w:ascii="Times New Roman" w:cs="Times New Roman" w:eastAsia="Times New Roman" w:hAnsi="Times New Roman"/>
          <w:sz w:val="18"/>
          <w:szCs w:val="18"/>
          <w:color w:val="auto"/>
        </w:rPr>
        <w:t>(q)  (i) except with respect to Eligible Government Accounts, and except to the extent that Account Debtors are already paying into a Deposit Account that is subject to a Springing Control Agreement, the Loan Party owning such Account has not delivered notices directing the Account Debtors to make payment to the applicable Deposit Account that is subject to a Springing Control Agreement, and (ii) in the case of an Eligible Government Account, the Loan Party owning such Account has not delivered notices directing the Account Debtor to make payment to a zero balance account that sweeps daily to a Deposit Account that is subject to a Springing Control Agreement;</w:t>
      </w:r>
    </w:p>
    <w:p>
      <w:pPr>
        <w:spacing w:after="0" w:line="75" w:lineRule="exact"/>
        <w:rPr>
          <w:sz w:val="20"/>
          <w:szCs w:val="20"/>
          <w:color w:val="auto"/>
        </w:rPr>
      </w:pPr>
    </w:p>
    <w:p>
      <w:pPr>
        <w:ind w:left="1380" w:right="1280"/>
        <w:spacing w:after="0" w:line="375" w:lineRule="auto"/>
        <w:rPr>
          <w:sz w:val="20"/>
          <w:szCs w:val="20"/>
          <w:color w:val="auto"/>
        </w:rPr>
      </w:pPr>
      <w:r>
        <w:rPr>
          <w:rFonts w:ascii="Times New Roman" w:cs="Times New Roman" w:eastAsia="Times New Roman" w:hAnsi="Times New Roman"/>
          <w:sz w:val="18"/>
          <w:szCs w:val="18"/>
          <w:color w:val="auto"/>
        </w:rPr>
        <w:t>(r)  the Account includes late charges or finance charges (but only such portion of the Account shall be ineligible); (s)  [reserved];</w:t>
      </w:r>
    </w:p>
    <w:p>
      <w:pPr>
        <w:spacing w:after="0" w:line="1" w:lineRule="exact"/>
        <w:rPr>
          <w:sz w:val="20"/>
          <w:szCs w:val="20"/>
          <w:color w:val="auto"/>
        </w:rPr>
      </w:pPr>
    </w:p>
    <w:p>
      <w:pPr>
        <w:ind w:left="440" w:right="580" w:firstLine="952"/>
        <w:spacing w:after="0" w:line="282" w:lineRule="auto"/>
        <w:rPr>
          <w:sz w:val="20"/>
          <w:szCs w:val="20"/>
          <w:color w:val="auto"/>
        </w:rPr>
      </w:pPr>
      <w:r>
        <w:rPr>
          <w:rFonts w:ascii="Times New Roman" w:cs="Times New Roman" w:eastAsia="Times New Roman" w:hAnsi="Times New Roman"/>
          <w:sz w:val="18"/>
          <w:szCs w:val="18"/>
          <w:color w:val="auto"/>
        </w:rPr>
        <w:t>(t)  the Account or Account Debtor fails to meet such other specifications and requirements which may from time to time be established by Revolving Agent in its Permitted Discretion;</w:t>
      </w:r>
    </w:p>
    <w:p>
      <w:pPr>
        <w:spacing w:after="0" w:line="54" w:lineRule="exact"/>
        <w:rPr>
          <w:sz w:val="20"/>
          <w:szCs w:val="20"/>
          <w:color w:val="auto"/>
        </w:rPr>
      </w:pPr>
    </w:p>
    <w:p>
      <w:pPr>
        <w:ind w:left="440" w:firstLine="952"/>
        <w:spacing w:after="0" w:line="258" w:lineRule="auto"/>
        <w:rPr>
          <w:sz w:val="20"/>
          <w:szCs w:val="20"/>
          <w:color w:val="auto"/>
        </w:rPr>
      </w:pPr>
      <w:r>
        <w:rPr>
          <w:rFonts w:ascii="Times New Roman" w:cs="Times New Roman" w:eastAsia="Times New Roman" w:hAnsi="Times New Roman"/>
          <w:sz w:val="18"/>
          <w:szCs w:val="18"/>
          <w:color w:val="auto"/>
        </w:rPr>
        <w:t>(u)  Accounts owed by an Account Debtor or an Affiliate of an Account Debtor, regardless of whether or otherwise eligible, to the extent that the aggregate balance of such Accounts exceeds twenty percent (20%) of the aggregate amount of all Eligible Accounts; provided, that, in each case, the amount of Eligible Accounts that are excluded because they exceed the foregoing percentage or amount, as applicable, shall be determined by Revolving Agent in its Permitted Discretion based on all of the otherwise Eligible Accounts prior to giving effect to any eliminations based upon the foregoing concentration limit; or</w:t>
      </w:r>
    </w:p>
    <w:p>
      <w:pPr>
        <w:spacing w:after="0" w:line="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   Government Accounts solely to the extent such Accounts do not constitute Eligible Government Accounts.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Government Accounts</w:t>
      </w:r>
      <w:r>
        <w:rPr>
          <w:rFonts w:ascii="Times New Roman" w:cs="Times New Roman" w:eastAsia="Times New Roman" w:hAnsi="Times New Roman"/>
          <w:sz w:val="18"/>
          <w:szCs w:val="18"/>
          <w:color w:val="auto"/>
        </w:rPr>
        <w:t>” means (i) all Medicare Advantage Accounts and (ii) such other Government Accounts that have been approved by the Ares investment committee following satisfactory completion of related diligence and satisfactory changes to the Loan Parties’ existing cash management construct.</w:t>
      </w:r>
    </w:p>
    <w:p>
      <w:pPr>
        <w:spacing w:after="0" w:line="17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(including the common law), rules, regulations, codes, ordinances, orders, decrees, judgments, injunctions, notices or binding agreements issued, promulgated or entered into by or with any Governmental Authority, relating in any way to pollution or the protection of the environment, preservation or reclamation of natural resources, the presence, management, Release or threatened Release of any Hazardous Material, or to health and safety matters relating to exposure to Hazardous Materials in the workplace.</w:t>
      </w:r>
    </w:p>
    <w:p>
      <w:pPr>
        <w:spacing w:after="0" w:line="18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liabilities, obligations, damages, claims, actions, suits, judgments, orders, fines, penalties, fees, expenses and costs (including administrative oversight costs, natural resource damages and medical monitoring, investigation or remediation costs), whether contingent or otherwise, arising out of or relating to any actual or alleged failure to comply with Environmental Law, including with respect to (a) the generation, use, handling, transportation, storage, treatment or disposal of any Hazardous Materials, (b) exposure to any Hazardous Materials, or (c) the Release or threatened Release of any Hazardous Materials.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97" w:name="page198"/>
    <w:bookmarkEnd w:id="197"/>
    <w:p>
      <w:pPr>
        <w:ind w:right="9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162"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from the issuer thereof, but excluding any debt securities </w:t>
      </w:r>
      <w:r>
        <w:rPr>
          <w:rFonts w:ascii="Times New Roman" w:cs="Times New Roman" w:eastAsia="Times New Roman" w:hAnsi="Times New Roman"/>
          <w:sz w:val="18"/>
          <w:szCs w:val="18"/>
          <w:u w:val="single" w:color="auto"/>
          <w:color w:val="0000FF"/>
        </w:rPr>
        <w:t>(including any Permitted Convertible Indebtedness)</w:t>
      </w:r>
      <w:r>
        <w:rPr>
          <w:rFonts w:ascii="Times New Roman" w:cs="Times New Roman" w:eastAsia="Times New Roman" w:hAnsi="Times New Roman"/>
          <w:sz w:val="18"/>
          <w:szCs w:val="18"/>
          <w:color w:val="auto"/>
        </w:rPr>
        <w:t xml:space="preserve"> convertible into such shares or other such equity interests unless such debt securities are converted into such shares or other such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-139700</wp:posOffset>
            </wp:positionV>
            <wp:extent cx="23660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regulations promulgated thereunder, as amended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207"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including Section 414(m) and (o) of the Code solely for purposes of Section 412 of the Code and Section 302 of ERISA.</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thirty (30) day notice period is waived), (b) a failure to satisfy the minimum funding standard under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other than for PBGC premiums due but not delinquent under Section 4007 of ERISA, with respect to the termination of any Plan, (e) the receipt by the Borrower or any ERISA Affiliate from the PBGC or a plan administrator of any written notice relating to an intention to terminate any Plan or Plans or to appoint a trustee to administer any Plan, (f) the receipt by the Borrower or any ERISA Affiliate of any written notice relating to the incurrence by the Borrower or any of its ERISA Affiliates of any liability with respect to the withdrawal or partial withdrawal from any Plan or Multiemployer Plan, (g) the receipt by the Borrower or any ERISA Affiliate of any written notice, or the receipt by any Multiemployer Plan from the Borrower or any ERISA Affiliate of any written notice, concerning a determination that a Multiemployer Plan is, or is expected to be, insolvent or in reorganization, within the meaning of Title IV of ERISA or that a Multiemployer Plan is in “critical” status within the meaning of Section 432 of the Code or Section 305 of ERISA; or (h) the occurrence of a nonexempt prohibited transaction (within the meaning of Section 4975 of the Code or Section 406 of ERISA) which is reasonably likely to result in a Material Adverse Effect.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Net Proceeds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198" w:name="page199"/>
    <w:bookmarkEnd w:id="19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and the rules and regulations of the SEC promulgated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right="6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Swap Obligation</w:t>
      </w:r>
      <w:r>
        <w:rPr>
          <w:rFonts w:ascii="Times New Roman" w:cs="Times New Roman" w:eastAsia="Times New Roman" w:hAnsi="Times New Roman"/>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w:t>
      </w:r>
    </w:p>
    <w:p>
      <w:pPr>
        <w:spacing w:after="0" w:line="16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and (d) any withholding Taxes imposed under FATCA.</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Extraordinary Advances</w:t>
      </w:r>
      <w:r>
        <w:rPr>
          <w:rFonts w:ascii="Times New Roman" w:cs="Times New Roman" w:eastAsia="Times New Roman" w:hAnsi="Times New Roman"/>
          <w:sz w:val="18"/>
          <w:szCs w:val="18"/>
          <w:color w:val="auto"/>
        </w:rPr>
        <w:t xml:space="preserve">” has the meaning set forth therefor in </w:t>
      </w:r>
      <w:r>
        <w:rPr>
          <w:rFonts w:ascii="Times New Roman" w:cs="Times New Roman" w:eastAsia="Times New Roman" w:hAnsi="Times New Roman"/>
          <w:sz w:val="18"/>
          <w:szCs w:val="18"/>
          <w:u w:val="single" w:color="auto"/>
          <w:color w:val="auto"/>
        </w:rPr>
        <w:t>Section 2.04(b)(iii)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means, the value that would be paid by a willing buyer to an unaffiliated willing seller in a transaction not involving distress or necessity of either party, determined in good faith by the Board of Directors, chief executive officer or chief financial officer of the Borrower.</w:t>
      </w:r>
    </w:p>
    <w:p>
      <w:pPr>
        <w:spacing w:after="0" w:line="14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agreements, treaty or convention among Governmental Authorities and implementing such Sections of the Code.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Federal Food and Drug Administration.</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the rate calculated by the NYFRB based on such day’s federal funds transactions by depositary institutions, as determined in such manner as the NYFRB</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99" w:name="page200"/>
    <w:bookmarkEnd w:id="199"/>
    <w:p>
      <w:pPr>
        <w:ind w:left="4" w:right="1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set forth on its public website from time to time, and published on the next succeeding Business Day by the NYFRB as the federal funds effective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Federal Funds Rate shall be less than zero, such rate shall be deemed to zero for the purposes of calculating such rate.</w:t>
      </w:r>
    </w:p>
    <w:p>
      <w:pPr>
        <w:spacing w:after="0" w:line="140"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Fee Letter, dated as of November 4, 2024, by and between the Administrative Agent, the Revolving Agent, the Lead Arranger and the Borrower.</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Field Exams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chief executive officer, principal accounting officer, treasurer or controller of the Borrower (or other officer with equivalent duties), in each case in his or her capacity as such.</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Performance Covenants</w:t>
      </w:r>
      <w:r>
        <w:rPr>
          <w:rFonts w:ascii="Times New Roman" w:cs="Times New Roman" w:eastAsia="Times New Roman" w:hAnsi="Times New Roman"/>
          <w:sz w:val="18"/>
          <w:szCs w:val="18"/>
          <w:color w:val="auto"/>
        </w:rPr>
        <w:t xml:space="preserve">” means the covenants of the Borrower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4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means that certain Limited Waiver and First Amendment to Credit Agreement, dated as of the First Amendment Effective Date, by and among the Borrower, the other Loan Parties party thereto, Administrative Agent, Lead Arranger, Sole Bookrunner and the Lenders party thereto (including, for the avoidance of doubt, the First Amendment Effective Date Term Lenders).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means April 25, 2023.</w:t>
      </w:r>
    </w:p>
    <w:p>
      <w:pPr>
        <w:spacing w:after="0" w:line="225"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 Term Lender</w:t>
      </w:r>
      <w:r>
        <w:rPr>
          <w:rFonts w:ascii="Times New Roman" w:cs="Times New Roman" w:eastAsia="Times New Roman" w:hAnsi="Times New Roman"/>
          <w:sz w:val="18"/>
          <w:szCs w:val="18"/>
          <w:color w:val="auto"/>
        </w:rPr>
        <w:t>” means, at any time, any Term Lender that has a First Amendment Effective Date Term Loan Commitment or an outstanding First Amendment Effective Date Term Loan.</w:t>
      </w:r>
    </w:p>
    <w:p>
      <w:pPr>
        <w:spacing w:after="0" w:line="16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 Term Loan Commitments</w:t>
      </w:r>
      <w:r>
        <w:rPr>
          <w:rFonts w:ascii="Times New Roman" w:cs="Times New Roman" w:eastAsia="Times New Roman" w:hAnsi="Times New Roman"/>
          <w:sz w:val="18"/>
          <w:szCs w:val="18"/>
          <w:color w:val="auto"/>
        </w:rPr>
        <w:t xml:space="preserve">” means, with respect to each First Amendment Effective Date Term Lender, such First Amendment Effective Date Term Lender’s Term Loan Commitment to make a First Amendment Effective Date Term Loan hereunder on the First Amendment Effective Date as set forth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opposite such First Amendment Effective Date Term Lender’s name under the heading “First Amendment Effective Date Term Loan Commitment,” expressed as an amount representing the maximum principal amount of the First Amendment Effective Date Term Loan to be made by such First Amendment Effective Date Term Lender hereunder, as such commitment may be reduced or increased from time to time pursuant to this Agreement and as amended to reflect assignments. Unless the context shall otherwise require, the term “First Amendment Effective Date Term Loan Commitments” shall include any commitment to Replacement Term Loans of such Term Lender. The aggregate amount of the First Amendment Effective Date Term Loan Commitments as of the First Amendment Effective Date is $50,000,000.</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Make-Whole/Prepayment Fee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Leverage Ratio</w:t>
      </w:r>
      <w:r>
        <w:rPr>
          <w:rFonts w:ascii="Times New Roman" w:cs="Times New Roman" w:eastAsia="Times New Roman" w:hAnsi="Times New Roman"/>
          <w:sz w:val="18"/>
          <w:szCs w:val="18"/>
          <w:color w:val="auto"/>
        </w:rPr>
        <w:t>” means, with respect to any measurement date, the ratio of (a) Consolidated First Lien Debt as of such date to</w:t>
      </w:r>
    </w:p>
    <w:p>
      <w:pPr>
        <w:spacing w:after="0" w:line="27" w:lineRule="exact"/>
        <w:rPr>
          <w:sz w:val="20"/>
          <w:szCs w:val="20"/>
          <w:color w:val="auto"/>
        </w:rPr>
      </w:pPr>
    </w:p>
    <w:p>
      <w:pPr>
        <w:ind w:left="4" w:right="280" w:hanging="4"/>
        <w:spacing w:after="0" w:line="260" w:lineRule="auto"/>
        <w:tabs>
          <w:tab w:leader="none" w:pos="25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for the most recently completed four (4) fiscal quarter period for which financial statements have been delivered and ended prior to such date.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200" w:name="page201"/>
    <w:bookmarkEnd w:id="20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1.00% per annum.</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25" w:lineRule="exact"/>
        <w:rPr>
          <w:sz w:val="20"/>
          <w:szCs w:val="20"/>
          <w:color w:val="auto"/>
        </w:rPr>
      </w:pPr>
    </w:p>
    <w:p>
      <w:pPr>
        <w:ind w:left="4" w:right="7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means the date on which a Borrowing occurs.</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upon the prior written consent of the Administrative Agent,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in this Agreement shall be construed, and all computations of amounts and ratios referred to in this Agreement shall be made without giving effect to any election under Accounting Standards Codification Topic 825—Financial Instruments, or any successor thereto or comparable accounting principle (including pursuant to the Accounting Standards Codification), to value any Indebtedness of the Borrower or any Subsidiary at “fair value,” as defined therein and (b) the amount of any Indebtedness under GAAP with respect to Capital Lease Obligations shall be determined in accordance with the definition of Capital Lease Obligations.</w:t>
      </w:r>
    </w:p>
    <w:p>
      <w:pPr>
        <w:spacing w:after="0" w:line="1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Google Note</w:t>
      </w:r>
      <w:r>
        <w:rPr>
          <w:rFonts w:ascii="Times New Roman" w:cs="Times New Roman" w:eastAsia="Times New Roman" w:hAnsi="Times New Roman"/>
          <w:sz w:val="18"/>
          <w:szCs w:val="18"/>
          <w:color w:val="auto"/>
        </w:rPr>
        <w:t>” means that certain Convertible Promissory Note, dated as of June 22, 2020, issued by the Borrower to Google LLC.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Accounts</w:t>
      </w:r>
      <w:r>
        <w:rPr>
          <w:rFonts w:ascii="Times New Roman" w:cs="Times New Roman" w:eastAsia="Times New Roman" w:hAnsi="Times New Roman"/>
          <w:sz w:val="18"/>
          <w:szCs w:val="18"/>
          <w:color w:val="auto"/>
        </w:rPr>
        <w:t>” means collectively, any and all Accounts which are (a) Medicare Accounts, (b) Medicaid Accounts,</w:t>
      </w:r>
    </w:p>
    <w:p>
      <w:pPr>
        <w:spacing w:after="0" w:line="27" w:lineRule="exact"/>
        <w:rPr>
          <w:sz w:val="20"/>
          <w:szCs w:val="20"/>
          <w:color w:val="auto"/>
        </w:rPr>
      </w:pPr>
    </w:p>
    <w:p>
      <w:pPr>
        <w:ind w:left="4" w:right="560" w:hanging="4"/>
        <w:spacing w:after="0" w:line="260" w:lineRule="auto"/>
        <w:tabs>
          <w:tab w:leader="none" w:pos="24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TRICARE Accounts, (d) Accounts pertaining to Indian Health Services, the Department of Defense, Veteran Administration, or (e) any other Account payable by a Governmental Authority acceptable to the Revolving Agent in its Permitted Discretion.</w:t>
      </w:r>
    </w:p>
    <w:p>
      <w:pPr>
        <w:spacing w:after="0" w:line="181"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any securities exchange and any self-regulatory organization (including the National Association of Insurance Commissioners). For avoidance of doubt, the term Governmental Authority includes any and all Public Health Regulatory Agencies.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4"/>
          </w:cols>
          <w:pgMar w:left="436" w:top="270" w:right="499" w:bottom="1440" w:gutter="0" w:footer="0" w:header="0"/>
        </w:sectPr>
      </w:pPr>
    </w:p>
    <w:bookmarkStart w:id="201" w:name="page202"/>
    <w:bookmarkEnd w:id="201"/>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means any obligation, contingent or otherwise, of the guaranteeing person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guaranteeing person,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or applicant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customary and reasonable indemnity obligations in effect on the Effective Date or entered into in connection with any acquisition or disposition of assets permitted under this Agreement (other than such obligations with respect to Indebtedness) or product warranty obligations. The amount of any Guarantee of any guaranteeing person shall be deemed to be the lower of (a) an amount equal to the stated or determinable amount of the primary obligation in respect of which the Guarantee is made and (b) the maximum amount for which such guaranteeing person may be liable pursuant to the terms of the instrument embodying such Guarantee.</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the collective reference to the Subsidiary Loan Parties.</w:t>
      </w:r>
    </w:p>
    <w:p>
      <w:pPr>
        <w:spacing w:after="0" w:line="225" w:lineRule="exact"/>
        <w:rPr>
          <w:sz w:val="20"/>
          <w:szCs w:val="20"/>
          <w:color w:val="auto"/>
        </w:rPr>
      </w:pPr>
    </w:p>
    <w:p>
      <w:pPr>
        <w:ind w:left="4" w:right="2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infectious, chemical, biological, medical or toxic materials, and all other chemicals, materials, substances, wastes, pollutants or contaminants in any form, including petroleum or petroleum byproducts, asbestos or asbestos-containing materials, polychlorinated biphenyls, radon gas and all other materials, substances or wastes of any nature, in each case to the extent regulated pursuant to any Environmental Law.</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all applicable federal and state laws, rules or regulations pertaining to clinical laboratory services, including</w:t>
      </w:r>
    </w:p>
    <w:p>
      <w:pPr>
        <w:spacing w:after="0" w:line="27" w:lineRule="exact"/>
        <w:rPr>
          <w:sz w:val="20"/>
          <w:szCs w:val="20"/>
          <w:color w:val="auto"/>
        </w:rPr>
      </w:pPr>
    </w:p>
    <w:p>
      <w:pPr>
        <w:ind w:left="4" w:right="180" w:hanging="4"/>
        <w:spacing w:after="0" w:line="251" w:lineRule="auto"/>
        <w:tabs>
          <w:tab w:leader="none" w:pos="2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(42 U.S.C. §1320a-7b(b)), Sections 1320a-7 and 1320a-7a of Title 42 of the United States Code, the Physician Self- Referral Law, commonly known as the “Stark Law” (42 U.S.C. §§ 1395nn and 1396(s)), the Civil Monetary Penalties Law, including without limitation the Beneficiary Inducement Statute (42 U.S.C. § 1320a-7a), the civil False Claims Act (31 U.S.C. §3729 et seq.), or any regulations promulgated pursuant to such statutes, or similar state or local statutes or regulations (the “</w:t>
      </w:r>
      <w:r>
        <w:rPr>
          <w:rFonts w:ascii="Times New Roman" w:cs="Times New Roman" w:eastAsia="Times New Roman" w:hAnsi="Times New Roman"/>
          <w:sz w:val="18"/>
          <w:szCs w:val="18"/>
          <w:u w:val="single" w:color="auto"/>
          <w:color w:val="auto"/>
        </w:rPr>
        <w:t>Claims Act</w:t>
      </w:r>
      <w:r>
        <w:rPr>
          <w:rFonts w:ascii="Times New Roman" w:cs="Times New Roman" w:eastAsia="Times New Roman" w:hAnsi="Times New Roman"/>
          <w:sz w:val="18"/>
          <w:szCs w:val="18"/>
          <w:color w:val="auto"/>
        </w:rPr>
        <w:t>”); (ii) the Health Insurance Portability and Accountability Act of 1996 (Pub. L. No. 104-191) as amended by the Health Information Technology for Economic and Clinical Health Act of 2009, (42 U.S.C. § 17921, et seq.) and the regulations promulgated thereunder and similar state or local statutes or regulations governing the privacy or security of patient information (collectively,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(iii) Medicare and the regulations promulgated thereunder; (iv) Medicaid and the regulations promulgated thereunder as well as comparable state Medicaid statutes and regulations; (v) all applicable licensure, permitting or certification laws and regulations and (vi) any and all other applicable federal and state clinical laboratory services laws, rules and regulations, including those related to the submission of false claims, fee-splitting, kickbacks, and self-referrals.</w:t>
      </w:r>
    </w:p>
    <w:p>
      <w:pPr>
        <w:spacing w:after="0" w:line="193"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(b) all obligations of such Person evidenced by bonds, debentures, notes or similar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202" w:name="page203"/>
    <w:bookmarkEnd w:id="20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instruments, (c) all obligations of such Person under conditional sale or other title retention agreements relating to property acquired by such Person,</w:t>
      </w:r>
    </w:p>
    <w:p>
      <w:pPr>
        <w:spacing w:after="0" w:line="27" w:lineRule="exact"/>
        <w:rPr>
          <w:sz w:val="20"/>
          <w:szCs w:val="20"/>
          <w:color w:val="auto"/>
        </w:rPr>
      </w:pPr>
    </w:p>
    <w:p>
      <w:pPr>
        <w:ind w:left="4" w:hanging="4"/>
        <w:spacing w:after="0" w:line="250" w:lineRule="auto"/>
        <w:tabs>
          <w:tab w:leader="none" w:pos="25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of such Person in respect of the deferred purchase price of property or services (excluding trade accounts payable and accrued obligations incurred in the ordinary course of business), (e) all obligations of others secured by (or for which the holder of such obligations has an existing right, contingent or otherwise, to be secured by) any Lien on property owned or acquired by such Person, whether or not the obligations secured thereby have been assumed, but limited, in the event such secured obligations are nonrecourse to such Person, to the fair value of such property, (f) all Guarantees by such Person of the Indebtedness of any other Person, (g) all Capital Lease Obligations of such Person, (h) the face amount of all letters of credit issued for the account of such Person to the extent drawn and unreimbursed and all reimbursement or payment obligations with respect to surety bonds and other similar instruments issued by such Person, (i) all obligations, contingent or otherwise, of such Person in respect of bankers’ acceptances and (j) all Disqualified Equity Interests of such Person valued, as of the date of determination, at the greater of (i) the maximum aggregate amount that would be payable upon maturity, redemption, repayment or repurchase thereof (or of Disqualified Equity Interests or Indebtedness into which such Disqualified Equity Interests is convertible or exchangeable) and (ii) the maximum liquidation preference of such Disqualified Equity Interests (excluding accrued dividends that have not increased the liquidation preference of such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post-closing payment adjustments, earn-outs or non-compete payments to which the seller in any Permitted Acquisition is or may become entitled until such obligations are due and payable, (ii) amounts that any member of management, the employees or consultants of the Borrower or any of the Subsidiaries may become entitled to under any cash incentive plan in existence from time to time (iii) contingent obligations incurred in the ordinary course of business or in respect of operating leases and not in respect of borrowed money, (iv) deferred or prepaid revenues, (v) purchase price holdbacks in respect of a portion of the purchase price of an asset to satisfy warranty or other unperformed obligations of the respective seller, (vi) current liabilities due to affiliates in connection with cash management arrangements in the ordinary course of business,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(vii) Non-Financing Lease Obligations</w:t>
      </w:r>
      <w:r>
        <w:rPr>
          <w:rFonts w:ascii="Times New Roman" w:cs="Times New Roman" w:eastAsia="Times New Roman" w:hAnsi="Times New Roman"/>
          <w:sz w:val="18"/>
          <w:szCs w:val="18"/>
          <w:u w:val="single" w:color="auto"/>
          <w:color w:val="0000FF"/>
        </w:rPr>
        <w:t>, or (viii) Permitted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5743575</wp:posOffset>
            </wp:positionH>
            <wp:positionV relativeFrom="paragraph">
              <wp:posOffset>-122555</wp:posOffset>
            </wp:positionV>
            <wp:extent cx="121729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5226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86"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 imposed on or with respect to any payment made by or on account of any obligation of any Loan Party under any Loan Document.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written request by the Borrower to convert or continue a Term Loan Borrowing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Interest Election Request shall be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or such other form as shall be approved by the Administrative Agent.</w:t>
      </w:r>
    </w:p>
    <w:p>
      <w:pPr>
        <w:spacing w:after="0" w:line="176" w:lineRule="exact"/>
        <w:rPr>
          <w:sz w:val="20"/>
          <w:szCs w:val="20"/>
          <w:color w:val="auto"/>
        </w:rPr>
      </w:pPr>
    </w:p>
    <w:p>
      <w:pPr>
        <w:ind w:left="4"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Base Rate Loan, the last Business Day of each March, June, September and December and (b) with respect to any SOFR Loan, the last day of the Interest Period applicable to the Borrowing of which such Loan is a part.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70" w:right="479" w:bottom="1440" w:gutter="0" w:footer="0" w:header="0"/>
        </w:sectPr>
      </w:pPr>
    </w:p>
    <w:bookmarkStart w:id="203" w:name="page204"/>
    <w:bookmarkEnd w:id="203"/>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Interest Period</w:t>
      </w:r>
      <w:r>
        <w:rPr>
          <w:rFonts w:ascii="Times New Roman" w:cs="Times New Roman" w:eastAsia="Times New Roman" w:hAnsi="Times New Roman"/>
          <w:sz w:val="17"/>
          <w:szCs w:val="17"/>
          <w:color w:val="auto"/>
        </w:rPr>
        <w:t xml:space="preserve">” means, with respect to any SOFR Borrowing, the period commencing on the date of such Borrowing and ending on the numerically corresponding day in the calendar month that is three months thereafter,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applicable to a Term Loan or a portion thereof shall extend beyond any date upon which any scheduled principal payment in respect of such Term Loan is due unless the aggregate principal amount of such Term Loan represented by Base Rate Borrowings or SOFR Borrowings having Interest Periods that will expire on or prior to such date is equal to or in excess of the amount of such principal payment, (d) no tenor removed from this definition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shall be available and</w:t>
      </w:r>
    </w:p>
    <w:p>
      <w:pPr>
        <w:spacing w:after="0" w:line="5" w:lineRule="exact"/>
        <w:rPr>
          <w:sz w:val="20"/>
          <w:szCs w:val="20"/>
          <w:color w:val="auto"/>
        </w:rPr>
      </w:pPr>
    </w:p>
    <w:p>
      <w:pPr>
        <w:ind w:left="4" w:right="60" w:hanging="4"/>
        <w:spacing w:after="0" w:line="260" w:lineRule="auto"/>
        <w:tabs>
          <w:tab w:leader="none" w:pos="24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applicable Maturity Date. For purposes hereof, the date of a Borrowing initially shall be the date on which such Borrowing is made and thereafter shall be the effective date of the most recent conversion or continuation of such Borrowing.</w:t>
      </w:r>
    </w:p>
    <w:p>
      <w:pPr>
        <w:spacing w:after="0" w:line="181" w:lineRule="exact"/>
        <w:rPr>
          <w:sz w:val="20"/>
          <w:szCs w:val="20"/>
          <w:color w:val="auto"/>
        </w:rPr>
      </w:pPr>
    </w:p>
    <w:p>
      <w:pPr>
        <w:ind w:left="4" w:right="12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means with respect to any Person, all direct or indirect investments by such Person in other Persons (including Affiliates) in the forms of loans (including Guarantees or other obligations), advances or capital contributions (excluding accounts receivable, trade credit, advances to customers, current receivables due from affiliates in connection with cash management arrangements and commission, travel, relocation and similar advances to officers and employees, in each case made in the ordinary course of business), purchases or other acquisitions for consideration of Indebtedness, Equity Interests or other securities, together with all items that are or would be classified as investments on a balance sheet prepared in accordance with GAAP. For purposes of covenant compliance, the amount of any Investment at any time shall be the amount actually invested (measured at the time made), without adjustment for subsequent changes in the value of such Investment, net of any dividend, distribution, interest payment, return of capital, repayment or other amount received in cash by the Borrower or a Subsidiary in respect of such Investment.</w:t>
      </w:r>
    </w:p>
    <w:p>
      <w:pPr>
        <w:spacing w:after="0" w:line="172" w:lineRule="exact"/>
        <w:rPr>
          <w:sz w:val="20"/>
          <w:szCs w:val="20"/>
          <w:color w:val="auto"/>
        </w:rPr>
      </w:pPr>
    </w:p>
    <w:p>
      <w:pPr>
        <w:jc w:val="both"/>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in respect of any Person as of any date of determination, such Person’s securities are rated BBB- or better by S&amp;P or Fitch or Baa3 or better by Moody’s (or rated with an equivalent rating from another rating agency reasonably acceptable to the Administrative Agent), in each case, as of such date of determination.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a bona fide underwritten initial public offering of Equity Interests of the Borrower or any direct or indirect parent of the Borrower after the Effective Date.</w:t>
      </w:r>
    </w:p>
    <w:p>
      <w:pPr>
        <w:spacing w:after="0" w:line="162" w:lineRule="exact"/>
        <w:rPr>
          <w:sz w:val="20"/>
          <w:szCs w:val="20"/>
          <w:color w:val="auto"/>
        </w:rPr>
      </w:pPr>
    </w:p>
    <w:p>
      <w:pPr>
        <w:ind w:left="4" w:right="1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Capital Raise Date</w:t>
      </w:r>
      <w:r>
        <w:rPr>
          <w:rFonts w:ascii="Times New Roman" w:cs="Times New Roman" w:eastAsia="Times New Roman" w:hAnsi="Times New Roman"/>
          <w:sz w:val="18"/>
          <w:szCs w:val="18"/>
          <w:color w:val="auto"/>
        </w:rPr>
        <w:t xml:space="preserve">” means the date upon which the Borrower has raised an aggregate principal amount of at least $75,000,000 (measured on an aggregate basis with respect to all proceeds received from and after the Third Amendment Effective Date) of </w:t>
      </w:r>
      <w:r>
        <w:rPr>
          <w:rFonts w:ascii="Times New Roman" w:cs="Times New Roman" w:eastAsia="Times New Roman" w:hAnsi="Times New Roman"/>
          <w:sz w:val="18"/>
          <w:szCs w:val="18"/>
          <w:u w:val="single" w:color="auto"/>
          <w:color w:val="0000FF"/>
        </w:rPr>
        <w:t>(i) Permitted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Indebtedness, (ii)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subordinated junior Indebtedness, in form and substance and on terms and provisions reasonably satisfactory to the Administrative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Agent, and/or </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xml:space="preserve"> Equity Interests (other than Disqualified Equity Interests);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that</w:t>
      </w:r>
      <w:r>
        <w:rPr>
          <w:rFonts w:ascii="Times New Roman" w:cs="Times New Roman" w:eastAsia="Times New Roman" w:hAnsi="Times New Roman"/>
          <w:sz w:val="18"/>
          <w:szCs w:val="18"/>
          <w:color w:val="000000"/>
        </w:rPr>
        <w:t>, if in the form of subordinated junior Indebtedness (such subordinated junior Indebtedness, the “</w:t>
      </w:r>
      <w:r>
        <w:rPr>
          <w:rFonts w:ascii="Times New Roman" w:cs="Times New Roman" w:eastAsia="Times New Roman" w:hAnsi="Times New Roman"/>
          <w:sz w:val="18"/>
          <w:szCs w:val="18"/>
          <w:u w:val="single" w:color="auto"/>
          <w:color w:val="000000"/>
        </w:rPr>
        <w:t>Proposed Subordinated Debt</w:t>
      </w:r>
      <w:r>
        <w:rPr>
          <w:rFonts w:ascii="Times New Roman" w:cs="Times New Roman" w:eastAsia="Times New Roman" w:hAnsi="Times New Roman"/>
          <w:sz w:val="18"/>
          <w:szCs w:val="18"/>
          <w:color w:val="000000"/>
        </w:rPr>
        <w:t>”), such Proposed Subordinated Debt shall (i) be unsecured, with cash pay of no more than 3.00% per annum, (ii) have a maturity date of no earlier than one hundred eighty (180) days outside of the Maturity Date and (iii) shall be subject to a subordination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5786120</wp:posOffset>
            </wp:positionH>
            <wp:positionV relativeFrom="paragraph">
              <wp:posOffset>-682625</wp:posOffset>
            </wp:positionV>
            <wp:extent cx="11487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-545465</wp:posOffset>
            </wp:positionV>
            <wp:extent cx="8229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659765</wp:posOffset>
            </wp:positionH>
            <wp:positionV relativeFrom="paragraph">
              <wp:posOffset>-408305</wp:posOffset>
            </wp:positionV>
            <wp:extent cx="17145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70" w:right="439" w:bottom="1440" w:gutter="0" w:footer="0" w:header="0"/>
        </w:sectPr>
      </w:pPr>
    </w:p>
    <w:bookmarkStart w:id="204" w:name="page205"/>
    <w:bookmarkEnd w:id="204"/>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in form and substance reasonably satisfactory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to the extent such date does not occur on or prior to June 30, 2026, then the Junior Capital Raise Date shall be deemed to not occur.</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banks and other financial institutions or entities from time to time parties to this Agreement (including any Person that shall have become a party hereto pursuant to an Assignment and Assumption) other than any such Person that ceases to be a party hereto pursuant to an Assignment and Assumption.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Cure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Cure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and all Indebtedness, Taxes, liabilities, and obligations, whether known or unknown, accrued or fixed, or absolute or contingent, matured or unmatured or determined or reasonably determinable.</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 (a) any mortgage, deed of trust, lien, pledge, hypothecation, encumbrance, charge or security interest in, on or of such asset or other arrangement to provide priority or preference with respect to such asset or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 operating lease in and of itself be deemed a Lien.</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xml:space="preserve">” means, at any time, the sum of, without duplication, (x) Availability (excluding any Availability as a result of including Qualified Cash in the Borrowing Base),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unrestricted cash and Cash Equivalents of the Borrower plus the unrestricted cash and Cash Equivalents of the Subsidiaries (all of the outstanding Equity Interests of which are owned, directly or indirectly, by the Borrower) of the Borrower with respect to which the Administrative Agent has a first priority perfected Lien pursuant to a Control Agreement (excluding any Qualified Cash in the Borrowing Base for which the Borrower has utilized for outstanding Revolver Usage).</w:t>
      </w:r>
    </w:p>
    <w:p>
      <w:pPr>
        <w:spacing w:after="0" w:line="183"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the promissory notes, if any, executed and delivered pursuant to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the Fee Letter, the Collateral Agreement and the other Security Documents.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 and the Subsidiary Loan Parties.</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Term Loans, any Revolving Loan, Swingline Advance or Extraordinary Advance made (or to be made) by the applicable Lenders to the Borrower pursuant to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Make-Whole/Prepayment Fee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Premium</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40" w:firstLine="952"/>
        <w:spacing w:after="0" w:line="261" w:lineRule="auto"/>
        <w:rPr>
          <w:sz w:val="20"/>
          <w:szCs w:val="20"/>
          <w:color w:val="auto"/>
        </w:rPr>
      </w:pPr>
      <w:r>
        <w:rPr>
          <w:rFonts w:ascii="Times New Roman" w:cs="Times New Roman" w:eastAsia="Times New Roman" w:hAnsi="Times New Roman"/>
          <w:sz w:val="18"/>
          <w:szCs w:val="18"/>
          <w:color w:val="auto"/>
        </w:rPr>
        <w:t>(x)  with respect to any prepayment of Term Loans (other than the Second Amendment Effective Date Term Loans and the Third Amendment Effective Date Term Loans), the excess of (a) the “present value” as of the date of such prepayment of (i) the prepayment price of the Term Loans (other than the Second Amendment Effective Date Term Loans) being prepaid at the first anniversary of the First Amendment Effective Date, in the amount of 105%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205" w:name="page206"/>
    <w:bookmarkEnd w:id="205"/>
    <w:p>
      <w:pPr>
        <w:ind w:left="44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amount of the Term Loans (other than the Second Amendment Effective Date Term Loans and the Third Amendment Effective Date Term Loans) being prepaid and (ii) the amount of interest that would have been payable on the aggregate principal amount of the Term Loans (other than the Second Amendment Effective Date Term Loans and the Third Amendment Effective Date Term Loans) being prepaid, repaid, or accelerated if such principal amount had been outstanding from the date of prepayment, repayment, or acceleration through the first anniversary of the First Amendment Effective Date (excluding interest accrued prior to such prepayment date) over (b) the principal amount of the Term Loans (other than the Second Amendment Effective Date Term Loans and the Third Amendment Effective Date Term Loans) being prepaid; provided that the Make-Whole Premium applicable to the Term Loans (other than the Second Amendment Effective Date Term Loans and the Third Amendment Effective Date Term Loans) may in no event be less than zero; and</w:t>
      </w:r>
    </w:p>
    <w:p>
      <w:pPr>
        <w:spacing w:after="0" w:line="84" w:lineRule="exact"/>
        <w:rPr>
          <w:sz w:val="20"/>
          <w:szCs w:val="20"/>
          <w:color w:val="auto"/>
        </w:rPr>
      </w:pPr>
    </w:p>
    <w:p>
      <w:pPr>
        <w:ind w:left="440" w:right="20" w:firstLine="952"/>
        <w:spacing w:after="0" w:line="254" w:lineRule="auto"/>
        <w:rPr>
          <w:sz w:val="20"/>
          <w:szCs w:val="20"/>
          <w:color w:val="auto"/>
        </w:rPr>
      </w:pPr>
      <w:r>
        <w:rPr>
          <w:rFonts w:ascii="Times New Roman" w:cs="Times New Roman" w:eastAsia="Times New Roman" w:hAnsi="Times New Roman"/>
          <w:sz w:val="18"/>
          <w:szCs w:val="18"/>
          <w:color w:val="auto"/>
        </w:rPr>
        <w:t>(y)  with respect to any prepayment of the Second Amendment Effective Date Term Loans, the excess of (a) the “present value” as of the date of such prepayment of (i) the prepayment price of the Second Amendment Effective Date Term Loans being prepaid at the first anniversary of the Second Amendment Effective Date, in the amount of 105% of the principal amount of the Second Amendment Effective Date Term Loans being prepaid and (ii) the amount of interest that would have been payable on the aggregate principal amount of the Second Amendment Effective Date Term Loans being prepaid, repaid, or accelerated if such principal amount had been outstanding from the date of prepayment, repayment, or acceleration through the first anniversary of the Second Amendment Effective Date (excluding interest accrued prior to such prepayment date) over (b) the principal amount of the Second Amendment Effective Date Term Loans being prepaid; provided that the Make-Whole Premium applicable to the Second Amendment Effective Date Term Loans may in no event be less than zero.</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this definition, “present value” with respect to each of clauses (x)(a)(i), (x)(a)(ii), (y)(a)(i) and (y)(a)(ii) hereof shall be computed using a discount rate applied quarterly equal to the Treasury Rate as of such prepayment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50 basis points. For the avoidance of doubt, (i) all PIK Interest capitalized to principal of the Term Loans is to be included in the Make-Whole Premium, and (ii) the calculation of interest with respect to the Term Loans in clauses (x)(a)(ii) and (y)(b)(ii) above shall be calculated without PIK Interest for any period for which the Borrower has exercised the Cash Election.</w:t>
      </w:r>
    </w:p>
    <w:p>
      <w:pPr>
        <w:spacing w:after="0" w:line="183"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the acquisition of a Person (or Subsidiary, line of business or division of a Person) that involves the payment of consideration by the Borrower and its Subsidiaries in excess of $25,000,000.</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operations, assets, properties, contingent liabilities or financial condition of the Borrower and its Subsidiaries, taken as a whole, (b) the ability of any Loan Party to perform any obligation under any Loan Document or (c) the rights of or benefits available to the Lenders and Agents under any Loan Document or the ability of the Agents and the Lenders to enforce the Loan Documents.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means a Disposition that involves the payment of consideration in excess of $25,000,000.</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or obligations in respect of one or more Swap Agreements, of any one or more of the Loan Parties in an aggregate principal amount exceeding $10,000,000. For purposes of determining Material Indebtedness, the “principal amount”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206" w:name="page207"/>
    <w:bookmarkEnd w:id="206"/>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obligations of any Loan Party in respect of any Swap Agreement at any time shall be the maximum aggregate amount (giving effect to any netting agreements) that such Loan Party would be required to pay if such Swap Agreement were terminated at such time.</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xml:space="preserve">” means (i) the real property owned by any Loan Party identified on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and (ii) any other real estate owned (but not leased) by a Loan Party located in the United States having a Fair Market Value in excess of $5,000,000; provided, that, notwithstanding anything to the contrary contained herein, the real property located at 7 Argonaut, Aliso Viejo, California 92656 shall not constitute Material Real Property at any time.</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Regulatory Liabilities</w:t>
      </w:r>
      <w:r>
        <w:rPr>
          <w:rFonts w:ascii="Times New Roman" w:cs="Times New Roman" w:eastAsia="Times New Roman" w:hAnsi="Times New Roman"/>
          <w:sz w:val="18"/>
          <w:szCs w:val="18"/>
          <w:color w:val="auto"/>
        </w:rPr>
        <w:t>” means (i) any claims, actions, suits, judgments, damages, losses, liability, fines or penalties arising from the violation of Public Health Laws, other applicable laws, or the terms, conditions of or requirements applicable to any Registrations (including costs of actions required under applicable law, including Public Health Laws, or necessary to remedy any violation of any terms or conditions applicable to any Registrations) and (ii) any net loss of recurring annual revenues as a result of any loss, suspension or limitation of any Registrations, which, in the case of the foregoing clauses (i) and (ii), exceeds $10,000,000, individually or in the aggregate.</w:t>
      </w:r>
    </w:p>
    <w:p>
      <w:pPr>
        <w:spacing w:after="0" w:line="183"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at any date of determination, the latest maturity or expiration date applicable to the latest to mature of any Loan or Commitment hereunder at such time, including the latest maturity or expiration date of any Term Loan, any Revolving Commitment or Revolving Loan, in each case as extended in accordance with this Agreement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Revolving Commitment Amount</w:t>
      </w:r>
      <w:r>
        <w:rPr>
          <w:rFonts w:ascii="Times New Roman" w:cs="Times New Roman" w:eastAsia="Times New Roman" w:hAnsi="Times New Roman"/>
          <w:sz w:val="18"/>
          <w:szCs w:val="18"/>
          <w:color w:val="auto"/>
        </w:rPr>
        <w:t xml:space="preserve">” means $100,000,000, in each case decreased by the amount of reductions in the Revolving Commitments made in accordance with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Medicaid</w:t>
      </w:r>
      <w:r>
        <w:rPr>
          <w:rFonts w:ascii="Times New Roman" w:cs="Times New Roman" w:eastAsia="Times New Roman" w:hAnsi="Times New Roman"/>
          <w:sz w:val="18"/>
          <w:szCs w:val="18"/>
          <w:color w:val="auto"/>
        </w:rPr>
        <w:t>” means that means-tested entitlement program under Title XIX of the Social Security Act, which provides federal grants to states for medical assistance based on specific eligibility criteria, as set forth at Section 1396, et seq. of Title 42 of the United States Code, as amended, and any statute succeeding thereto.</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Medicaid Account</w:t>
      </w:r>
      <w:r>
        <w:rPr>
          <w:rFonts w:ascii="Times New Roman" w:cs="Times New Roman" w:eastAsia="Times New Roman" w:hAnsi="Times New Roman"/>
          <w:sz w:val="18"/>
          <w:szCs w:val="18"/>
          <w:color w:val="auto"/>
        </w:rPr>
        <w:t>” means an Account payable pursuant to an agreement entered into between a state agency or other entity administering Medicaid in such state and a healthcare facility or physician under which the healthcare facility or physician agrees to provide services or supplies for Medicaid patients.</w:t>
      </w:r>
    </w:p>
    <w:p>
      <w:pPr>
        <w:spacing w:after="0" w:line="176"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Medicare</w:t>
      </w:r>
      <w:r>
        <w:rPr>
          <w:rFonts w:ascii="Times New Roman" w:cs="Times New Roman" w:eastAsia="Times New Roman" w:hAnsi="Times New Roman"/>
          <w:sz w:val="18"/>
          <w:szCs w:val="18"/>
          <w:color w:val="auto"/>
        </w:rPr>
        <w:t>” means that government-sponsored entitlement program under Title XVIII of the Social Security Act, which provides for a health insurance system for eligible individuals, as set forth at Section 1395, et seq. of Title 42 of the United States Code, as amended, and any statute succeeding thereto.</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Medicare Account</w:t>
      </w:r>
      <w:r>
        <w:rPr>
          <w:rFonts w:ascii="Times New Roman" w:cs="Times New Roman" w:eastAsia="Times New Roman" w:hAnsi="Times New Roman"/>
          <w:sz w:val="18"/>
          <w:szCs w:val="18"/>
          <w:color w:val="auto"/>
        </w:rPr>
        <w:t>” means an Account payable pursuant to an agreement entered into between a state agency or other entity administering Medicare in such state and a healthcare facility or physician under which the healthcare facility or physician agrees to provide services or supplies for Medicare patients.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207" w:name="page208"/>
    <w:bookmarkEnd w:id="207"/>
    <w:p>
      <w:pPr>
        <w:jc w:val="both"/>
        <w:ind w:right="40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Medicare Advantage</w:t>
      </w:r>
      <w:r>
        <w:rPr>
          <w:rFonts w:ascii="Times New Roman" w:cs="Times New Roman" w:eastAsia="Times New Roman" w:hAnsi="Times New Roman"/>
          <w:sz w:val="17"/>
          <w:szCs w:val="17"/>
          <w:color w:val="auto"/>
        </w:rPr>
        <w:t>” means an insurance policy offered by a private insurance carrier that has contracted with Medicare to provide coverage with respect to certain Medicare services, which may also be commonly referred to in the industry as a “Part C” plan or “MA Plus” Plan.</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Medicare Advantage Account</w:t>
      </w:r>
      <w:r>
        <w:rPr>
          <w:rFonts w:ascii="Times New Roman" w:cs="Times New Roman" w:eastAsia="Times New Roman" w:hAnsi="Times New Roman"/>
          <w:sz w:val="18"/>
          <w:szCs w:val="18"/>
          <w:color w:val="auto"/>
        </w:rPr>
        <w:t>” means a medical savings Account payable pursuant to Medicare Advantage.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Liquidity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Revolving Interest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Financial Statements</w:t>
      </w:r>
      <w:r>
        <w:rPr>
          <w:rFonts w:ascii="Times New Roman" w:cs="Times New Roman" w:eastAsia="Times New Roman" w:hAnsi="Times New Roman"/>
          <w:sz w:val="18"/>
          <w:szCs w:val="18"/>
          <w:color w:val="auto"/>
        </w:rPr>
        <w:t>” means the unaudited consolidated balance sheets and related statements of income and cash flows of the Borrower for each month ended after July 31, 2022 and at least thirty (30) days prior to the Effective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deed of trust, assignment of leases and rents or other security document granting a Lien on any Mortgaged Property to secure the Obligations. Each Mortgage shall be reasonably satisfactory in form and substance to the Collateral Agent.</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xml:space="preserve">” means each parcel of or other interests in real property owned by a Loan Party and improvements thereto owned by a Loan Party with respect to which a Mortgage is granted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In no event shall Mortgaged Property include, nor shall any Loan Party be obligated to grant a Mortgage with respect to any property that does not constitute Material Real Property.</w:t>
      </w:r>
    </w:p>
    <w:p>
      <w:pPr>
        <w:spacing w:after="0" w:line="17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the Borrower or any ERISA Affiliate makes or is obligated to make contributions.</w:t>
      </w:r>
    </w:p>
    <w:p>
      <w:pPr>
        <w:spacing w:after="0" w:line="162"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xml:space="preserve">” means, with respect to any event, (a) the cash proceeds actually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but only as and when received and (iii) in the case of a condemnation or similar event, condemnation awards and similar payments actually received, net of (b) the sum of (i) all reasonable fees and out-of-pocket expenses paid to third parties in connection with such event (including reasonable and documented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required to be made as a result of such event to repay Indebtedness (other than Loans) secured by such asset, in the case of any such sale, transfer or other disposition of an asset of a Subsidiary that is not a Guarantor, the amount of any repayments of Indebtedness of such Subsidiary other than intercompany Indebtedness made with the proceeds of such sale, transfer or other disposition and (Y) in the event that a Subsidiary makes a pro rata payment of dividends to all of its stockholders from any cash proceeds, the amount of dividends paid to any stockholder other than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cash proceeds of a sale, transfer or other disposition of an asset by a Subsidiary that is not a Subsidiary Loan Party that are subject to legal or contractual</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208" w:name="page209"/>
    <w:bookmarkEnd w:id="20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restrictions on repatriation to the Borrower will not be considered Net Proceeds for so long as such proceeds are subject to such restrictions;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contractual restrictions on repatriation were not entered into in contemplation of such sale, transfer or other disposition of assets and (iii) the amount of all Taxes paid (or reasonably estimated to be payable), including any withholding taxes and other taxes reasonably estimated to be payable in connection with the repatriation of such Net Proceeds from a Foreign Subsidiary (or through a chain of Foreign Subsidiaries and Domestic Subsidiaries) and the amount of any reserves established to fund liabilities reasonably estimated to be payable, in each case during the year that such event occurred, the next succeeding year, or any year in which an installment payment in connection with such event is received and that, in each case, are directly attributable to such event (as determined reasonably and in good faith by a Financial Officer).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Non-Financing Lease Obligation</w:t>
      </w:r>
      <w:r>
        <w:rPr>
          <w:rFonts w:ascii="Times New Roman" w:cs="Times New Roman" w:eastAsia="Times New Roman" w:hAnsi="Times New Roman"/>
          <w:sz w:val="18"/>
          <w:szCs w:val="18"/>
          <w:color w:val="auto"/>
        </w:rPr>
        <w:t>” means a lease obligation that is not required to be accounted for as a financing or capital lease on both the balance sheet and the income statement for financial reporting purposes in accordance with GAAP (including, without limitation, FASB ASC 842). For the avoidance of doubt, a straight-line or operating lease shall be considered a Non- Financing Lease Obligation.</w:t>
      </w:r>
    </w:p>
    <w:p>
      <w:pPr>
        <w:spacing w:after="0" w:line="176" w:lineRule="exact"/>
        <w:rPr>
          <w:sz w:val="20"/>
          <w:szCs w:val="20"/>
          <w:color w:val="auto"/>
        </w:rPr>
      </w:pPr>
    </w:p>
    <w:p>
      <w:pPr>
        <w:ind w:right="14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 Otherwise Applied</w:t>
      </w:r>
      <w:r>
        <w:rPr>
          <w:rFonts w:ascii="Times New Roman" w:cs="Times New Roman" w:eastAsia="Times New Roman" w:hAnsi="Times New Roman"/>
          <w:sz w:val="17"/>
          <w:szCs w:val="17"/>
          <w:color w:val="auto"/>
        </w:rPr>
        <w:t>” means, with reference to the amount of any capital contributions, Net Proceeds from the issuance of Equity Interests that is proposed to be applied to a particular use or transaction, that such amount was not previously applied in determining the permissibility of a transaction under the Loan Documents where such permissibility was (or may have been) contingent on the receipt or availability of such amount.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the collective reference to any promissory note evidencing Loans.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NPL</w:t>
      </w:r>
      <w:r>
        <w:rPr>
          <w:rFonts w:ascii="Times New Roman" w:cs="Times New Roman" w:eastAsia="Times New Roman" w:hAnsi="Times New Roman"/>
          <w:sz w:val="18"/>
          <w:szCs w:val="18"/>
          <w:color w:val="auto"/>
        </w:rPr>
        <w:t>” means the National Priorities List under CERCLA.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has the meaning set forth in the Collateral Agreement and shall include any Prepayment Premium and Erroneous Payment Subrogation Rights.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3.17(b)(v)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in respect of any transaction involving any Loan Party or any Subsidiary, the ordinary course of such Loan Party’s or Subsidiary’s business and undertaken by such Person in good faith and not for purposes of evading any covenant or restriction in any Loan Document.</w:t>
      </w:r>
    </w:p>
    <w:p>
      <w:pPr>
        <w:spacing w:after="0" w:line="176"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Connection Taxes</w:t>
      </w:r>
      <w:r>
        <w:rPr>
          <w:rFonts w:ascii="Times New Roman" w:cs="Times New Roman" w:eastAsia="Times New Roman" w:hAnsi="Times New Roman"/>
          <w:sz w:val="17"/>
          <w:szCs w:val="17"/>
          <w:color w:val="auto"/>
        </w:rPr>
        <w:t>” means, with respect to any Recipient, Taxes imposed as a result of a present or former connection between such Recipient and the jurisdiction imposing such Tax other than connections arising solely from (and that would not have existed but for)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4" w:lineRule="exact"/>
        <w:rPr>
          <w:sz w:val="20"/>
          <w:szCs w:val="20"/>
          <w:color w:val="auto"/>
        </w:rPr>
      </w:pPr>
    </w:p>
    <w:p>
      <w:pPr>
        <w:jc w:val="both"/>
        <w:ind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any and all present or future recording, stamp, documentary, transfer, sales, property or similar Taxes, charges or levies arising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209" w:name="page210"/>
    <w:bookmarkEnd w:id="209"/>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Overadvance</w:t>
      </w:r>
      <w:r>
        <w:rPr>
          <w:rFonts w:ascii="Times New Roman" w:cs="Times New Roman" w:eastAsia="Times New Roman" w:hAnsi="Times New Roman"/>
          <w:sz w:val="18"/>
          <w:szCs w:val="18"/>
          <w:color w:val="auto"/>
        </w:rPr>
        <w:t xml:space="preserve">” means, as of any date of determination, that the Revolver Usage is greater than any of the limitations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means a certificate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any other form approved by the Collateral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225"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purchases or other acquisitions by the Borrower or any of its Subsidiaries of the Equity Interests in a Person that, upon the consummation thereof, will be a Subsidiary of the Borrower (including as a result of a merger or consolidation) or all or substantially all of the assets of, or assets constituting one or more business units of, any Person that, upon the consummation thereof, will constitute assets of the Borrower or a Subsidiary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purchase or other acquisition:</w:t>
      </w:r>
    </w:p>
    <w:p>
      <w:pPr>
        <w:spacing w:after="0" w:line="72" w:lineRule="exact"/>
        <w:rPr>
          <w:sz w:val="20"/>
          <w:szCs w:val="20"/>
          <w:color w:val="auto"/>
        </w:rPr>
      </w:pPr>
    </w:p>
    <w:p>
      <w:pPr>
        <w:ind w:left="440" w:right="400" w:firstLine="952"/>
        <w:spacing w:after="0" w:line="282" w:lineRule="auto"/>
        <w:rPr>
          <w:sz w:val="20"/>
          <w:szCs w:val="20"/>
          <w:color w:val="auto"/>
        </w:rPr>
      </w:pPr>
      <w:r>
        <w:rPr>
          <w:rFonts w:ascii="Times New Roman" w:cs="Times New Roman" w:eastAsia="Times New Roman" w:hAnsi="Times New Roman"/>
          <w:sz w:val="18"/>
          <w:szCs w:val="18"/>
          <w:color w:val="auto"/>
        </w:rPr>
        <w:t>(a)  all transactions related to such purchase or acquisition shall be consummated in all material respects in accordance with all applicable laws;</w:t>
      </w:r>
    </w:p>
    <w:p>
      <w:pPr>
        <w:spacing w:after="0" w:line="54" w:lineRule="exact"/>
        <w:rPr>
          <w:sz w:val="20"/>
          <w:szCs w:val="20"/>
          <w:color w:val="auto"/>
        </w:rPr>
      </w:pPr>
    </w:p>
    <w:p>
      <w:pPr>
        <w:ind w:left="440" w:right="60" w:firstLine="952"/>
        <w:spacing w:after="0" w:line="258" w:lineRule="auto"/>
        <w:rPr>
          <w:sz w:val="20"/>
          <w:szCs w:val="20"/>
          <w:color w:val="auto"/>
        </w:rPr>
      </w:pPr>
      <w:r>
        <w:rPr>
          <w:rFonts w:ascii="Times New Roman" w:cs="Times New Roman" w:eastAsia="Times New Roman" w:hAnsi="Times New Roman"/>
          <w:sz w:val="18"/>
          <w:szCs w:val="18"/>
          <w:color w:val="auto"/>
        </w:rPr>
        <w:t>(b)  in the case of any acquisition the aggregate upfront consideration for which exceeds $10,000,000, the Borrower shall (i) give the Administrative Agent at least ten (10) Business Days’ (or such later date as is satisfactory to the Administrative Agent) prior written notice of any such purchase or acquisition and (ii) provide the Administrative Agent with a diligence memorandum in reasonable detail, historical financial statements and reports, and a buy-side quality of earnings report if applicable (and if such consideration equals or is less than $10,000,000, the Borrower shall provide the Administrative Agent with items described in this clause (ii) in any event to the extent available);</w:t>
      </w:r>
    </w:p>
    <w:p>
      <w:pPr>
        <w:spacing w:after="0" w:line="75" w:lineRule="exact"/>
        <w:rPr>
          <w:sz w:val="20"/>
          <w:szCs w:val="20"/>
          <w:color w:val="auto"/>
        </w:rPr>
      </w:pPr>
    </w:p>
    <w:p>
      <w:pPr>
        <w:ind w:left="440" w:firstLine="952"/>
        <w:spacing w:after="0" w:line="261" w:lineRule="auto"/>
        <w:rPr>
          <w:sz w:val="20"/>
          <w:szCs w:val="20"/>
          <w:color w:val="auto"/>
        </w:rPr>
      </w:pPr>
      <w:r>
        <w:rPr>
          <w:rFonts w:ascii="Times New Roman" w:cs="Times New Roman" w:eastAsia="Times New Roman" w:hAnsi="Times New Roman"/>
          <w:sz w:val="18"/>
          <w:szCs w:val="18"/>
          <w:color w:val="auto"/>
        </w:rPr>
        <w:t>(c)  in the case of any acquisition the aggregate upfront consideration for which exceeds $10,000,000, the Borrower shall provide to the Administrative Agent drafts of the acquisition documents at least five (5) Business Days prior to the closing of such acquisition or such shorter period as is satisfactory to the Administrative Agent (with updates and executed copies thereof provided to Administrative Agent as soon as available);</w:t>
      </w:r>
    </w:p>
    <w:p>
      <w:pPr>
        <w:spacing w:after="0" w:line="72" w:lineRule="exact"/>
        <w:rPr>
          <w:sz w:val="20"/>
          <w:szCs w:val="20"/>
          <w:color w:val="auto"/>
        </w:rPr>
      </w:pPr>
    </w:p>
    <w:p>
      <w:pPr>
        <w:jc w:val="both"/>
        <w:ind w:left="440" w:right="260" w:firstLine="952"/>
        <w:spacing w:after="0" w:line="266" w:lineRule="auto"/>
        <w:rPr>
          <w:sz w:val="20"/>
          <w:szCs w:val="20"/>
          <w:color w:val="auto"/>
        </w:rPr>
      </w:pPr>
      <w:r>
        <w:rPr>
          <w:rFonts w:ascii="Times New Roman" w:cs="Times New Roman" w:eastAsia="Times New Roman" w:hAnsi="Times New Roman"/>
          <w:sz w:val="18"/>
          <w:szCs w:val="18"/>
          <w:color w:val="auto"/>
        </w:rPr>
        <w:t>(d)   the Borrower shall provide to the Administrative Agent as soon as available but in any event not later than five (5) Business Days (or such later date as is satisfactory to the Administrative Agent in its sole discretion) after the execution thereof, a copy of any executed purchase agreement or similar agreement with respect to any such purchase or acquisition;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210" w:name="page211"/>
    <w:bookmarkEnd w:id="210"/>
    <w:p>
      <w:pPr>
        <w:jc w:val="both"/>
        <w:ind w:left="444" w:right="220" w:firstLine="95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any such newly-created or acquired Subsidiary, or the Borrower or any Subsidiary that is the acquirer of assets in connection with an asset acquisition, shall comply with all applicable requirements under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(subject to any applicable grace period set forth therein), as applicable;</w:t>
      </w:r>
    </w:p>
    <w:p>
      <w:pPr>
        <w:spacing w:after="0" w:line="68" w:lineRule="exact"/>
        <w:rPr>
          <w:sz w:val="20"/>
          <w:szCs w:val="20"/>
          <w:color w:val="auto"/>
        </w:rPr>
      </w:pPr>
    </w:p>
    <w:p>
      <w:pPr>
        <w:ind w:left="444" w:right="120" w:firstLine="952"/>
        <w:spacing w:after="0" w:line="282" w:lineRule="auto"/>
        <w:rPr>
          <w:sz w:val="20"/>
          <w:szCs w:val="20"/>
          <w:color w:val="auto"/>
        </w:rPr>
      </w:pPr>
      <w:r>
        <w:rPr>
          <w:rFonts w:ascii="Times New Roman" w:cs="Times New Roman" w:eastAsia="Times New Roman" w:hAnsi="Times New Roman"/>
          <w:sz w:val="18"/>
          <w:szCs w:val="18"/>
          <w:color w:val="auto"/>
        </w:rPr>
        <w:t>(f)  immediately before and after giving effect to any such purchase or other acquisition and any Indebtedness assumed or incurred in connection therewith, no Specified Event of Default shall have occurred and be continuing;</w:t>
      </w:r>
    </w:p>
    <w:p>
      <w:pPr>
        <w:spacing w:after="0" w:line="54" w:lineRule="exact"/>
        <w:rPr>
          <w:sz w:val="20"/>
          <w:szCs w:val="20"/>
          <w:color w:val="auto"/>
        </w:rPr>
      </w:pPr>
    </w:p>
    <w:p>
      <w:pPr>
        <w:ind w:left="444" w:right="620" w:firstLine="952"/>
        <w:spacing w:after="0" w:line="282" w:lineRule="auto"/>
        <w:rPr>
          <w:sz w:val="20"/>
          <w:szCs w:val="20"/>
          <w:color w:val="auto"/>
        </w:rPr>
      </w:pPr>
      <w:r>
        <w:rPr>
          <w:rFonts w:ascii="Times New Roman" w:cs="Times New Roman" w:eastAsia="Times New Roman" w:hAnsi="Times New Roman"/>
          <w:sz w:val="18"/>
          <w:szCs w:val="18"/>
          <w:color w:val="auto"/>
        </w:rPr>
        <w:t>(g)   immediately after giving effect to any such purchase or other acquisition, the Borrower shall be in compliance with the Financial Performance Covenants;</w:t>
      </w:r>
    </w:p>
    <w:p>
      <w:pPr>
        <w:spacing w:after="0" w:line="54" w:lineRule="exact"/>
        <w:rPr>
          <w:sz w:val="20"/>
          <w:szCs w:val="20"/>
          <w:color w:val="auto"/>
        </w:rPr>
      </w:pPr>
    </w:p>
    <w:p>
      <w:pPr>
        <w:ind w:left="444" w:firstLine="952"/>
        <w:spacing w:after="0" w:line="261" w:lineRule="auto"/>
        <w:rPr>
          <w:sz w:val="20"/>
          <w:szCs w:val="20"/>
          <w:color w:val="auto"/>
        </w:rPr>
      </w:pPr>
      <w:r>
        <w:rPr>
          <w:rFonts w:ascii="Times New Roman" w:cs="Times New Roman" w:eastAsia="Times New Roman" w:hAnsi="Times New Roman"/>
          <w:sz w:val="18"/>
          <w:szCs w:val="18"/>
          <w:color w:val="auto"/>
        </w:rPr>
        <w:t>(h)   the aggregate amount of the consideration paid in connection with all such Permitted Acquisitions consummated from and after the Effective Date shall not exceed $50,000,000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all amounts expended in reliance on </w:t>
      </w:r>
      <w:r>
        <w:rPr>
          <w:rFonts w:ascii="Times New Roman" w:cs="Times New Roman" w:eastAsia="Times New Roman" w:hAnsi="Times New Roman"/>
          <w:sz w:val="18"/>
          <w:szCs w:val="18"/>
          <w:u w:val="single" w:color="auto"/>
          <w:color w:val="auto"/>
        </w:rPr>
        <w:t>Section 6.04(a)(iv)</w:t>
      </w:r>
      <w:r>
        <w:rPr>
          <w:rFonts w:ascii="Times New Roman" w:cs="Times New Roman" w:eastAsia="Times New Roman" w:hAnsi="Times New Roman"/>
          <w:sz w:val="18"/>
          <w:szCs w:val="18"/>
          <w:color w:val="auto"/>
        </w:rPr>
        <w:t>, Section 6.04(a)(xv),</w:t>
      </w:r>
    </w:p>
    <w:p>
      <w:pPr>
        <w:jc w:val="both"/>
        <w:ind w:left="444" w:right="22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6.08(a)(vi)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6.08(b)(ii)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6.08(b)(iii)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Available Basket Amount; provided, that the aggregate amount of the consideration paid in connection with targets (including assets of targets) that do not become Guarantors or assets that do not become Collateral shall not exceed $5,000,000;</w:t>
      </w:r>
    </w:p>
    <w:p>
      <w:pPr>
        <w:spacing w:after="0" w:line="78" w:lineRule="exact"/>
        <w:rPr>
          <w:sz w:val="20"/>
          <w:szCs w:val="20"/>
          <w:color w:val="auto"/>
        </w:rPr>
      </w:pPr>
    </w:p>
    <w:p>
      <w:pPr>
        <w:ind w:left="444" w:right="60" w:firstLine="952"/>
        <w:spacing w:after="0" w:line="261" w:lineRule="auto"/>
        <w:rPr>
          <w:sz w:val="20"/>
          <w:szCs w:val="20"/>
          <w:color w:val="auto"/>
        </w:rPr>
      </w:pPr>
      <w:r>
        <w:rPr>
          <w:rFonts w:ascii="Times New Roman" w:cs="Times New Roman" w:eastAsia="Times New Roman" w:hAnsi="Times New Roman"/>
          <w:sz w:val="18"/>
          <w:szCs w:val="18"/>
          <w:color w:val="auto"/>
        </w:rPr>
        <w:t xml:space="preserve">(i)  no Indebtedness or Liens are assumed or incurred in connection with any such purchase or acquisition, other than Indebtedness assumed in connection therewith (and not incurred in connection therewith or incurred in contemplation thereof) to the extent constituting Capital Lease Obligations, purchase money Indebtedness or letters of credit and otherwise permitted by the terms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related liens otherwise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and</w:t>
      </w:r>
    </w:p>
    <w:p>
      <w:pPr>
        <w:spacing w:after="0" w:line="72"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(j)   the proposed acquisition is consensual (not “hostile”) and, if applicable, has been approved by the acquisition target’s Board of</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Business</w:t>
      </w:r>
      <w:r>
        <w:rPr>
          <w:rFonts w:ascii="Times New Roman" w:cs="Times New Roman" w:eastAsia="Times New Roman" w:hAnsi="Times New Roman"/>
          <w:sz w:val="18"/>
          <w:szCs w:val="18"/>
          <w:color w:val="auto"/>
        </w:rPr>
        <w:t>” means (i) any business engaged in by the Borrower or any of its Subsidiaries on the Effective Date and (ii) any business or other activities that are reasonably similar, ancillary, complementary or related to, or a reasonable extension, development or expansion of, such businesses.</w:t>
      </w:r>
    </w:p>
    <w:p>
      <w:pPr>
        <w:spacing w:after="0" w:line="176"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u w:val="single" w:color="auto"/>
          <w:color w:val="0000FF"/>
        </w:rPr>
        <w:t>“Permitted Convertible Indebtedness” means Indebtedness of the Borrower that is convertible based on a fixed conversion rate (subject to customary anti-dilution adjustments, “make-whole” increases and other customary changes thereto) into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-400685</wp:posOffset>
            </wp:positionV>
            <wp:extent cx="6300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68148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69005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ind w:left="4" w:right="120" w:hanging="4"/>
        <w:spacing w:after="0" w:line="252" w:lineRule="auto"/>
        <w:tabs>
          <w:tab w:leader="none" w:pos="249" w:val="left"/>
        </w:tabs>
        <w:numPr>
          <w:ilvl w:val="0"/>
          <w:numId w:val="16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at the time such Indebtedness is incurred, no Event of Default has occurred and is continuing or would occur as a result of such incurrence, (b) if, at the time such Indebtedness is incurred, any Effective Date Term Loans, First Amendment Effective Date Term Loans or Second Amendment Effective Date Term Loans remain outstanding, substantially contemporaneously with the borrowing and use of proceeds of such Permitted Convertible Indebtedness, the net proceeds thereof, net of any amounts used to purchase Permitted Equity Derivatives permitted by Section 6.08(a)(iii), shall be applied in repayment of the Effective Date Term Loans, the First Amendment Effective Date Term Loans and the Second Amendment Effective Date Term Loans (including any outstanding interest and Make-Whole/Prepayment Fee Amount, if any, due and payable at the time of repayment of such Loans) until such Term Loans are repaid in full, (c) all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-956945</wp:posOffset>
            </wp:positionV>
            <wp:extent cx="677227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-819785</wp:posOffset>
            </wp:positionV>
            <wp:extent cx="6909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-682625</wp:posOffset>
            </wp:positionV>
            <wp:extent cx="68834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-545465</wp:posOffset>
            </wp:positionV>
            <wp:extent cx="64979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-408305</wp:posOffset>
            </wp:positionV>
            <wp:extent cx="67462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-271145</wp:posOffset>
            </wp:positionV>
            <wp:extent cx="68237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67805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805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29571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211" w:name="page212"/>
    <w:bookmarkEnd w:id="211"/>
    <w:p>
      <w:pPr>
        <w:ind w:left="4"/>
        <w:spacing w:after="0" w:line="267" w:lineRule="auto"/>
        <w:rPr>
          <w:sz w:val="20"/>
          <w:szCs w:val="20"/>
          <w:color w:val="auto"/>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corporate, company, shareholder or similar actions shall be taken and consents obtained in connection with the issuance of such Indebtedness, (d) the issuance of such Indebtedness shall be consummated in compliance in all material respects with all applicable Requirements of Law, and (e) the documentation evidencing such Indebtedness shall have been delivered to Administrative Agent and shall be subject to customary terms for similar convertible transactions in the public markets (as determined by the Borrower in good faith), including all of the following terms: (i) it shall be (and shall remain at all times) unsecured, (ii) it shall not have a maturity (and shall not have any scheduled amortization of principal) prior to the date that is 91 days after the Maturity Date in effect at the time such Indebtedness is incurred, (iii) if it has any negative covenants, such covenants (including covenants relating to incurrence of Indebtedness) shall not be more restrictive than those set forth herein, (iv) it shall have no restrictions on the Borrower’s ability to grant liens securing the Obligations, (v) it shall not prohibit the incurrence of the Obligations, (vi) it shall not be guaranteed by any Subsidiary of the Borrower unless the Obligations are guaranteed by such Subsidiary on a secured basis, and (vii) any cross-default or cross-acceleration event of default (each howsoever defined) provision contained therein that relates to indebtedness or other payment obligations of Borrower (or any of its Subsidiaries) (such indebtedness or other payment obligations, a “Cross-Default Reference Obligation”) contains a cure period of at least thirty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-1360805</wp:posOffset>
            </wp:positionV>
            <wp:extent cx="68148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-1223645</wp:posOffset>
            </wp:positionV>
            <wp:extent cx="65747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-1086485</wp:posOffset>
            </wp:positionV>
            <wp:extent cx="67379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-949325</wp:posOffset>
            </wp:positionV>
            <wp:extent cx="67633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-812165</wp:posOffset>
            </wp:positionV>
            <wp:extent cx="69005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-675005</wp:posOffset>
            </wp:positionV>
            <wp:extent cx="666940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-537845</wp:posOffset>
            </wp:positionV>
            <wp:extent cx="65576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6969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69780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68834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ind w:left="4" w:right="20" w:hanging="4"/>
        <w:spacing w:after="0" w:line="255" w:lineRule="auto"/>
        <w:tabs>
          <w:tab w:leader="none" w:pos="349" w:val="left"/>
        </w:tabs>
        <w:numPr>
          <w:ilvl w:val="0"/>
          <w:numId w:val="16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-409575</wp:posOffset>
            </wp:positionV>
            <wp:extent cx="66776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-272415</wp:posOffset>
            </wp:positionV>
            <wp:extent cx="68662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69608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55892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166"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means a determination made in the exercise of reasonable (from the perspective of a secured asset-based lender) business judgment.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 xml:space="preserve">(a)   Liens imposed by law for taxes that are not yet due or are being contested in compliance with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180" w:firstLine="952"/>
        <w:spacing w:after="0" w:line="266" w:lineRule="auto"/>
        <w:rPr>
          <w:sz w:val="20"/>
          <w:szCs w:val="20"/>
          <w:color w:val="auto"/>
        </w:rPr>
      </w:pPr>
      <w:r>
        <w:rPr>
          <w:rFonts w:ascii="Times New Roman" w:cs="Times New Roman" w:eastAsia="Times New Roman" w:hAnsi="Times New Roman"/>
          <w:sz w:val="18"/>
          <w:szCs w:val="18"/>
          <w:color w:val="auto"/>
        </w:rPr>
        <w:t>(b)  carriers’, warehousemen’s, mechanics’, materialmen’s, repairmen’s, construction contractors and other like Liens imposed by law, arising in the ordinary course of business and securing obligations that are not overdue by more than thirty (30) days or that are being contested in good faith;</w:t>
      </w:r>
    </w:p>
    <w:p>
      <w:pPr>
        <w:spacing w:after="0" w:line="68" w:lineRule="exact"/>
        <w:rPr>
          <w:sz w:val="20"/>
          <w:szCs w:val="20"/>
          <w:color w:val="auto"/>
        </w:rPr>
      </w:pPr>
    </w:p>
    <w:p>
      <w:pPr>
        <w:ind w:left="444" w:right="280" w:firstLine="952"/>
        <w:spacing w:after="0" w:line="261" w:lineRule="auto"/>
        <w:rPr>
          <w:sz w:val="20"/>
          <w:szCs w:val="20"/>
          <w:color w:val="auto"/>
        </w:rPr>
      </w:pPr>
      <w:r>
        <w:rPr>
          <w:rFonts w:ascii="Times New Roman" w:cs="Times New Roman" w:eastAsia="Times New Roman" w:hAnsi="Times New Roman"/>
          <w:sz w:val="18"/>
          <w:szCs w:val="18"/>
          <w:color w:val="auto"/>
        </w:rPr>
        <w:t>(c)  (i) pledges and deposits made in the ordinary course of business in compliance with workers’ compensation, unemployment insurance and other social security laws or regulations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72" w:lineRule="exact"/>
        <w:rPr>
          <w:sz w:val="20"/>
          <w:szCs w:val="20"/>
          <w:color w:val="auto"/>
        </w:rPr>
      </w:pPr>
    </w:p>
    <w:p>
      <w:pPr>
        <w:ind w:left="444" w:right="200" w:firstLine="952"/>
        <w:spacing w:after="0" w:line="266" w:lineRule="auto"/>
        <w:rPr>
          <w:sz w:val="20"/>
          <w:szCs w:val="20"/>
          <w:color w:val="auto"/>
        </w:rPr>
      </w:pPr>
      <w:r>
        <w:rPr>
          <w:rFonts w:ascii="Times New Roman" w:cs="Times New Roman" w:eastAsia="Times New Roman" w:hAnsi="Times New Roman"/>
          <w:sz w:val="18"/>
          <w:szCs w:val="18"/>
          <w:color w:val="auto"/>
        </w:rPr>
        <w:t>(d)  deposits to secure the performance of bids, trade contracts, government contracts, leases, statutory obligations, surety, stay, customs and appeal bonds, performance bonds and other obligations of a like nature (including those to secure health, safety and environmental obligations);</w:t>
      </w:r>
    </w:p>
    <w:p>
      <w:pPr>
        <w:spacing w:after="0" w:line="68"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color w:val="auto"/>
        </w:rPr>
        <w:t xml:space="preserve">(e)   judgment liens in respect of judgments that do not constitute an Event of Default under </w:t>
      </w:r>
      <w:r>
        <w:rPr>
          <w:rFonts w:ascii="Times New Roman" w:cs="Times New Roman" w:eastAsia="Times New Roman" w:hAnsi="Times New Roman"/>
          <w:sz w:val="18"/>
          <w:szCs w:val="18"/>
          <w:u w:val="single" w:color="auto"/>
          <w:color w:val="auto"/>
        </w:rPr>
        <w:t>Section 7.01(k)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70" w:right="479" w:bottom="1440" w:gutter="0" w:footer="0" w:header="0"/>
        </w:sectPr>
      </w:pPr>
    </w:p>
    <w:bookmarkStart w:id="212" w:name="page213"/>
    <w:bookmarkEnd w:id="212"/>
    <w:p>
      <w:pPr>
        <w:ind w:left="440" w:right="220" w:firstLine="95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easements, zoning restrictions, rights-of-way, encroachments, protrusions, minor defects or irregularities of title and other similar encumbrances on real property imposed by law or arising in the ordinary course of business that do not secure any monetary obligations and do not either detract from the value of the affected property or interfere with the ordinary conduct of business of the Borrower or any Subsidiary, in each case in any material respect;</w:t>
      </w:r>
    </w:p>
    <w:p>
      <w:pPr>
        <w:spacing w:after="0" w:line="7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(g)   landlords’ and lessors’ and other like Liens in respect of rent not in default;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(h)   any Liens shown on the title insurance policies in favor of the Collateral Agent insuring the Liens of the Mortgages;</w:t>
      </w:r>
    </w:p>
    <w:p>
      <w:pPr>
        <w:spacing w:after="0" w:line="117" w:lineRule="exact"/>
        <w:rPr>
          <w:sz w:val="20"/>
          <w:szCs w:val="20"/>
          <w:color w:val="auto"/>
        </w:rPr>
      </w:pPr>
    </w:p>
    <w:p>
      <w:pPr>
        <w:ind w:left="440" w:right="200" w:firstLine="952"/>
        <w:spacing w:after="0" w:line="282" w:lineRule="auto"/>
        <w:rPr>
          <w:sz w:val="20"/>
          <w:szCs w:val="20"/>
          <w:color w:val="auto"/>
        </w:rPr>
      </w:pPr>
      <w:r>
        <w:rPr>
          <w:rFonts w:ascii="Times New Roman" w:cs="Times New Roman" w:eastAsia="Times New Roman" w:hAnsi="Times New Roman"/>
          <w:sz w:val="18"/>
          <w:szCs w:val="18"/>
          <w:color w:val="auto"/>
        </w:rPr>
        <w:t>(i)  leases, licenses, subleases or sublicenses, in each case in the ordinary course of business and which do not materially interfere with the business of the Borrower and the Subsidiaries;</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(j)   Liens securing the Obligations;</w:t>
      </w:r>
    </w:p>
    <w:p>
      <w:pPr>
        <w:spacing w:after="0" w:line="117" w:lineRule="exact"/>
        <w:rPr>
          <w:sz w:val="20"/>
          <w:szCs w:val="20"/>
          <w:color w:val="auto"/>
        </w:rPr>
      </w:pPr>
    </w:p>
    <w:p>
      <w:pPr>
        <w:ind w:left="440" w:right="340" w:firstLine="952"/>
        <w:spacing w:after="0" w:line="282" w:lineRule="auto"/>
        <w:rPr>
          <w:sz w:val="20"/>
          <w:szCs w:val="20"/>
          <w:color w:val="auto"/>
        </w:rPr>
      </w:pPr>
      <w:r>
        <w:rPr>
          <w:rFonts w:ascii="Times New Roman" w:cs="Times New Roman" w:eastAsia="Times New Roman" w:hAnsi="Times New Roman"/>
          <w:sz w:val="18"/>
          <w:szCs w:val="18"/>
          <w:color w:val="auto"/>
        </w:rPr>
        <w:t>(k)  Liens in favor of customs and revenue authorities arising as a matter of law and in the ordinary course of business to secure payment of customs duties in connection with the importation of goods; and</w:t>
      </w:r>
    </w:p>
    <w:p>
      <w:pPr>
        <w:spacing w:after="0" w:line="54" w:lineRule="exact"/>
        <w:rPr>
          <w:sz w:val="20"/>
          <w:szCs w:val="20"/>
          <w:color w:val="auto"/>
        </w:rPr>
      </w:pPr>
    </w:p>
    <w:p>
      <w:pPr>
        <w:ind w:left="440" w:right="520" w:firstLine="952"/>
        <w:spacing w:after="0" w:line="282" w:lineRule="auto"/>
        <w:rPr>
          <w:sz w:val="20"/>
          <w:szCs w:val="20"/>
          <w:color w:val="auto"/>
        </w:rPr>
      </w:pPr>
      <w:r>
        <w:rPr>
          <w:rFonts w:ascii="Times New Roman" w:cs="Times New Roman" w:eastAsia="Times New Roman" w:hAnsi="Times New Roman"/>
          <w:sz w:val="18"/>
          <w:szCs w:val="18"/>
          <w:color w:val="auto"/>
        </w:rPr>
        <w:t>(l)  any option or other agreement to purchase any asset of the Borrower or any of its Subsidiaries, the purchase, sale or other disposition of which is not prohibited by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t>“Permitted Equity Derivatives” means any forward purchase, accelerated share purchase, call option, capped call option, warrant transaction or other equity derivative transactions relating to Borrower’s common stock (or other securities or property following a merger event or other change to the Borrower’s common stock); provided, that (a) any Restricted Payment made in connection with any such Permitted Equity Derivative must be permitted pursuant to Section 6.08 and (b) the terms, conditions and covenants of each such Permitted Equity Derivative shall be such as are customary for transactions of such type (as determined by the Borrower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58978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75513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80656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604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Eric Lefkofsky, Brad Keywell and Kimberly Keywell, together with their Affiliates, estates and trusts.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160" w:firstLine="952"/>
        <w:spacing w:after="0" w:line="266" w:lineRule="auto"/>
        <w:rPr>
          <w:sz w:val="20"/>
          <w:szCs w:val="20"/>
          <w:color w:val="auto"/>
        </w:rPr>
      </w:pPr>
      <w:r>
        <w:rPr>
          <w:rFonts w:ascii="Times New Roman" w:cs="Times New Roman" w:eastAsia="Times New Roman" w:hAnsi="Times New Roman"/>
          <w:sz w:val="18"/>
          <w:szCs w:val="18"/>
          <w:color w:val="auto"/>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68" w:lineRule="exact"/>
        <w:rPr>
          <w:sz w:val="20"/>
          <w:szCs w:val="20"/>
          <w:color w:val="auto"/>
        </w:rPr>
      </w:pPr>
    </w:p>
    <w:p>
      <w:pPr>
        <w:ind w:left="440" w:right="160" w:firstLine="952"/>
        <w:spacing w:after="0" w:line="282" w:lineRule="auto"/>
        <w:rPr>
          <w:sz w:val="20"/>
          <w:szCs w:val="20"/>
          <w:color w:val="auto"/>
        </w:rPr>
      </w:pPr>
      <w:r>
        <w:rPr>
          <w:rFonts w:ascii="Times New Roman" w:cs="Times New Roman" w:eastAsia="Times New Roman" w:hAnsi="Times New Roman"/>
          <w:sz w:val="18"/>
          <w:szCs w:val="18"/>
          <w:color w:val="auto"/>
        </w:rPr>
        <w:t>(b)  investments in commercial paper maturing within three hundred sixty-five (365) days from the date of acquisition thereof and having, at such date of acquisition, a credit rating from S&amp;P or Moody’s of at least A2 or P2,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213" w:name="page214"/>
    <w:bookmarkEnd w:id="213"/>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investments in certificates of deposit, banker’s acceptances and time deposits maturing within three hundred sixty-five</w:t>
      </w:r>
    </w:p>
    <w:p>
      <w:pPr>
        <w:spacing w:after="0" w:line="27" w:lineRule="exact"/>
        <w:rPr>
          <w:sz w:val="20"/>
          <w:szCs w:val="20"/>
          <w:color w:val="auto"/>
        </w:rPr>
      </w:pPr>
    </w:p>
    <w:p>
      <w:pPr>
        <w:jc w:val="both"/>
        <w:ind w:left="440" w:right="200" w:hanging="4"/>
        <w:spacing w:after="0" w:line="255" w:lineRule="auto"/>
        <w:tabs>
          <w:tab w:leader="none" w:pos="87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78" w:lineRule="exact"/>
        <w:rPr>
          <w:sz w:val="20"/>
          <w:szCs w:val="20"/>
          <w:color w:val="auto"/>
        </w:rPr>
      </w:pPr>
    </w:p>
    <w:p>
      <w:pPr>
        <w:ind w:left="440" w:right="500" w:firstLine="952"/>
        <w:spacing w:after="0" w:line="282" w:lineRule="auto"/>
        <w:rPr>
          <w:sz w:val="20"/>
          <w:szCs w:val="20"/>
          <w:color w:val="auto"/>
        </w:rPr>
      </w:pPr>
      <w:r>
        <w:rPr>
          <w:rFonts w:ascii="Times New Roman" w:cs="Times New Roman" w:eastAsia="Times New Roman" w:hAnsi="Times New Roman"/>
          <w:sz w:val="18"/>
          <w:szCs w:val="18"/>
          <w:color w:val="auto"/>
        </w:rPr>
        <w:t>(d)  fully collateralized repurchase agreements with a term of not more than thirty (30) days for securities described in clause (a) above and entered into with a financial institution satisfying the criteria described in clause (c) above;</w:t>
      </w:r>
    </w:p>
    <w:p>
      <w:pPr>
        <w:spacing w:after="0" w:line="54" w:lineRule="exact"/>
        <w:rPr>
          <w:sz w:val="20"/>
          <w:szCs w:val="20"/>
          <w:color w:val="auto"/>
        </w:rPr>
      </w:pPr>
    </w:p>
    <w:p>
      <w:pPr>
        <w:ind w:left="440" w:firstLine="952"/>
        <w:spacing w:after="0" w:line="282" w:lineRule="auto"/>
        <w:rPr>
          <w:sz w:val="20"/>
          <w:szCs w:val="20"/>
          <w:color w:val="auto"/>
        </w:rPr>
      </w:pPr>
      <w:r>
        <w:rPr>
          <w:rFonts w:ascii="Times New Roman" w:cs="Times New Roman" w:eastAsia="Times New Roman" w:hAnsi="Times New Roman"/>
          <w:sz w:val="18"/>
          <w:szCs w:val="18"/>
          <w:color w:val="auto"/>
        </w:rPr>
        <w:t>(e)  investments in money market funds that comply with the criteria set forth in SEC Rule 2a-7 under the Investment Company Act of 1940, as amended, substantially all of whose assets are invested in investments of the type described in clauses (a) through (e) above; and</w:t>
      </w:r>
    </w:p>
    <w:p>
      <w:pPr>
        <w:spacing w:after="0" w:line="54" w:lineRule="exact"/>
        <w:rPr>
          <w:sz w:val="20"/>
          <w:szCs w:val="20"/>
          <w:color w:val="auto"/>
        </w:rPr>
      </w:pPr>
    </w:p>
    <w:p>
      <w:pPr>
        <w:ind w:left="440" w:right="220" w:firstLine="952"/>
        <w:spacing w:after="0" w:line="282" w:lineRule="auto"/>
        <w:rPr>
          <w:sz w:val="20"/>
          <w:szCs w:val="20"/>
          <w:color w:val="auto"/>
        </w:rPr>
      </w:pPr>
      <w:r>
        <w:rPr>
          <w:rFonts w:ascii="Times New Roman" w:cs="Times New Roman" w:eastAsia="Times New Roman" w:hAnsi="Times New Roman"/>
          <w:sz w:val="18"/>
          <w:szCs w:val="18"/>
          <w:color w:val="auto"/>
        </w:rPr>
        <w:t>(f)  investments permitted by the Borrower’s Board of Director approved investment policy as approved from time to time by the Administrative Agent in its sole discretion.</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xml:space="preserve">” means, with respect to any Person, any modification, refinancing, refunding, renewal, replacement or extension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(a)  the principal amount (or if issued with original issue discount, the issue price) thereof does not exceed the principal amount (or if issued with original issue discount, the accreted value) of the Indebtedness so modified, refinanced, refunded, renewed, replaced or extended except by an amount equal to unpaid accrued interest (including capitalized interest) and premium thereon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other amounts owing or paid related to such Indebtedness, and fees, premiums, penalties and expenses (including any upfront fees and original issue discount) reasonably incurred, in connection with such modification, refinancing, refunding, renewal, replacement or extension and by an amount equal to any existing commitments unutilized thereunder,</w:t>
      </w:r>
    </w:p>
    <w:p>
      <w:pPr>
        <w:spacing w:after="0" w:line="187"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(b)  other than with respect to a Permitted Refinancing in respect of Indebtedness permitted pursuant to clause (vi)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w:t>
      </w:r>
    </w:p>
    <w:p>
      <w:pPr>
        <w:spacing w:after="0" w:line="18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  other than with respect to a Permitted Refinancing in respect of Indebtedness permitted pursuant to clause (vi)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at the time thereof, no Event of Default shall have occurred and be continuing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-99695</wp:posOffset>
            </wp:positionV>
            <wp:extent cx="2222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22250" cy="82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-13970</wp:posOffset>
            </wp:positionV>
            <wp:extent cx="342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4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(d)  if such Indebtedness being modified, refinanced, refunded, renewed, replaced or extended is Subordinated Indebtedness,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and such modification, refinancing, refunding, renewal, replacement or extension is incurred by one or more Persons who is an obligor of the Indebtedness being modified, refinanced, refunded, renewed, replaced or extended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1905</wp:posOffset>
            </wp:positionV>
            <wp:extent cx="1631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214" w:name="page215"/>
    <w:bookmarkEnd w:id="214"/>
    <w:p>
      <w:pPr>
        <w:ind w:right="70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in the case of Permitted Convertible Indebtedness, such Indebtedness complies with the terms set forth in the proviso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definition of Permitted Convertible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59150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26314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42"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defined in Section 3(2) of ERISA) subject to the provisions of Title IV or Section 302 of ERISA or Section 412 of the Code, and in respect of which the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180" w:firstLine="952"/>
        <w:spacing w:after="0" w:line="266" w:lineRule="auto"/>
        <w:rPr>
          <w:sz w:val="20"/>
          <w:szCs w:val="20"/>
          <w:color w:val="auto"/>
        </w:rPr>
      </w:pPr>
      <w:r>
        <w:rPr>
          <w:rFonts w:ascii="Times New Roman" w:cs="Times New Roman" w:eastAsia="Times New Roman" w:hAnsi="Times New Roman"/>
          <w:sz w:val="18"/>
          <w:szCs w:val="18"/>
          <w:color w:val="auto"/>
        </w:rPr>
        <w:t xml:space="preserve">(a)  any sale, transfer or other disposition of any property or asset of the Borrower or any Subsidiary resulting in Net Proceeds in excess of $5,000,000 (in any single transaction or series of related transactions), other than dispositions described in clauses (a), (b), (c), (d), (e), (f), (h), (k), (l), (n), (o) and (p) of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or</w:t>
      </w:r>
    </w:p>
    <w:p>
      <w:pPr>
        <w:spacing w:after="0" w:line="68" w:lineRule="exact"/>
        <w:rPr>
          <w:sz w:val="20"/>
          <w:szCs w:val="20"/>
          <w:color w:val="auto"/>
        </w:rPr>
      </w:pPr>
    </w:p>
    <w:p>
      <w:pPr>
        <w:ind w:left="440" w:right="380" w:firstLine="952"/>
        <w:spacing w:after="0" w:line="266" w:lineRule="auto"/>
        <w:rPr>
          <w:sz w:val="20"/>
          <w:szCs w:val="20"/>
          <w:color w:val="auto"/>
        </w:rPr>
      </w:pPr>
      <w:r>
        <w:rPr>
          <w:rFonts w:ascii="Times New Roman" w:cs="Times New Roman" w:eastAsia="Times New Roman" w:hAnsi="Times New Roman"/>
          <w:sz w:val="18"/>
          <w:szCs w:val="18"/>
          <w:color w:val="auto"/>
        </w:rPr>
        <w:t>(b)  any casualty or other insured damage to, or any taking under power of eminent domain or by condemnation or similar proceeding of, any property or asset of the Borrower or any Subsidiary resulting in Net Proceeds in excess of $5,000,000 with respect to such event; or</w:t>
      </w:r>
    </w:p>
    <w:p>
      <w:pPr>
        <w:spacing w:after="0" w:line="68" w:lineRule="exact"/>
        <w:rPr>
          <w:sz w:val="20"/>
          <w:szCs w:val="20"/>
          <w:color w:val="auto"/>
        </w:rPr>
      </w:pPr>
    </w:p>
    <w:p>
      <w:pPr>
        <w:ind w:left="440" w:right="340" w:firstLine="952"/>
        <w:spacing w:after="0" w:line="282" w:lineRule="auto"/>
        <w:rPr>
          <w:sz w:val="20"/>
          <w:szCs w:val="20"/>
          <w:color w:val="auto"/>
        </w:rPr>
      </w:pPr>
      <w:r>
        <w:rPr>
          <w:rFonts w:ascii="Times New Roman" w:cs="Times New Roman" w:eastAsia="Times New Roman" w:hAnsi="Times New Roman"/>
          <w:sz w:val="18"/>
          <w:szCs w:val="18"/>
          <w:color w:val="auto"/>
        </w:rPr>
        <w:t xml:space="preserve">(c)  the incurrence or issuance by the Borrower or any Subsidiary of any Indebtedness, other than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as otherwise permitted by the Required Lenders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Fee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Premium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from time to time announced by The Wall Street Journal as its prime commercial lending rate (it being understood that such prime commercial rate is a reference rate and does not necessarily represent the lowest or best rate being quoted by The Wall Street Journal).</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xml:space="preserve">” means the pro forma consolidated balance sheet of the Borrower and the Subsidiaries as the last day of the month of the most recently ended for which Monthly Financial Statements have been delivered, prepared after giving effect to the Transactions as if the Transactions had occurred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pro forma consolidated balance sheet shall be prepared in good faith by the Borrower and (ii) such pro forma consolidated balance sheet shall not be required to include adjustments for purchase accounting (including adjustments of the type contemplated by Financial Accounting Standards Board Accounting Standards Codification 805, Business Combinations (formerly SFAS 141R)).</w:t>
      </w:r>
    </w:p>
    <w:p>
      <w:pPr>
        <w:spacing w:after="0" w:line="18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means the model delivered by the Borrower as of June 14, 2022 (as adjusted for changes reasonably agreed with the Administrative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215" w:name="page216"/>
    <w:bookmarkEnd w:id="21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Subordinated Debt</w:t>
      </w:r>
      <w:r>
        <w:rPr>
          <w:rFonts w:ascii="Times New Roman" w:cs="Times New Roman" w:eastAsia="Times New Roman" w:hAnsi="Times New Roman"/>
          <w:sz w:val="18"/>
          <w:szCs w:val="18"/>
          <w:color w:val="auto"/>
        </w:rPr>
        <w:t>” has the meaning set forth in the definition of “Junior Capital Raise Date.”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has the meaning set forth therefor in </w:t>
      </w:r>
      <w:r>
        <w:rPr>
          <w:rFonts w:ascii="Times New Roman" w:cs="Times New Roman" w:eastAsia="Times New Roman" w:hAnsi="Times New Roman"/>
          <w:sz w:val="18"/>
          <w:szCs w:val="18"/>
          <w:u w:val="single" w:color="auto"/>
          <w:color w:val="auto"/>
        </w:rPr>
        <w:t>Section 2.04(b)(i)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Health Laws</w:t>
      </w:r>
      <w:r>
        <w:rPr>
          <w:rFonts w:ascii="Times New Roman" w:cs="Times New Roman" w:eastAsia="Times New Roman" w:hAnsi="Times New Roman"/>
          <w:sz w:val="17"/>
          <w:szCs w:val="17"/>
          <w:color w:val="auto"/>
        </w:rPr>
        <w:t>” means any and all federal, state, local, foreign and international laws and any and all standards incorporated therein by reference, where compliance with such standards is required under such laws, relating to the procurement, development, manufacture, production, analysis, evaluation, distribution, dispensing, administration, importation, exportation, use, handling, quality, sale, pricing, reimbursement, or promotion of any food, drug, biological, gene therapy product, medical device, tissue- or cell-based product, or similar product (including any ingredient or component of such products) or of any other product or activity subject to regulation under the Federal Food, Drug, and Cosmetic Act, the Public Health Service Act, the Controlled Substances Act, or similar federal, state, local, foreign and international law (including laws governing controlled substances, pharmacy, wholesale and other distribution activities, research animal welfare, poison prevention packaging, tamper resistant packaging and consumer product safety). Without limiting the generality of the foregoing, Public Health Laws shall include the federal Food, Drug and Cosmetic Act,</w:t>
      </w:r>
    </w:p>
    <w:p>
      <w:pPr>
        <w:ind w:left="4" w:right="360" w:hanging="4"/>
        <w:spacing w:after="0" w:line="255" w:lineRule="auto"/>
        <w:tabs>
          <w:tab w:leader="none" w:pos="27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 § 301 et seq., and implementing regulations, all legally binding ethical standards relating to human subject research and clinical trials, including without limitation the Federal Policy for the Protection of Human Subjects, 45 C.F.R. part 46, and all other related state, local and foreign laws.</w:t>
      </w:r>
    </w:p>
    <w:p>
      <w:pPr>
        <w:spacing w:after="0" w:line="186"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Health Regulatory Agency</w:t>
      </w:r>
      <w:r>
        <w:rPr>
          <w:rFonts w:ascii="Times New Roman" w:cs="Times New Roman" w:eastAsia="Times New Roman" w:hAnsi="Times New Roman"/>
          <w:sz w:val="18"/>
          <w:szCs w:val="18"/>
          <w:color w:val="auto"/>
        </w:rPr>
        <w:t>” means an authority or agency responsible for the implementation of a Public Health Law. The term Public Health Regulatory Agency includes, without limitation, the U.S. Food and Drug Administration, the European Commission, the European Medicines Agency and any national competent regulatory authority in the European Union.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Option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Option Trigger Event</w:t>
      </w:r>
      <w:r>
        <w:rPr>
          <w:rFonts w:ascii="Times New Roman" w:cs="Times New Roman" w:eastAsia="Times New Roman" w:hAnsi="Times New Roman"/>
          <w:sz w:val="18"/>
          <w:szCs w:val="18"/>
          <w:color w:val="auto"/>
        </w:rPr>
        <w:t xml:space="preserve">” means (a) an Event of Default has occurred and is continuing or (b) the Obligations have been accelerated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Cash</w:t>
      </w:r>
      <w:r>
        <w:rPr>
          <w:rFonts w:ascii="Times New Roman" w:cs="Times New Roman" w:eastAsia="Times New Roman" w:hAnsi="Times New Roman"/>
          <w:sz w:val="18"/>
          <w:szCs w:val="18"/>
          <w:color w:val="auto"/>
        </w:rPr>
        <w:t xml:space="preserve">” means, as of any date of determination, the amount of unrestricted cash and Cash Equivalents of the Loan Parties that are in deposit accounts or in securities accounts, or any combination thereof, which deposit accounts and securities accounts are the subject of Springing Control Agreements and are maintained by a branch office of the applicable bank or securities intermediary located within the United States of America;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for the first sixty (60) days (or such longer period as reasonably agreed to by the Revolving Agent) following the Third Amendment Effective Date there shall be no requirement that cash and Cash Equivalents of the Loan Parties be held in accounts subject to Springing Control Agreements in order for such cash and Cash Equivalents to be Qualified Cash.</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any Equity Interests that are not Disqualified Equity Interests.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 the Administrative Agent, (b) the Collateral Agent and (c) any Lender, as applicable.</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216" w:name="page217"/>
    <w:bookmarkEnd w:id="21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Revolving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means authorizations, approvals, licenses, permits, certificates, or exemptions issued by any Governmental Authority (including pre-market approval applications, pre market notifications, investigational drug or device exemptions, product recertifications, manufacturing approvals and authorizations, third party certification, pricing and reimbursement approvals, labeling approvals or their foreign equivalent) that are required under the applicable laws for the research, development, manufacture, distribution, marketing, storage, transportation, use and sale of the products of the Borrower and its Subsidiaries.</w:t>
      </w:r>
    </w:p>
    <w:p>
      <w:pPr>
        <w:spacing w:after="0" w:line="183"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principals, directors, officers, employees, representatives, agents and third party advisors of such Person and such Person’s Affiliates.</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or within or upon any building, structure, facility or fixture.</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NYFRB, or a committee officially endorsed or convened by the Board of Governors of the Federal Reserve System or the NYFRB, or any successor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or holding more than 50% of the sum of (a) the aggregate outstanding Term Loans and unused Term Loan Commitments at such time, plus (b)(i) the aggregate Revolving Commitments at such time or (ii) if the Revolving Commitments have been terminated, the aggregate outstanding principal amount of the Revolving Loans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portion of the Revolving Commitment of, and the portion of the outstanding principal amount of the Revolving Loans and Term Loans held or deemed held by any Defaulting Lender shall be excluded for purposes of making a determination of the Required Lenders.</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means, at any time, Revolving Lenders having or holding a (a) Revolving Commitments representing more than 50% of the sum of all aggregate Revolving Commitments at such time or (b) if the Revolving Commitments have been terminated, more than 50% the aggregate outstanding principal amount of the Revolving Loans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portion of the Revolving Commitment of and the portion of the outstanding principal amount of the Revolving Commitments held or deemed held by any Defaulting Lender shall be excluded for purposes of making a determination of the Required Revolving Lenders.</w:t>
      </w:r>
    </w:p>
    <w:p>
      <w:pPr>
        <w:spacing w:after="0" w:line="183"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Term Lenders</w:t>
      </w:r>
      <w:r>
        <w:rPr>
          <w:rFonts w:ascii="Times New Roman" w:cs="Times New Roman" w:eastAsia="Times New Roman" w:hAnsi="Times New Roman"/>
          <w:sz w:val="18"/>
          <w:szCs w:val="18"/>
          <w:color w:val="auto"/>
        </w:rPr>
        <w:t xml:space="preserve">” means, at any time, Term Lenders having or holding outstanding Term Loans and Term Loan Commitments representing more than 50% of the sum of aggregate outstanding Term Loans and Term Loan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Defaulting Lender shall be excluded for purposes of making a determination of Required Term Lenders.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217" w:name="page218"/>
    <w:bookmarkEnd w:id="217"/>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(i) the charter, articles or certificate of organization or incorporation and bylaws or other organizational or governing documents of such Person and (ii) any statute, law, treaty, rule, regulation, order, decree, writ, injunction or determination of any arbitrator or court or other Governmental Authority, in each case applicable to or binding upon such Person or any of its property or to which such Person or any of its property is subject.</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means Dilution Reserves and such other reserves as the Revolving Agent, in its capacity as an asset-based lender, from time to time deems, without duplication of any other reserves or items that are otherwise addressed or excluded through eligibility criteria, necessary or appropriate, in its Permitted Discretion, to establish and maintain.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thereon (whether in cash, securities or other property), including any sinking fund or similar deposit, on account of the purchase, redemption, retirement, acquisition, cancellation or termination of any Equity Interests in the Borrower or any Subsidiary or any option, warrant or other right to acquire any such Equity Interests in the Borrower or any Subsidiary; provided that the repurchase, redemption or other acquisition or retirement for value of any Equity Interests of a Subsidiary by the Borrower or another Subsidiary shall not constitute a Restricted Payment.</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 means, with respect to any specified Person for any period, the aggregate of the total revenue of such specified Person and its Subsidiaries for such period, on a consolidated basis.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 Cure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 Cure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Prepayment Fee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Usage</w:t>
      </w:r>
      <w:r>
        <w:rPr>
          <w:rFonts w:ascii="Times New Roman" w:cs="Times New Roman" w:eastAsia="Times New Roman" w:hAnsi="Times New Roman"/>
          <w:sz w:val="18"/>
          <w:szCs w:val="18"/>
          <w:color w:val="auto"/>
        </w:rPr>
        <w:t>” means, as of any date of determination, the amount of outstanding Revolving Loans (inclusive of Extraordinary Advances and Swingline Advances).</w:t>
      </w:r>
    </w:p>
    <w:p>
      <w:pPr>
        <w:spacing w:after="0" w:line="162"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Agent</w:t>
      </w:r>
      <w:r>
        <w:rPr>
          <w:rFonts w:ascii="Times New Roman" w:cs="Times New Roman" w:eastAsia="Times New Roman" w:hAnsi="Times New Roman"/>
          <w:sz w:val="18"/>
          <w:szCs w:val="18"/>
          <w:color w:val="auto"/>
        </w:rPr>
        <w:t>” means ACF, in its capacity as revolving agent for the Revolving Lenders under the Loan Documents, and any successor revolving agent.</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Agent’s Account</w:t>
      </w:r>
      <w:r>
        <w:rPr>
          <w:rFonts w:ascii="Times New Roman" w:cs="Times New Roman" w:eastAsia="Times New Roman" w:hAnsi="Times New Roman"/>
          <w:sz w:val="18"/>
          <w:szCs w:val="18"/>
          <w:color w:val="auto"/>
        </w:rPr>
        <w:t xml:space="preserve">” means the Deposit Account of Revolving Agent identified on </w:t>
      </w:r>
      <w:r>
        <w:rPr>
          <w:rFonts w:ascii="Times New Roman" w:cs="Times New Roman" w:eastAsia="Times New Roman" w:hAnsi="Times New Roman"/>
          <w:sz w:val="18"/>
          <w:szCs w:val="18"/>
          <w:u w:val="single" w:color="auto"/>
          <w:color w:val="auto"/>
        </w:rPr>
        <w:t>Schedule 2.01(b)</w:t>
      </w:r>
      <w:r>
        <w:rPr>
          <w:rFonts w:ascii="Times New Roman" w:cs="Times New Roman" w:eastAsia="Times New Roman" w:hAnsi="Times New Roman"/>
          <w:sz w:val="18"/>
          <w:szCs w:val="18"/>
          <w:color w:val="auto"/>
        </w:rPr>
        <w:t xml:space="preserve"> (or such other Deposit Account of Revolving Agent that has been designated as such, in writing, by the Revolving Agent to the Borrower and the Lenders).</w:t>
      </w:r>
    </w:p>
    <w:p>
      <w:pPr>
        <w:spacing w:after="0" w:line="162"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with respect to each Revolving Lender, such Revolving Lender’s Revolving Commitment to make a Revolving Loan hereunder as set forth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opposite such Revolving Lender’s name under the heading “Revolving Commitment,” expressed as an amount representing the maximum principal amount of the Revolving Loans to be made by such Revolving Lender hereunder, as such commitment may be reduced or increased from time to time pursuant to this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218" w:name="page219"/>
    <w:bookmarkEnd w:id="218"/>
    <w:p>
      <w:pPr>
        <w:ind w:right="6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as amended to reflect assignments. Unless the context shall otherwise require, the term “Revolving Loans” shall include any commitment to Replacement Revolving Loans of such Revolving Lender. The aggregate amount of the Revolving Commitments as of the Third Amendment Effective Date is $100,000,000.</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at any time, any Lender that has a Revolving Commitment or an outstanding Revolving Loan.</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 Exposure</w:t>
      </w:r>
      <w:r>
        <w:rPr>
          <w:rFonts w:ascii="Times New Roman" w:cs="Times New Roman" w:eastAsia="Times New Roman" w:hAnsi="Times New Roman"/>
          <w:sz w:val="18"/>
          <w:szCs w:val="18"/>
          <w:color w:val="auto"/>
        </w:rPr>
        <w:t>” means with respect to any Revolving Lender at any time, an amount equal to (a) prior to the termination of the Revolving Commitments, the amount of such Revolving Lender’s Revolving Commitment at such time and (b) thereafter, the aggregate then unpaid principal amount of such Revolving Lender’s Revolving Loans (inclusive of Extraordinary Advances and Swingline Advances).</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 Exposure Percentage</w:t>
      </w:r>
      <w:r>
        <w:rPr>
          <w:rFonts w:ascii="Times New Roman" w:cs="Times New Roman" w:eastAsia="Times New Roman" w:hAnsi="Times New Roman"/>
          <w:sz w:val="18"/>
          <w:szCs w:val="18"/>
          <w:color w:val="auto"/>
        </w:rPr>
        <w:t>” means with respect to any Revolving Lender at any time, the ratio (expressed as a percentage) of such Revolving Lender’s Revolving Loan Exposure at such time to the Revolving Loan Exposure of all Revolving Lenders at such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 Maturity Date</w:t>
      </w:r>
      <w:r>
        <w:rPr>
          <w:rFonts w:ascii="Times New Roman" w:cs="Times New Roman" w:eastAsia="Times New Roman" w:hAnsi="Times New Roman"/>
          <w:sz w:val="18"/>
          <w:szCs w:val="18"/>
          <w:color w:val="auto"/>
        </w:rPr>
        <w:t>” means the earlier to occur of: (a) the fifth anniversary of the Third Amendment Effective Date, or if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is not a Business Day, the immediately succeeding Business Day, (b) the date on which the Revolving Commitments are voluntarily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hereof, and (c) the date on which all amounts outstanding under this Agreement have been declared or have automatically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due and payable (whether by acceleration or otherwise) in accordance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if on the Test Date, the Borrower and its Subsidiaries do not have Liquidity in an aggregate amount equal to at least the sum of (x)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$100,000,000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aggregate principal amount of the Google Note required to be repaid on the scheduled maturity date of the Google Note,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Revolving Loan Maturity Date shall automatically be accelerated to the Test Date and all of the Revolving Loans shall thereupon be due and payable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Test Date, together with all interest and fees accrued thereon or in respect thereof and any amounts payable pursuant this Agreement.</w:t>
      </w:r>
    </w:p>
    <w:p>
      <w:pPr>
        <w:spacing w:after="0" w:line="207"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Revolving Loans shall include Extraordinary Advances and Swingline Advances, unless the context clearly requires otherwise.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a division of The McGraw-Hill Companies,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Extension</w:t>
      </w:r>
      <w:r>
        <w:rPr>
          <w:rFonts w:ascii="Times New Roman" w:cs="Times New Roman" w:eastAsia="Times New Roman" w:hAnsi="Times New Roman"/>
          <w:sz w:val="18"/>
          <w:szCs w:val="18"/>
          <w:color w:val="auto"/>
        </w:rPr>
        <w:t>” means any extension granted by the SEC pursuant to any public pronouncements that apply to the Borrower in connection with the delivery of financial statements; provided that, any automatic extension hereunder as a result of such SEC Extension shall not be for a period of more than ninety (90) days.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219" w:name="page220"/>
    <w:bookmarkEnd w:id="219"/>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means that certain Second Amendment to Credit Agreement, dated as of the Second Amendment Effective Date, by and among the Borrower, the other Loan Parties party thereto, Administrative Agent, Lead Arranger, Sole Bookrunner and the Lenders party thereto (including, for the avoidance of doubt, the Second Amendment Effective Date Term Lenders).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means October 11, 2023.</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 Term Lender</w:t>
      </w:r>
      <w:r>
        <w:rPr>
          <w:rFonts w:ascii="Times New Roman" w:cs="Times New Roman" w:eastAsia="Times New Roman" w:hAnsi="Times New Roman"/>
          <w:sz w:val="18"/>
          <w:szCs w:val="18"/>
          <w:color w:val="auto"/>
        </w:rPr>
        <w:t>” means, at any time, any Term Lender that has a Second Amendment Effective Date Term Loan Commitment or an outstanding Second Amendment Effective Date Term Loan.</w:t>
      </w:r>
    </w:p>
    <w:p>
      <w:pPr>
        <w:spacing w:after="0" w:line="162"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“Second Amendment Effective Date Term Loan Commitments” means, with respect to each Second Amendment Effective Date Term Lender, such Second Amendment Effective Date Term Lender’s Term Loan Commitment to make a Second Amendment Effective Date Term Loan hereunder on the Second Amendment Effective Date as set forth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opposite such Second Amendment Effective Date Term Lender’s name under the heading “Second Amendment Effective Date Term Loan Commitment,” expressed as an amount representing the maximum principal amount of the Second Amendment Effective Date Term Loan to be made by such Second Amendment Effective Date Term Lender hereunder, as such commitment may be reduced or increased from time to time pursuant to this Agreement and as amended to reflect assignments. Unless the context shall otherwise require, the term “Second Amendment Effective Date Term Loan Commitments” shall include any commitment to Replacement Term Loans of such Second Amendment Effective Date Term Lender. The aggregate amount of the Second Amendment Effective Date Term Loan Commitments as of the Second Amendment Effective Date is $35,000,000.</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Make-Whole/Prepayment Fee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Account Control Agreement</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and the rules and regulations of the SEC promulgated thereunder.</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means the Collateral Agreement, the Perfection Certificate, the Mortgages, the Springing Control Agreements and each other security agreement or other instrument or document executed and delivered pursuant to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to secure any of the Obligations.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220" w:name="page221"/>
    <w:bookmarkEnd w:id="220"/>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means any Borrowing which bears interest at a rate based on Term SOFR, other than pursuant to clause (c) of the definition of “Base Rate.”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means any Loan which bears interest at a rate based on Term SOFR, other than pursuant to clause (c) of the definition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Rate.”</w:t>
      </w:r>
    </w:p>
    <w:p>
      <w:pPr>
        <w:spacing w:after="0" w:line="207"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xml:space="preserve">” means any Event of Default described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7.01(d)</w:t>
      </w:r>
      <w:r>
        <w:rPr>
          <w:rFonts w:ascii="Times New Roman" w:cs="Times New Roman" w:eastAsia="Times New Roman" w:hAnsi="Times New Roman"/>
          <w:sz w:val="18"/>
          <w:szCs w:val="18"/>
          <w:color w:val="auto"/>
        </w:rPr>
        <w:t xml:space="preserve"> (solely with respect to non-compliance with </w:t>
      </w:r>
      <w:r>
        <w:rPr>
          <w:rFonts w:ascii="Times New Roman" w:cs="Times New Roman" w:eastAsia="Times New Roman" w:hAnsi="Times New Roman"/>
          <w:sz w:val="18"/>
          <w:szCs w:val="18"/>
          <w:u w:val="single" w:color="auto"/>
          <w:color w:val="auto"/>
        </w:rPr>
        <w:t>Sections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7.01(e)</w:t>
      </w:r>
      <w:r>
        <w:rPr>
          <w:rFonts w:ascii="Times New Roman" w:cs="Times New Roman" w:eastAsia="Times New Roman" w:hAnsi="Times New Roman"/>
          <w:sz w:val="18"/>
          <w:szCs w:val="18"/>
          <w:color w:val="auto"/>
        </w:rPr>
        <w:t xml:space="preserve"> (to the extent such reporting is needed to determine whether a breach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has occurred), </w:t>
      </w:r>
      <w:r>
        <w:rPr>
          <w:rFonts w:ascii="Times New Roman" w:cs="Times New Roman" w:eastAsia="Times New Roman" w:hAnsi="Times New Roman"/>
          <w:sz w:val="18"/>
          <w:szCs w:val="18"/>
          <w:u w:val="single" w:color="auto"/>
          <w:color w:val="auto"/>
        </w:rPr>
        <w:t>7.01(i)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7.01(j)</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Foreign Account Debtor</w:t>
      </w:r>
      <w:r>
        <w:rPr>
          <w:rFonts w:ascii="Times New Roman" w:cs="Times New Roman" w:eastAsia="Times New Roman" w:hAnsi="Times New Roman"/>
          <w:sz w:val="18"/>
          <w:szCs w:val="18"/>
          <w:color w:val="auto"/>
        </w:rPr>
        <w:t>” means any Account Debtor which (i) has its principal place of business or executive office located in an Acceptable Foreign Jurisdiction and (ii) is Investment Grade or a subsidiary of a Person that is Investment Grade.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Springing Control Account</w:t>
      </w:r>
      <w:r>
        <w:rPr>
          <w:rFonts w:ascii="Times New Roman" w:cs="Times New Roman" w:eastAsia="Times New Roman" w:hAnsi="Times New Roman"/>
          <w:sz w:val="18"/>
          <w:szCs w:val="18"/>
          <w:color w:val="auto"/>
        </w:rPr>
        <w:t>” means a Deposit Account that is subject to a Springing Control Agreement.</w:t>
      </w:r>
    </w:p>
    <w:p>
      <w:pPr>
        <w:spacing w:after="0" w:line="225" w:lineRule="exact"/>
        <w:rPr>
          <w:sz w:val="20"/>
          <w:szCs w:val="20"/>
          <w:color w:val="auto"/>
        </w:rPr>
      </w:pPr>
    </w:p>
    <w:p>
      <w:pPr>
        <w:ind w:right="3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Springing Control Agreement</w:t>
      </w:r>
      <w:r>
        <w:rPr>
          <w:rFonts w:ascii="Times New Roman" w:cs="Times New Roman" w:eastAsia="Times New Roman" w:hAnsi="Times New Roman"/>
          <w:sz w:val="18"/>
          <w:szCs w:val="18"/>
          <w:color w:val="auto"/>
        </w:rPr>
        <w:t>” means an agreement in which a Loan Party, the Collateral Agent, and Cash Management Bank maintaining the Deposit Account have agreed that the Cash Management Bank will comply with instructions originated by the Collateral Agent directing disposition of the funds in the Deposit Account without further consent by the Loan Party pursuant to terms reasonably satisfactory to the Collateral Agent and the Borrower. Terms of the agreement shall provide control (within the meaning of Section 9-104 of the UCC) reasonably satisfactory to Collateral Agent.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Indebtedness of the Borrower or any Subsidiary that is contractually subordinated to the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for purposes of this Agreement, the Google Note shall constitute Subordinated Indebtedness.</w:t>
      </w:r>
    </w:p>
    <w:p>
      <w:pPr>
        <w:spacing w:after="0" w:line="20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w:t>
      </w:r>
    </w:p>
    <w:p>
      <w:pPr>
        <w:spacing w:after="0" w:line="225"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Loan Party</w:t>
      </w:r>
      <w:r>
        <w:rPr>
          <w:rFonts w:ascii="Times New Roman" w:cs="Times New Roman" w:eastAsia="Times New Roman" w:hAnsi="Times New Roman"/>
          <w:sz w:val="18"/>
          <w:szCs w:val="18"/>
          <w:color w:val="auto"/>
        </w:rPr>
        <w:t xml:space="preserve">” means any Domestic Subsidiary (other than (a) any Subsidiary that is prohibited by applicable law from guaranteeing the Obligations, (b) any Domestic Subsidiary that is a direct or indirect Subsidiary of a Foreign Subsidiary, (c) any direct or indirect FSHCO, (d) any not-for-profit subsidiary, and (e) any other Subsidiary with respect to which, in the reasonable judgment of the Administrative Agent (confirmed in writing by notice to the Borrower), the cost or other consequences (including any adverse tax consequences) of providing a Guarantee shall be excessive in view of the benefits to be obtained by the Lenders therefrom). The Subsidiary Loan Parties as of the Effective Date are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and (b) any and all agreements and documents (and the related confirmations) entered</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440" w:top="270" w:right="519" w:bottom="1440" w:gutter="0" w:footer="0" w:header="0"/>
        </w:sectPr>
      </w:pPr>
    </w:p>
    <w:bookmarkStart w:id="221" w:name="page222"/>
    <w:bookmarkEnd w:id="221"/>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into in connection with any transactions of any kind,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xml:space="preserve">”), including any such obligations or liabilities under any Master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 </w:t>
      </w:r>
      <w:r>
        <w:rPr>
          <w:rFonts w:ascii="Times New Roman" w:cs="Times New Roman" w:eastAsia="Times New Roman" w:hAnsi="Times New Roman"/>
          <w:sz w:val="18"/>
          <w:szCs w:val="18"/>
          <w:u w:val="single" w:color="auto"/>
          <w:color w:val="0000FF"/>
        </w:rPr>
        <w:t>Notwithstanding the foregoing,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“Swap Agreement” shall not include Permitted Equity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5332095</wp:posOffset>
            </wp:positionH>
            <wp:positionV relativeFrom="paragraph">
              <wp:posOffset>-134620</wp:posOffset>
            </wp:positionV>
            <wp:extent cx="159448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33000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7"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Advance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 Limit</w:t>
      </w:r>
      <w:r>
        <w:rPr>
          <w:rFonts w:ascii="Times New Roman" w:cs="Times New Roman" w:eastAsia="Times New Roman" w:hAnsi="Times New Roman"/>
          <w:sz w:val="18"/>
          <w:szCs w:val="18"/>
          <w:color w:val="auto"/>
        </w:rPr>
        <w:t>” means, at any time, the smallest of the following amounts: (i) $20,000,000, (ii) the aggregate Revolving Commitment minus the Revolver Usage and (iii) the Borrowing Base, minus the amount of Revolving Loans outstanding.</w:t>
      </w:r>
    </w:p>
    <w:p>
      <w:pPr>
        <w:spacing w:after="0" w:line="162"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Creditor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at any time, any Lender that has a Term Loan Commitment or an outstanding Term Loan.</w:t>
      </w:r>
    </w:p>
    <w:p>
      <w:pPr>
        <w:spacing w:after="0" w:line="225"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means (a) the Effective Date Term Loans, (b) the First Amendment Effective Date Term Loans, (c) the Second Amendment Effective Date Term Loans, (d) the Third Amendment Effective Date Term Loans and (e) Refinanced Term Loans and Replacement Term Loans, collectively, or as the context may require.</w:t>
      </w:r>
    </w:p>
    <w:p>
      <w:pPr>
        <w:spacing w:after="0" w:line="176"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means, collectively, (a) the Effective Date Term Loan Commitments, (b) the First Amendment Effective Date Term Loan Commitments, (c) the Second Amendment Effective Date Term Loan Commitments and/or (d) the Third Amendment Effective Date Term Loan Commitments, as the context requires.</w:t>
      </w:r>
    </w:p>
    <w:p>
      <w:pPr>
        <w:spacing w:after="0" w:line="176"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Exposure</w:t>
      </w:r>
      <w:r>
        <w:rPr>
          <w:rFonts w:ascii="Times New Roman" w:cs="Times New Roman" w:eastAsia="Times New Roman" w:hAnsi="Times New Roman"/>
          <w:sz w:val="18"/>
          <w:szCs w:val="18"/>
          <w:color w:val="auto"/>
        </w:rPr>
        <w:t>” means with respect to any Term Lender at any time, an amount equal to (a) until the (i) Effective Date, the aggregate amount of such Effective Date Term Lender’s Effective Date Term Loan Commitments at such time, (ii) First Amendment Effective Date, the aggregate amount of such First Amendment Effective Date Term Lender’s First Amendment Effective Date Term Loan Commitments at such time,</w:t>
      </w:r>
    </w:p>
    <w:p>
      <w:pPr>
        <w:spacing w:after="0" w:line="1" w:lineRule="exact"/>
        <w:rPr>
          <w:sz w:val="20"/>
          <w:szCs w:val="20"/>
          <w:color w:val="auto"/>
        </w:rPr>
      </w:pPr>
    </w:p>
    <w:p>
      <w:pPr>
        <w:jc w:val="both"/>
        <w:ind w:left="4" w:hanging="4"/>
        <w:spacing w:after="0" w:line="253" w:lineRule="auto"/>
        <w:tabs>
          <w:tab w:leader="none" w:pos="31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Amendment Effective Date, the aggregate amount of such Second Amendment Effective Date Term Lender’s Second Amendment Effective Date Term Loan Commitments at such time, and (iv) Third Amendment Effective Date, the aggregate amount of such Third Amendment Effective Date Term Lender’s Third Amendment Effective Date Term Loan Commitments at such time, and (b) thereafter, in each case, the aggregate then unpaid principal amount of such Term Lender’s Term Loans.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4"/>
          </w:cols>
          <w:pgMar w:left="436" w:top="270" w:right="479" w:bottom="1440" w:gutter="0" w:footer="0" w:header="0"/>
        </w:sectPr>
      </w:pPr>
    </w:p>
    <w:bookmarkStart w:id="222" w:name="page223"/>
    <w:bookmarkEnd w:id="222"/>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Loan Exposure Percentage</w:t>
      </w:r>
      <w:r>
        <w:rPr>
          <w:rFonts w:ascii="Times New Roman" w:cs="Times New Roman" w:eastAsia="Times New Roman" w:hAnsi="Times New Roman"/>
          <w:sz w:val="18"/>
          <w:szCs w:val="18"/>
          <w:color w:val="auto"/>
        </w:rPr>
        <w:t>” means with respect to any Term Lender at any time, the ratio (expressed as a percentage) of such Term Lender’s aggregate Term Loan Exposure at such time to the aggregate Term Loan Exposure of all Term Lenders at such time.</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xml:space="preserve">” means the earlier of: (a)(i) solely with respect to the Effective Date Term Loans, the First Amendment Effective Date Term Loans and the Second Amendment Effective Date Term Loans, the fifth anniversary of the Effective Date, or if such date is not a Business Day, the immediately succeeding Business Day, and (ii) solely with respect to the Third Amendment Effective Date Term Loans, the fifth anniversary of the Third Amendment Effective Date, or if such date is not a Business Day, the immediately succeeding Business Day, (b) the date on which the Term Loan Commitments are voluntarily terminated pursuant to the terms hereof, and (c) the date on which all amount outstanding under this Agreement have been declared or have automatically become due and payable (whether by acceleration or otherwise) in accordance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if on the Test Date, the Borrower and its Subsidiaries do not have Liquidity in an aggregate amount equal to at least the sum of (x) $100,000,000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aggregate principal amount of the Google Note required to be repaid on the scheduled maturity date of the Google Note, then the Term Loan Maturity Date shall automatically be accelerated to the Test Date and all of the Loans shall thereupon be due and payable on the Test Date, together with all interest and fees accrued thereon or in respect thereof (including any Prepayment Premium) and any amounts payable pursuant this Agreement.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40" w:firstLine="987"/>
        <w:spacing w:after="0" w:line="254" w:lineRule="auto"/>
        <w:tabs>
          <w:tab w:leader="none" w:pos="12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that is two (2)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and</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as long as such first preceding Business Day is not more than three (3) Business Days prior to such Base Rate Term SOFR Determination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Term SOFR as so determined shall ever be less than the Floor, then Term SOFR shall be deemed to be the Floor.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223" w:name="page224"/>
    <w:bookmarkEnd w:id="223"/>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 means the date (or at any time thereafter) that is one hundred thirty-five (135) days prior to the scheduled maturity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Google Note.</w:t>
      </w:r>
    </w:p>
    <w:p>
      <w:pPr>
        <w:spacing w:after="0" w:line="20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means that certain Third Amendment to Credit Agreement, dated as of the Third Amendment Effective Date, by and among the Borrower, the other Loan Parties party thereto, Administrative Agent, Revolving Agent, Lead Arranger, Sole Bookrunner and the Lenders party thereto (including, for the avoidance of doubt, (i) all Lenders party to this Agreement immediately prior to the effectiveness of the Third Amendment on the Third Amendment Effective Date, (ii) the Third Amendment Effective Date Term Lenders on the Third Amendment Effective Date and (iii) the Revolving Lenders on the Third Amendment Effective Date).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 Effective Date</w:t>
      </w:r>
      <w:r>
        <w:rPr>
          <w:rFonts w:ascii="Times New Roman" w:cs="Times New Roman" w:eastAsia="Times New Roman" w:hAnsi="Times New Roman"/>
          <w:sz w:val="18"/>
          <w:szCs w:val="18"/>
          <w:color w:val="auto"/>
        </w:rPr>
        <w:t>” means February 3, 2025.</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 Effective Date Acquisition</w:t>
      </w:r>
      <w:r>
        <w:rPr>
          <w:rFonts w:ascii="Times New Roman" w:cs="Times New Roman" w:eastAsia="Times New Roman" w:hAnsi="Times New Roman"/>
          <w:sz w:val="18"/>
          <w:szCs w:val="18"/>
          <w:color w:val="auto"/>
        </w:rPr>
        <w:t>” means the acquisition by the Borrower of 100% of the Equity Interests of Ambry Genetics Corporation, a Delaware corporation, and its Subsidiaries pursuant to the terms and conditions of the Third Amendment Effective Date Acquisition Documents.</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 Effective Date Acquisition Agreement</w:t>
      </w:r>
      <w:r>
        <w:rPr>
          <w:rFonts w:ascii="Times New Roman" w:cs="Times New Roman" w:eastAsia="Times New Roman" w:hAnsi="Times New Roman"/>
          <w:sz w:val="18"/>
          <w:szCs w:val="18"/>
          <w:color w:val="auto"/>
        </w:rPr>
        <w:t>” means that certain Securities Purchase Agreement, dated as of November 4, 2024, by and among Realm IDX, a Delaware corporation, as the “Seller” (as defined therein) thereunder, the Borrower, in its capacity as the “Buyer” (as defined therein) thereunder, and Konica Minolta, Inc., a Japanese corporation, as the “Guarantor” (as defined therein) thereunder.</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 Effective Date Acquisition Documents</w:t>
      </w:r>
      <w:r>
        <w:rPr>
          <w:rFonts w:ascii="Times New Roman" w:cs="Times New Roman" w:eastAsia="Times New Roman" w:hAnsi="Times New Roman"/>
          <w:sz w:val="18"/>
          <w:szCs w:val="18"/>
          <w:color w:val="auto"/>
        </w:rPr>
        <w:t>” means the Third Amendment Effective Date Acquisition Agreement and the other agreements, documents and instruments entered into in connection therewith.</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 Effective Date Revolver Draw</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 Effective Date Term Lender</w:t>
      </w:r>
      <w:r>
        <w:rPr>
          <w:rFonts w:ascii="Times New Roman" w:cs="Times New Roman" w:eastAsia="Times New Roman" w:hAnsi="Times New Roman"/>
          <w:sz w:val="18"/>
          <w:szCs w:val="18"/>
          <w:color w:val="auto"/>
        </w:rPr>
        <w:t>” means, at any time, any Term Lender that has a Third Amendment Effective Date Term Loan Commitment or an outstanding First Amendment Effective Date Term Loan.</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“Third Amendment Effective Date Term Loan Commitments” means, with respect to each Third Amendment Effective Date Term Lender, such Third Amendment Effective Date Term Lender’s Term Loan Commitment to make a Third Amendment Effective Date Term Loan hereunder on the Third Amendment Effective Date as set forth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opposite such Third Amendment Effective Date Term Lender’s name under the heading “Third Amendment Effective Date Term Loan Commitment,” expressed as an amount representing the maximum principal amount of the Third Amendment Effective Date Term Loan to be made by such Third Amendment Effective Date Term Lender hereunder, as such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224" w:name="page225"/>
    <w:bookmarkEnd w:id="224"/>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commitment may be reduced or increased from time to time pursuant to this Agreement and as amended to reflect assignments. Unless the context shall otherwise require, the term “Third Amendment Effective Date Term Loan Commitments” shall include any commitment to Replacement Term Loans of such Third Amendment Effective Date Term Lender. The aggregate amount of the Third Amendment Effective Date Term Loan Commitments as of the Third Amendment Effective Date is $200,000,000.</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 Effective Date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 Prepayment Fee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the payment of fees, expenses and other costs in connection with the items described in clauses (a) and (b) of the definition of Transactions.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 the execution, delivery and performance by each Loan Party of the Loan Documents to which it is to be a party,</w:t>
      </w:r>
    </w:p>
    <w:p>
      <w:pPr>
        <w:spacing w:after="0" w:line="27" w:lineRule="exact"/>
        <w:rPr>
          <w:sz w:val="20"/>
          <w:szCs w:val="20"/>
          <w:color w:val="auto"/>
        </w:rPr>
      </w:pPr>
    </w:p>
    <w:p>
      <w:pPr>
        <w:ind w:left="4" w:right="60" w:hanging="4"/>
        <w:spacing w:after="0" w:line="260" w:lineRule="auto"/>
        <w:tabs>
          <w:tab w:leader="none" w:pos="25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of the Effective Date Term Loans and the use of the proceeds thereof on the Effective Date, and (c) payment of the Transaction Costs on the Effective Date.</w:t>
      </w:r>
    </w:p>
    <w:p>
      <w:pPr>
        <w:spacing w:after="0" w:line="181" w:lineRule="exact"/>
        <w:rPr>
          <w:sz w:val="20"/>
          <w:szCs w:val="20"/>
          <w:color w:val="auto"/>
        </w:rPr>
      </w:pPr>
    </w:p>
    <w:p>
      <w:pPr>
        <w:jc w:val="both"/>
        <w:ind w:left="4" w:right="3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a rate equal to the then-current yield to maturity on actively traded U.S. Treasury securities having a constant maturity and having a duration equal to (or the nearest available tenor) the period from the date that payment is received to the date that falls on the Term Loan Maturity Date.</w:t>
      </w:r>
    </w:p>
    <w:p>
      <w:pPr>
        <w:spacing w:after="0" w:line="176" w:lineRule="exact"/>
        <w:rPr>
          <w:sz w:val="20"/>
          <w:szCs w:val="20"/>
          <w:color w:val="auto"/>
        </w:rPr>
      </w:pPr>
    </w:p>
    <w:p>
      <w:pPr>
        <w:ind w:left="4"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TRICARE</w:t>
      </w:r>
      <w:r>
        <w:rPr>
          <w:rFonts w:ascii="Times New Roman" w:cs="Times New Roman" w:eastAsia="Times New Roman" w:hAnsi="Times New Roman"/>
          <w:sz w:val="18"/>
          <w:szCs w:val="18"/>
          <w:color w:val="auto"/>
        </w:rPr>
        <w:t>” means the United States Department of Defense health care program for service families including, but not limited to, TRICARE Prime, TRICARE Extra and TRICARE Standard, and any successor to or predecessor thereof.</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TRICARE Account</w:t>
      </w:r>
      <w:r>
        <w:rPr>
          <w:rFonts w:ascii="Times New Roman" w:cs="Times New Roman" w:eastAsia="Times New Roman" w:hAnsi="Times New Roman"/>
          <w:sz w:val="18"/>
          <w:szCs w:val="18"/>
          <w:color w:val="auto"/>
        </w:rPr>
        <w:t>” means an Account payable pursuant to TRICARE.</w:t>
      </w:r>
    </w:p>
    <w:p>
      <w:pPr>
        <w:spacing w:after="0" w:line="225"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when used in reference to any Loan or Borrowing, refers to whether the rate of interest on such Loan, or on the Loans comprising such Borrowing, is determined by reference to Term SOFR or the Base Rate.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from time to time in effect in the State of New York.</w:t>
      </w:r>
    </w:p>
    <w:p>
      <w:pPr>
        <w:spacing w:after="0" w:line="225"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Adjustment.</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4"/>
          </w:cols>
          <w:pgMar w:left="436" w:top="270" w:right="499" w:bottom="1440" w:gutter="0" w:footer="0" w:header="0"/>
        </w:sectPr>
      </w:pPr>
    </w:p>
    <w:bookmarkStart w:id="225" w:name="page226"/>
    <w:bookmarkEnd w:id="22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2.17(f)(ii)(2)(C)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Waterfall Trigger Event</w:t>
      </w:r>
      <w:r>
        <w:rPr>
          <w:rFonts w:ascii="Times New Roman" w:cs="Times New Roman" w:eastAsia="Times New Roman" w:hAnsi="Times New Roman"/>
          <w:sz w:val="17"/>
          <w:szCs w:val="17"/>
          <w:color w:val="auto"/>
        </w:rPr>
        <w:t xml:space="preserve">” means (w) an Event of Default under (i)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(ii) </w:t>
      </w:r>
      <w:r>
        <w:rPr>
          <w:rFonts w:ascii="Times New Roman" w:cs="Times New Roman" w:eastAsia="Times New Roman" w:hAnsi="Times New Roman"/>
          <w:sz w:val="17"/>
          <w:szCs w:val="17"/>
          <w:u w:val="single" w:color="auto"/>
          <w:color w:val="auto"/>
        </w:rPr>
        <w:t>Section 7.01(e)</w:t>
      </w:r>
      <w:r>
        <w:rPr>
          <w:rFonts w:ascii="Times New Roman" w:cs="Times New Roman" w:eastAsia="Times New Roman" w:hAnsi="Times New Roman"/>
          <w:sz w:val="17"/>
          <w:szCs w:val="17"/>
          <w:color w:val="auto"/>
        </w:rPr>
        <w:t xml:space="preserve"> arising from the failure of the Borrower or any other Loan Party to observe or perform any obligation under any of </w:t>
      </w:r>
      <w:r>
        <w:rPr>
          <w:rFonts w:ascii="Times New Roman" w:cs="Times New Roman" w:eastAsia="Times New Roman" w:hAnsi="Times New Roman"/>
          <w:sz w:val="17"/>
          <w:szCs w:val="17"/>
          <w:u w:val="single" w:color="auto"/>
          <w:color w:val="auto"/>
        </w:rPr>
        <w:t>Sections 5.01(a)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5.01(d)</w:t>
      </w:r>
      <w:r>
        <w:rPr>
          <w:rFonts w:ascii="Times New Roman" w:cs="Times New Roman" w:eastAsia="Times New Roman" w:hAnsi="Times New Roman"/>
          <w:sz w:val="17"/>
          <w:szCs w:val="17"/>
          <w:color w:val="auto"/>
        </w:rPr>
        <w:t xml:space="preserve"> (in each case, solely to the extent such financial statements are not delivered to the Administrative Agent for delivery to each Lender within thirty (30) days following the date such financial statements were required to be delivered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5.01(b)</w:t>
      </w:r>
      <w:r>
        <w:rPr>
          <w:rFonts w:ascii="Times New Roman" w:cs="Times New Roman" w:eastAsia="Times New Roman" w:hAnsi="Times New Roman"/>
          <w:sz w:val="17"/>
          <w:szCs w:val="17"/>
          <w:color w:val="auto"/>
        </w:rPr>
        <w:t xml:space="preserve">, as applicable), (iii) </w:t>
      </w:r>
      <w:r>
        <w:rPr>
          <w:rFonts w:ascii="Times New Roman" w:cs="Times New Roman" w:eastAsia="Times New Roman" w:hAnsi="Times New Roman"/>
          <w:sz w:val="17"/>
          <w:szCs w:val="17"/>
          <w:u w:val="single" w:color="auto"/>
          <w:color w:val="auto"/>
        </w:rPr>
        <w:t>Section 7.01(f)</w:t>
      </w:r>
      <w:r>
        <w:rPr>
          <w:rFonts w:ascii="Times New Roman" w:cs="Times New Roman" w:eastAsia="Times New Roman" w:hAnsi="Times New Roman"/>
          <w:sz w:val="17"/>
          <w:szCs w:val="17"/>
          <w:color w:val="auto"/>
        </w:rPr>
        <w:t xml:space="preserve"> arising from the failure of the Borrower or any other Loan Party to observe or performance any obligation under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(solely as it relates to the use of proceeds of the Revolving Loans), (iv) </w:t>
      </w:r>
      <w:r>
        <w:rPr>
          <w:rFonts w:ascii="Times New Roman" w:cs="Times New Roman" w:eastAsia="Times New Roman" w:hAnsi="Times New Roman"/>
          <w:sz w:val="17"/>
          <w:szCs w:val="17"/>
          <w:u w:val="single" w:color="auto"/>
          <w:color w:val="auto"/>
        </w:rPr>
        <w:t>Section 7.01(d)</w:t>
      </w:r>
      <w:r>
        <w:rPr>
          <w:rFonts w:ascii="Times New Roman" w:cs="Times New Roman" w:eastAsia="Times New Roman" w:hAnsi="Times New Roman"/>
          <w:sz w:val="17"/>
          <w:szCs w:val="17"/>
          <w:color w:val="auto"/>
        </w:rPr>
        <w:t xml:space="preserve"> arising from the failure of the Borrower or any other Loan Party to observe or perform any obligation under any of </w:t>
      </w:r>
      <w:r>
        <w:rPr>
          <w:rFonts w:ascii="Times New Roman" w:cs="Times New Roman" w:eastAsia="Times New Roman" w:hAnsi="Times New Roman"/>
          <w:sz w:val="17"/>
          <w:szCs w:val="17"/>
          <w:u w:val="single" w:color="auto"/>
          <w:color w:val="auto"/>
        </w:rPr>
        <w:t>Section 5.17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6.08</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(v) </w:t>
      </w:r>
      <w:r>
        <w:rPr>
          <w:rFonts w:ascii="Times New Roman" w:cs="Times New Roman" w:eastAsia="Times New Roman" w:hAnsi="Times New Roman"/>
          <w:sz w:val="17"/>
          <w:szCs w:val="17"/>
          <w:u w:val="single" w:color="auto"/>
          <w:color w:val="auto"/>
        </w:rPr>
        <w:t>Sections 7.01(l)</w:t>
      </w:r>
      <w:r>
        <w:rPr>
          <w:rFonts w:ascii="Times New Roman" w:cs="Times New Roman" w:eastAsia="Times New Roman" w:hAnsi="Times New Roman"/>
          <w:sz w:val="17"/>
          <w:szCs w:val="17"/>
          <w:color w:val="auto"/>
        </w:rPr>
        <w:t xml:space="preserve"> and</w:t>
      </w:r>
    </w:p>
    <w:p>
      <w:pPr>
        <w:spacing w:after="0" w:line="2" w:lineRule="exact"/>
        <w:rPr>
          <w:sz w:val="20"/>
          <w:szCs w:val="20"/>
          <w:color w:val="auto"/>
        </w:rPr>
      </w:pPr>
    </w:p>
    <w:p>
      <w:pPr>
        <w:ind w:left="4" w:right="200"/>
        <w:spacing w:after="0" w:line="253" w:lineRule="auto"/>
        <w:rPr>
          <w:sz w:val="20"/>
          <w:szCs w:val="20"/>
          <w:color w:val="auto"/>
        </w:rPr>
      </w:pPr>
      <w:r>
        <w:rPr>
          <w:rFonts w:ascii="Times New Roman" w:cs="Times New Roman" w:eastAsia="Times New Roman" w:hAnsi="Times New Roman"/>
          <w:sz w:val="18"/>
          <w:szCs w:val="18"/>
          <w:u w:val="single" w:color="auto"/>
          <w:color w:val="auto"/>
        </w:rPr>
        <w:t>7.01(u)</w:t>
      </w:r>
      <w:r>
        <w:rPr>
          <w:rFonts w:ascii="Times New Roman" w:cs="Times New Roman" w:eastAsia="Times New Roman" w:hAnsi="Times New Roman"/>
          <w:sz w:val="18"/>
          <w:szCs w:val="18"/>
          <w:color w:val="auto"/>
        </w:rPr>
        <w:t xml:space="preserve">; (vi) </w:t>
      </w:r>
      <w:r>
        <w:rPr>
          <w:rFonts w:ascii="Times New Roman" w:cs="Times New Roman" w:eastAsia="Times New Roman" w:hAnsi="Times New Roman"/>
          <w:sz w:val="18"/>
          <w:szCs w:val="18"/>
          <w:u w:val="single" w:color="auto"/>
          <w:color w:val="auto"/>
        </w:rPr>
        <w:t>Sections 7.01(i)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7.01(j)</w:t>
      </w:r>
      <w:r>
        <w:rPr>
          <w:rFonts w:ascii="Times New Roman" w:cs="Times New Roman" w:eastAsia="Times New Roman" w:hAnsi="Times New Roman"/>
          <w:sz w:val="18"/>
          <w:szCs w:val="18"/>
          <w:color w:val="auto"/>
        </w:rPr>
        <w:t xml:space="preserve">; (vii) </w:t>
      </w:r>
      <w:r>
        <w:rPr>
          <w:rFonts w:ascii="Times New Roman" w:cs="Times New Roman" w:eastAsia="Times New Roman" w:hAnsi="Times New Roman"/>
          <w:sz w:val="18"/>
          <w:szCs w:val="18"/>
          <w:u w:val="single" w:color="auto"/>
          <w:color w:val="auto"/>
        </w:rPr>
        <w:t>Section 7.01(n)</w:t>
      </w:r>
      <w:r>
        <w:rPr>
          <w:rFonts w:ascii="Times New Roman" w:cs="Times New Roman" w:eastAsia="Times New Roman" w:hAnsi="Times New Roman"/>
          <w:sz w:val="18"/>
          <w:szCs w:val="18"/>
          <w:color w:val="auto"/>
        </w:rPr>
        <w:t xml:space="preserve">; or (viii) </w:t>
      </w:r>
      <w:r>
        <w:rPr>
          <w:rFonts w:ascii="Times New Roman" w:cs="Times New Roman" w:eastAsia="Times New Roman" w:hAnsi="Times New Roman"/>
          <w:sz w:val="18"/>
          <w:szCs w:val="18"/>
          <w:u w:val="single" w:color="auto"/>
          <w:color w:val="auto"/>
        </w:rPr>
        <w:t>Section 7.01(r)</w:t>
      </w:r>
      <w:r>
        <w:rPr>
          <w:rFonts w:ascii="Times New Roman" w:cs="Times New Roman" w:eastAsia="Times New Roman" w:hAnsi="Times New Roman"/>
          <w:sz w:val="18"/>
          <w:szCs w:val="18"/>
          <w:color w:val="auto"/>
        </w:rPr>
        <w:t xml:space="preserve">, (x) solely to the extent Required Lenders exercise rights under any Springing Control Agreement in accordance with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 xml:space="preserve">, a Cash Dominion Event, or (y) solely to the extent that such amendment, modification or waiver is prohibited by </w:t>
      </w:r>
      <w:r>
        <w:rPr>
          <w:rFonts w:ascii="Times New Roman" w:cs="Times New Roman" w:eastAsia="Times New Roman" w:hAnsi="Times New Roman"/>
          <w:sz w:val="18"/>
          <w:szCs w:val="18"/>
          <w:u w:val="single" w:color="auto"/>
          <w:color w:val="auto"/>
        </w:rPr>
        <w:t>Section 9.02(c)(ii)</w:t>
      </w:r>
      <w:r>
        <w:rPr>
          <w:rFonts w:ascii="Times New Roman" w:cs="Times New Roman" w:eastAsia="Times New Roman" w:hAnsi="Times New Roman"/>
          <w:sz w:val="18"/>
          <w:szCs w:val="18"/>
          <w:color w:val="auto"/>
        </w:rPr>
        <w:t xml:space="preserve"> without the consent of the Required Revolving Lenders, the amendment, modification or waiver of any of the provisions set forth in the immediately preceding clause (x) without the consent of the Required Revolving Lenders to such amendment, modification or waiver.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w:t>
      </w:r>
      <w:r>
        <w:rPr>
          <w:rFonts w:ascii="Times New Roman" w:cs="Times New Roman" w:eastAsia="Times New Roman" w:hAnsi="Times New Roman"/>
          <w:sz w:val="18"/>
          <w:szCs w:val="18"/>
          <w:color w:val="auto"/>
        </w:rPr>
        <w:t>” means with respect to any Person, a subsidiary of such Person all the outstanding Equity Interests of which (other than</w:t>
      </w:r>
    </w:p>
    <w:p>
      <w:pPr>
        <w:spacing w:after="0" w:line="27" w:lineRule="exact"/>
        <w:rPr>
          <w:sz w:val="20"/>
          <w:szCs w:val="20"/>
          <w:color w:val="auto"/>
        </w:rPr>
      </w:pPr>
    </w:p>
    <w:p>
      <w:pPr>
        <w:ind w:left="4" w:right="180" w:hanging="4"/>
        <w:spacing w:after="0" w:line="260" w:lineRule="auto"/>
        <w:tabs>
          <w:tab w:leader="none" w:pos="25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qualifying shares and (y) shares issued to foreign nationals to the extent required by applicable law) are owned by such Person and/or by one or more wholly-owned subsidiaries of such Person.</w:t>
      </w:r>
    </w:p>
    <w:p>
      <w:pPr>
        <w:spacing w:after="0" w:line="181" w:lineRule="exact"/>
        <w:rPr>
          <w:sz w:val="20"/>
          <w:szCs w:val="20"/>
          <w:color w:val="auto"/>
        </w:rPr>
      </w:pPr>
    </w:p>
    <w:p>
      <w:pPr>
        <w:ind w:left="4" w:right="1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left="4"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“SOFR Loan”). Borrowings also may be classified and referred to by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“SOFR Borrowing”).</w:t>
      </w:r>
    </w:p>
    <w:p>
      <w:pPr>
        <w:spacing w:after="0" w:line="16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226" w:name="page227"/>
    <w:bookmarkEnd w:id="226"/>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shall be construed to refer to Articles and Sections of, and Exhibits to, this Agreement, (e) all references herein to Schedules shall be construed to refer to the Schedules to the Confidential Disclosure Letter and (f) the words “asset” and “property” shall be construed to have the same meaning and effect and to refer to any and all tangible and intangible assets and properties, including cash, securities, accounts and contract rights. Any reference to “payment in full,” “paid in full,” “repaid in full,” “prepaid in full,” “redeemed in full” or any other term or word of similar effect used in this Agreement or any other Loan Document with respect to the Loans or the Obligations shall mean all Obligations (including any Prepayment Premium but excluding any inchoate indemnity obligations) have been repaid in full in cash and have been fully performed and all Commitments have been permanently terminated.</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All accounting terms not specifically or completely defined herein shall be construed in conformity with, and all financial data (including financial ratios (including, without limitation, any First Lien Leverage Ratio test), the amount of Consolidated Adjusted EBITDA and other financial calculations) required to be submitted pursuant to this Agreement shall be prepared in conformity with, GAAP, applied in a manner consistent with that used in preparing the historical financial statements, except as otherwise specifically prescribed herein. No change in the accounting principles used in the preparation of any financial statement hereafter adopted by the Borrower shall be given effect for purposes of measuring compliance with any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unless the Borrower, the Administrative Agent and the Required Lenders agree to modify such provisions to reflect such changes in GAAP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in GAAP. Notwithstanding any other provision contained herein, all terms of an accounting or financial nature used herein shall be construed, and all computations of amounts and ratios referred to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made, without giving effect to any election under Accounting Standards Codification 825-10 or 470-20 (or any other Financial Accounting Standard having a similar result or effect) to value any Indebtedness or other liabilities of any Loan Party or any Subsidiary thereof at “fair value.” A breach of any Financial Performance Covenant shall be deemed to have occurred as of the last day of any specified measurement period, regardless of when the financial statements reflecting such breach are delivered to the Administrative Agent.</w:t>
      </w:r>
    </w:p>
    <w:p>
      <w:pPr>
        <w:spacing w:after="0" w:line="197"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Pro Forma Calculations</w:t>
      </w:r>
      <w:r>
        <w:rPr>
          <w:rFonts w:ascii="Times New Roman" w:cs="Times New Roman" w:eastAsia="Times New Roman" w:hAnsi="Times New Roman"/>
          <w:sz w:val="18"/>
          <w:szCs w:val="18"/>
          <w:color w:val="auto"/>
        </w:rPr>
        <w:t xml:space="preserve">. All pro forma computations required to be made hereunder giving effect to any Material Acquisition, Material Disposition, or issuance, incurrence or assumption of Indebtedness shall be calculated after giving effect to such acquisition, Disposition, designation or issuance, incurrence or assumption of Indebtedness (and to any other such transaction consummated since the first day of the period for which such pro forma computation is being made and on or prior to the date of such computation) as if such transaction (and any other such transactions) had occurred on the first day of the applicable measurement period, and, to the extent applicable, the historical earnings and cash flows associated with the assets acquired or disposed of, any related incurrence or reduction of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charges, costs, expenses and losses related to any such any Material Acquisition, Material Disposition, or issuance, incurrence or assumption of Indebtedness during the applicable measurement period shall be subject, in each case, to the Aggregate Cap when calculating Consolidated Adjusted EBITDA for the applicable measurement period. If any Indebtedness bears 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40" w:top="270" w:right="479" w:bottom="1440" w:gutter="0" w:footer="0" w:header="0"/>
        </w:sectPr>
      </w:pPr>
    </w:p>
    <w:bookmarkStart w:id="227" w:name="page228"/>
    <w:bookmarkEnd w:id="227"/>
    <w:p>
      <w:pPr>
        <w:ind w:left="4" w:right="20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floating rate of interest and is being given pro forma effect, the interest on such Indebtedness shall be calculated as if the rate in effect on the date of determination had been the applicable rate for the entire measurement period (taking into account any swap contract applicable to such Indebtedness).</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w:t>
      </w:r>
    </w:p>
    <w:p>
      <w:pPr>
        <w:spacing w:after="0" w:line="27" w:lineRule="exact"/>
        <w:rPr>
          <w:sz w:val="20"/>
          <w:szCs w:val="20"/>
          <w:color w:val="auto"/>
        </w:rPr>
      </w:pPr>
    </w:p>
    <w:p>
      <w:pPr>
        <w:ind w:left="4" w:hanging="4"/>
        <w:spacing w:after="0" w:line="251" w:lineRule="auto"/>
        <w:tabs>
          <w:tab w:leader="none" w:pos="24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administration of, submission of, calculation of or any other matter related to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Notwithstanding anything to the contrary in this Agreement, any division of a limited liability company shall constitute a separate Person hereunder, and each resulting division of any limited liability company that, prior to such division, is a Subsidiary, a Borrower, a Guarantor, a joint venture or any other like term shall remain a Subsidiary, a Borrower, a Guarantor, a joint venture, or other like term, respectively, after giving effect to such division, and any resulting divisions of such Persons shall remain subject to the same restrictions applicable to the pre-division predecessor of such divisions.</w:t>
      </w:r>
    </w:p>
    <w:p>
      <w:pPr>
        <w:spacing w:after="0" w:line="192"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UCC Definitions</w:t>
      </w:r>
      <w:r>
        <w:rPr>
          <w:rFonts w:ascii="Times New Roman" w:cs="Times New Roman" w:eastAsia="Times New Roman" w:hAnsi="Times New Roman"/>
          <w:sz w:val="18"/>
          <w:szCs w:val="18"/>
          <w:color w:val="auto"/>
        </w:rPr>
        <w:t>. When used in this Agreement, the following terms have the same definitions as provided in Article 9 of the UCC, but for convenience in this Agreement the first letter of all such terms shall be capitalized: “Accession,” “Account Debtor,” “Authenticate” (and all derivations thereof), “Certificate Of Title,” “Chattel Paper,” “Commercial Tort Claim,” “Deposit Account,” “Document,” “Equipment,” “General Intangible,” “Goods,” “Health-Care-Insurance Receivable,” “Instrument,” “Inventory,” “Investment Property,” “Letter-Of-Credit Right,” “Obligor,” “Proceeds” (as specifically defined in Section 9-102(64) of the UCC), “Record,” “Secondary Obligor,” “Secured Party,” “Securities Account,” “Software” and “Supporting Obligation.”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228" w:name="page229"/>
    <w:bookmarkEnd w:id="228"/>
    <w:p>
      <w:pPr>
        <w:jc w:val="center"/>
        <w:ind w:righ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Credits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80" w:firstLine="952"/>
        <w:spacing w:after="0" w:line="261" w:lineRule="auto"/>
        <w:rPr>
          <w:sz w:val="20"/>
          <w:szCs w:val="20"/>
          <w:color w:val="auto"/>
        </w:rPr>
      </w:pPr>
      <w:r>
        <w:rPr>
          <w:rFonts w:ascii="Times New Roman" w:cs="Times New Roman" w:eastAsia="Times New Roman" w:hAnsi="Times New Roman"/>
          <w:sz w:val="18"/>
          <w:szCs w:val="18"/>
          <w:color w:val="auto"/>
        </w:rPr>
        <w:t xml:space="preserve">(i)  Subject to the terms and conditions set forth herein, each Effective Date Term Lender agrees to make an Effective Date Term Loan to the Borrower on the Effective Date, in a principal amount not exceeding its Effective Date Term Loan Commitment in the amount set forth opposite such Term Lender’s name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under the heading “Effective Date Term Loan Commitment.” Amounts borrowed under this </w:t>
      </w:r>
      <w:r>
        <w:rPr>
          <w:rFonts w:ascii="Times New Roman" w:cs="Times New Roman" w:eastAsia="Times New Roman" w:hAnsi="Times New Roman"/>
          <w:sz w:val="18"/>
          <w:szCs w:val="18"/>
          <w:u w:val="single" w:color="auto"/>
          <w:color w:val="auto"/>
        </w:rPr>
        <w:t>Section 2.01(a)(i)</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u w:val="single" w:color="auto"/>
          <w:color w:val="auto"/>
        </w:rPr>
        <w:t>Effective Date Term Loans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firstLine="952"/>
        <w:spacing w:after="0" w:line="255" w:lineRule="auto"/>
        <w:rPr>
          <w:sz w:val="20"/>
          <w:szCs w:val="20"/>
          <w:color w:val="auto"/>
        </w:rPr>
      </w:pPr>
      <w:r>
        <w:rPr>
          <w:rFonts w:ascii="Times New Roman" w:cs="Times New Roman" w:eastAsia="Times New Roman" w:hAnsi="Times New Roman"/>
          <w:sz w:val="18"/>
          <w:szCs w:val="18"/>
          <w:color w:val="auto"/>
        </w:rPr>
        <w:t xml:space="preserve">(ii)  Subject to the terms and conditions set forth herein and the First Amendment, each First Amendment Effective Date Term Lender agrees to make a First Amendment Effective Date Term Loan to the Borrower on the First Amendment Effective Date, in a principal amount not exceeding its First Amendment Effective Date Term Loan Commitment in the amount set forth opposite such First Amendment Effective Date Term Lender’s name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under the heading “First Amendment Effective Date Term Loan Commitment.” Amounts borrowed under this </w:t>
      </w:r>
      <w:r>
        <w:rPr>
          <w:rFonts w:ascii="Times New Roman" w:cs="Times New Roman" w:eastAsia="Times New Roman" w:hAnsi="Times New Roman"/>
          <w:sz w:val="18"/>
          <w:szCs w:val="18"/>
          <w:u w:val="single" w:color="auto"/>
          <w:color w:val="auto"/>
        </w:rPr>
        <w:t>Section 2.01(a)(ii)</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u w:val="single" w:color="auto"/>
          <w:color w:val="auto"/>
        </w:rPr>
        <w:t>First Amendment Effective Date Term Loans</w:t>
      </w:r>
      <w:r>
        <w:rPr>
          <w:rFonts w:ascii="Times New Roman" w:cs="Times New Roman" w:eastAsia="Times New Roman" w:hAnsi="Times New Roman"/>
          <w:sz w:val="18"/>
          <w:szCs w:val="18"/>
          <w:color w:val="auto"/>
        </w:rPr>
        <w:t>.” Without limiting the generality of the foregoing, the First Amendment Effective Date Term Loans shall have terms, rights, remedies, privileges and protections identical to those applicable to the Effective Date Term Loans under this Agreement and each of the other Loan Documents.</w:t>
      </w:r>
    </w:p>
    <w:p>
      <w:pPr>
        <w:spacing w:after="0" w:line="81" w:lineRule="exact"/>
        <w:rPr>
          <w:sz w:val="20"/>
          <w:szCs w:val="20"/>
          <w:color w:val="auto"/>
        </w:rPr>
      </w:pPr>
    </w:p>
    <w:p>
      <w:pPr>
        <w:ind w:right="40" w:firstLine="952"/>
        <w:spacing w:after="0" w:line="254" w:lineRule="auto"/>
        <w:rPr>
          <w:sz w:val="20"/>
          <w:szCs w:val="20"/>
          <w:color w:val="auto"/>
        </w:rPr>
      </w:pPr>
      <w:r>
        <w:rPr>
          <w:rFonts w:ascii="Times New Roman" w:cs="Times New Roman" w:eastAsia="Times New Roman" w:hAnsi="Times New Roman"/>
          <w:sz w:val="18"/>
          <w:szCs w:val="18"/>
          <w:color w:val="auto"/>
        </w:rPr>
        <w:t xml:space="preserve">(iii)  Subject to the terms and conditions set forth herein and the Second Amendment, each Second Amendment Effective Date Term Lender agrees to make a Second Amendment Effective Date Term Loan to the Borrower on the Second Amendment Effective Date, in a principal amount not exceeding its Second Amendment Effective Date Term Loan Commitment in the amount set forth opposite such Second Amendment Effective Date Term Lender’s name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under the heading “Second Amendment Effective Date Term Loan Commitment.” Amounts borrowed under this </w:t>
      </w:r>
      <w:r>
        <w:rPr>
          <w:rFonts w:ascii="Times New Roman" w:cs="Times New Roman" w:eastAsia="Times New Roman" w:hAnsi="Times New Roman"/>
          <w:sz w:val="18"/>
          <w:szCs w:val="18"/>
          <w:u w:val="single" w:color="auto"/>
          <w:color w:val="auto"/>
        </w:rPr>
        <w:t>Section 2.01(a)(iii)</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u w:val="single" w:color="auto"/>
          <w:color w:val="auto"/>
        </w:rPr>
        <w:t>Second Amendment Effective Date Term Loans</w:t>
      </w:r>
      <w:r>
        <w:rPr>
          <w:rFonts w:ascii="Times New Roman" w:cs="Times New Roman" w:eastAsia="Times New Roman" w:hAnsi="Times New Roman"/>
          <w:sz w:val="18"/>
          <w:szCs w:val="18"/>
          <w:color w:val="auto"/>
        </w:rPr>
        <w:t>.” Without limiting the generality of the foregoing, the Second Amendment Effective Date Term Loans shall have, except as otherwise set forth herein, terms, rights, remedies, privileges and protections identical to those applicable to the Effective Date Term Loans and First Amendment Effective Date Term Loans under this Agreement and each of the other Loan Documents.</w:t>
      </w:r>
    </w:p>
    <w:p>
      <w:pPr>
        <w:spacing w:after="0" w:line="84" w:lineRule="exact"/>
        <w:rPr>
          <w:sz w:val="20"/>
          <w:szCs w:val="20"/>
          <w:color w:val="auto"/>
        </w:rPr>
      </w:pPr>
    </w:p>
    <w:p>
      <w:pPr>
        <w:ind w:right="140" w:firstLine="952"/>
        <w:spacing w:after="0" w:line="254" w:lineRule="auto"/>
        <w:rPr>
          <w:sz w:val="20"/>
          <w:szCs w:val="20"/>
          <w:color w:val="auto"/>
        </w:rPr>
      </w:pPr>
      <w:r>
        <w:rPr>
          <w:rFonts w:ascii="Times New Roman" w:cs="Times New Roman" w:eastAsia="Times New Roman" w:hAnsi="Times New Roman"/>
          <w:sz w:val="18"/>
          <w:szCs w:val="18"/>
          <w:color w:val="auto"/>
        </w:rPr>
        <w:t xml:space="preserve">(iv)  Subject to the terms and conditions set forth herein and the Third Amendment, each Third Amendment Effective Date Term Lender agrees to make a Third Amendment Effective Date Term Loan to the Borrower on the Third Amendment Effective Date, in a principal amount not exceeding its Third Amendment Effective Date Term Loan Commitment in the amount set forth opposite such Third Amendment Effective Date Term Lender’s name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under the heading “Third Amendment Effective Date Term Loan Commitment.” Amounts borrowed under this </w:t>
      </w:r>
      <w:r>
        <w:rPr>
          <w:rFonts w:ascii="Times New Roman" w:cs="Times New Roman" w:eastAsia="Times New Roman" w:hAnsi="Times New Roman"/>
          <w:sz w:val="18"/>
          <w:szCs w:val="18"/>
          <w:u w:val="single" w:color="auto"/>
          <w:color w:val="auto"/>
        </w:rPr>
        <w:t>Section 2.01(a)(iv)</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u w:val="single" w:color="auto"/>
          <w:color w:val="auto"/>
        </w:rPr>
        <w:t>Third Amendment Effective Date Term Loans</w:t>
      </w:r>
      <w:r>
        <w:rPr>
          <w:rFonts w:ascii="Times New Roman" w:cs="Times New Roman" w:eastAsia="Times New Roman" w:hAnsi="Times New Roman"/>
          <w:sz w:val="18"/>
          <w:szCs w:val="18"/>
          <w:color w:val="auto"/>
        </w:rPr>
        <w:t>.” Without limiting the generality of the foregoing, the Third Amendment Effective Date Term Loans shall have, except as otherwise set forth herein, terms, rights, remedies, privileges and protections identical to those applicable to the Effective Date Term Loans, First Amendment Effective Date Term Loans and the Second Amendment Effective Date Term Loans under this Agreement and each of the other Loan Documents.</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80"/>
          </w:cols>
          <w:pgMar w:left="880" w:top="270" w:right="439" w:bottom="1440" w:gutter="0" w:footer="0" w:header="0"/>
        </w:sectPr>
      </w:pPr>
    </w:p>
    <w:bookmarkStart w:id="229" w:name="page230"/>
    <w:bookmarkEnd w:id="229"/>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   Amounts repaid or prepaid in respect of the Term Loans may not be reborrowed.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firstLine="952"/>
        <w:spacing w:after="0" w:line="266" w:lineRule="auto"/>
        <w:rPr>
          <w:sz w:val="20"/>
          <w:szCs w:val="20"/>
          <w:color w:val="auto"/>
        </w:rPr>
      </w:pPr>
      <w:r>
        <w:rPr>
          <w:rFonts w:ascii="Times New Roman" w:cs="Times New Roman" w:eastAsia="Times New Roman" w:hAnsi="Times New Roman"/>
          <w:sz w:val="18"/>
          <w:szCs w:val="18"/>
          <w:color w:val="auto"/>
        </w:rPr>
        <w:t xml:space="preserve">(i)  Subject to the terms and conditions set forth herein and the Third Amendment, each Revolving Lender agrees to make revolving loans to the Borrower under a revolving credit facility (amounts borrowed under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in an amount at any one time outstanding (on an aggregate basis) not to exceed the lesser of:</w:t>
      </w:r>
    </w:p>
    <w:p>
      <w:pPr>
        <w:spacing w:after="0" w:line="6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(1)   an amount equal to such Revolving Lender’s Revolving Commitment, and</w:t>
      </w:r>
    </w:p>
    <w:p>
      <w:pPr>
        <w:spacing w:after="0" w:line="117" w:lineRule="exact"/>
        <w:rPr>
          <w:sz w:val="20"/>
          <w:szCs w:val="20"/>
          <w:color w:val="auto"/>
        </w:rPr>
      </w:pPr>
    </w:p>
    <w:p>
      <w:pPr>
        <w:ind w:left="980" w:right="100" w:firstLine="902"/>
        <w:spacing w:after="0" w:line="282" w:lineRule="auto"/>
        <w:rPr>
          <w:sz w:val="20"/>
          <w:szCs w:val="20"/>
          <w:color w:val="auto"/>
        </w:rPr>
      </w:pPr>
      <w:r>
        <w:rPr>
          <w:rFonts w:ascii="Times New Roman" w:cs="Times New Roman" w:eastAsia="Times New Roman" w:hAnsi="Times New Roman"/>
          <w:sz w:val="18"/>
          <w:szCs w:val="18"/>
          <w:color w:val="auto"/>
        </w:rPr>
        <w:t>(2)  such Revolving Lender’s pro rata share of such Revolving Lender’s Revolving Commitments and Revolving Loans pro rata share of an amount equal to the lesser of:</w:t>
      </w:r>
    </w:p>
    <w:p>
      <w:pPr>
        <w:spacing w:after="0" w:line="5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   the amount equal to the Maximum Revolving Commitment Amount, and</w:t>
      </w:r>
    </w:p>
    <w:p>
      <w:pPr>
        <w:spacing w:after="0" w:line="117" w:lineRule="exact"/>
        <w:rPr>
          <w:sz w:val="20"/>
          <w:szCs w:val="20"/>
          <w:color w:val="auto"/>
        </w:rPr>
      </w:pPr>
    </w:p>
    <w:p>
      <w:pPr>
        <w:jc w:val="both"/>
        <w:ind w:left="1420" w:right="160" w:firstLine="863"/>
        <w:spacing w:after="0" w:line="266" w:lineRule="auto"/>
        <w:rPr>
          <w:sz w:val="20"/>
          <w:szCs w:val="20"/>
          <w:color w:val="auto"/>
        </w:rPr>
      </w:pPr>
      <w:r>
        <w:rPr>
          <w:rFonts w:ascii="Times New Roman" w:cs="Times New Roman" w:eastAsia="Times New Roman" w:hAnsi="Times New Roman"/>
          <w:sz w:val="18"/>
          <w:szCs w:val="18"/>
          <w:color w:val="auto"/>
        </w:rPr>
        <w:t>(B)  the amount equal to the Borrowing Base as of such date (based upon the most recent Borrowing Base Certificate delivered by the Borrower to the Revolving Agent, as adjusted by the Revolving Agent for Reserves established by the Revolving Agent from time to time in accordance with the terms of this Agreement).</w:t>
      </w:r>
    </w:p>
    <w:p>
      <w:pPr>
        <w:spacing w:after="0" w:line="68" w:lineRule="exact"/>
        <w:rPr>
          <w:sz w:val="20"/>
          <w:szCs w:val="20"/>
          <w:color w:val="auto"/>
        </w:rPr>
      </w:pPr>
    </w:p>
    <w:p>
      <w:pPr>
        <w:jc w:val="both"/>
        <w:ind w:left="440" w:right="180" w:firstLine="952"/>
        <w:spacing w:after="0" w:line="261" w:lineRule="auto"/>
        <w:rPr>
          <w:sz w:val="20"/>
          <w:szCs w:val="20"/>
          <w:color w:val="auto"/>
        </w:rPr>
      </w:pPr>
      <w:r>
        <w:rPr>
          <w:rFonts w:ascii="Times New Roman" w:cs="Times New Roman" w:eastAsia="Times New Roman" w:hAnsi="Times New Roman"/>
          <w:sz w:val="18"/>
          <w:szCs w:val="18"/>
          <w:color w:val="auto"/>
        </w:rPr>
        <w:t xml:space="preserve">(ii)  Each of the Revolving Loans made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are declared due and payable pursuant to the terms of this Agreement.</w:t>
      </w:r>
    </w:p>
    <w:p>
      <w:pPr>
        <w:spacing w:after="0" w:line="72" w:lineRule="exact"/>
        <w:rPr>
          <w:sz w:val="20"/>
          <w:szCs w:val="20"/>
          <w:color w:val="auto"/>
        </w:rPr>
      </w:pPr>
    </w:p>
    <w:p>
      <w:pPr>
        <w:ind w:left="440" w:right="40" w:firstLine="952"/>
        <w:spacing w:after="0" w:line="256" w:lineRule="auto"/>
        <w:rPr>
          <w:sz w:val="20"/>
          <w:szCs w:val="20"/>
          <w:color w:val="auto"/>
        </w:rPr>
      </w:pPr>
      <w:r>
        <w:rPr>
          <w:rFonts w:ascii="Times New Roman" w:cs="Times New Roman" w:eastAsia="Times New Roman" w:hAnsi="Times New Roman"/>
          <w:sz w:val="18"/>
          <w:szCs w:val="18"/>
          <w:color w:val="auto"/>
        </w:rPr>
        <w:t xml:space="preserve">(iii)  Notwithstanding anything to the contrary in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without limiting any other rights and remedies of the Revolving Agent hereunder or under the other Loan Documents, the Revolving Loans shall be subject to the Revolving Agent’s continuing right in accordance with this Agreement to withhold Reserves from the Borrowing Base, and to increase and decrease such Reserves from time to time, if and to the extent that in the Revolving Agent’s Permitted Discretion, such Reserves are necessary. In the event that the Revolving Agent determines in its Permitted Discretion that it is necessary to withhold Reserves from the Borrowing Base and/or to increase or decrease such Reserves in accordance with this </w:t>
      </w:r>
      <w:r>
        <w:rPr>
          <w:rFonts w:ascii="Times New Roman" w:cs="Times New Roman" w:eastAsia="Times New Roman" w:hAnsi="Times New Roman"/>
          <w:sz w:val="18"/>
          <w:szCs w:val="18"/>
          <w:u w:val="single" w:color="auto"/>
          <w:color w:val="auto"/>
        </w:rPr>
        <w:t>Section 2.01(b)(iii)</w:t>
      </w:r>
      <w:r>
        <w:rPr>
          <w:rFonts w:ascii="Times New Roman" w:cs="Times New Roman" w:eastAsia="Times New Roman" w:hAnsi="Times New Roman"/>
          <w:sz w:val="18"/>
          <w:szCs w:val="18"/>
          <w:color w:val="auto"/>
        </w:rPr>
        <w:t>, the Revolving Agent shall provide written notice of such determination to the Borrower.</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Each Term Loan shall be made as part of a Borrowing consisting of Term Loans of the same Type made by the applicable Term Lenders ratably in accordance with their respective Term Loan Commitments. The failure of any Term Lender to make its Term Loan required to be made by it shall not relieve any other Term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Loan Commitments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230" w:name="page231"/>
    <w:bookmarkEnd w:id="230"/>
    <w:p>
      <w:pPr>
        <w:ind w:left="4"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Term Lenders are several and no Term Lender shall be responsible for any other Term Lender’s failure to make Term Loans as required. Each Revolving Loan shall be made as part of a Borrowing consisting of Revolving Loans of the same Type made by the applicable Revolving Lenders ratably in accordance with their respective Revolving Commitments. The failure of any Revolving Lender to make its Revolving Loan required to be made by it shall not relieve any other Revolving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Revolving Commitments of the Lenders are several and no Revolving Lender shall be responsible for any other Revolving Lender’s failure to make Revolving Loans as required.</w:t>
      </w:r>
    </w:p>
    <w:p>
      <w:pPr>
        <w:spacing w:after="0" w:line="183"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each Term Loan Borrowing and each Revolving Loan Borrowing shall be comprised entirely of Base Rate Loans or SOFR Loans as the Borrower may request in accordance herewith.</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   At the commencement of each Interest Period for any SOFR Borrowing, such Borrowing shall be in an aggregate amount not less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than $200,000. At the time that each Base Rate Borrowing is made, such Borrowing shall be in an aggregate amount that is an integral multiple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$50,000 and not less than $250,000. Borrowings of more than one Type may be outstanding at the same time. There shall not at any time be more than a</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total of five (5) SOFR Borrowings outstanding.</w:t>
      </w:r>
    </w:p>
    <w:p>
      <w:pPr>
        <w:spacing w:after="0" w:line="207"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(d)  Notwithstanding any other provision of this Agreement, the Borrower shall not be entitled to request, or to elect to convert or continue, any Term Loan Borrowing or Revolving Loan Borrowing, as applicable, if the Interest Period requested with respect thereto would end after the applicable Term Loan Maturity Date or the Revolving Loan Maturity Date, as applicable.</w:t>
      </w:r>
    </w:p>
    <w:p>
      <w:pPr>
        <w:spacing w:after="0" w:line="176" w:lineRule="exact"/>
        <w:rPr>
          <w:sz w:val="20"/>
          <w:szCs w:val="20"/>
          <w:color w:val="auto"/>
        </w:rPr>
      </w:pPr>
    </w:p>
    <w:p>
      <w:pPr>
        <w:ind w:left="4" w:right="2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Requests for Borrowings of Term Loans</w:t>
      </w:r>
      <w:r>
        <w:rPr>
          <w:rFonts w:ascii="Times New Roman" w:cs="Times New Roman" w:eastAsia="Times New Roman" w:hAnsi="Times New Roman"/>
          <w:sz w:val="17"/>
          <w:szCs w:val="17"/>
          <w:color w:val="auto"/>
        </w:rPr>
        <w:t>. Each Borrowing of a Term Loan shall be made pursuant to a Borrowing Request delivered to Administrative Agent with respect to any proposed Borrowing of Term Loans on the Effective Date, First Amendment Effective Date, Second Amendment Effective Date or the Third Amendment Effective Date, as applicable, not later than 1:00 p.m., New York City time, at least two</w:t>
      </w:r>
    </w:p>
    <w:p>
      <w:pPr>
        <w:spacing w:after="0" w:line="2" w:lineRule="exact"/>
        <w:rPr>
          <w:sz w:val="20"/>
          <w:szCs w:val="20"/>
          <w:color w:val="auto"/>
        </w:rPr>
      </w:pPr>
    </w:p>
    <w:p>
      <w:pPr>
        <w:ind w:left="4" w:right="620" w:hanging="4"/>
        <w:spacing w:after="0" w:line="260" w:lineRule="auto"/>
        <w:tabs>
          <w:tab w:leader="none" w:pos="25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before the date of the proposed Borrowing. Such written Borrowing Request shall be signed by the Borrower and specify the following information in compliance with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the aggregate amount of such Term Loan Borrowing;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   the Funding Date for such Term Loan Borrowing, which shall be a Business Day;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   whether such Term Loan Borrowing is to be a Base Rate Borrowing or a SOFR Borrowing; and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(d)   the location and number of the Borrower’s account to which funds are to be disbursed, which shall comply with the requirements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 xml:space="preserve">If no election as to the Type of Term Loan Borrowing is specified, then the requested Term Loan Borrowing shall be a SOFR Borrowing. Promptly following receipt of a Borrowing Request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 Administrative Agent shall advise each Term Lender of the details thereof and of the amount of such Term Lender’s Term Loan to be made as part of the requested Term Loan Borrowing.</w:t>
      </w:r>
    </w:p>
    <w:p>
      <w:pPr>
        <w:spacing w:after="0" w:line="2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Requests for Borrowings of Revolving Loans; Settlements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Requests for Borrowings of Revolving Loans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4"/>
          </w:cols>
          <w:pgMar w:left="436" w:top="270" w:right="499" w:bottom="1440" w:gutter="0" w:footer="0" w:header="0"/>
        </w:sectPr>
      </w:pPr>
    </w:p>
    <w:bookmarkStart w:id="231" w:name="page232"/>
    <w:bookmarkEnd w:id="231"/>
    <w:p>
      <w:pPr>
        <w:ind w:firstLine="95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Each Borrowing of a Revolving Loan shall be made pursuant to a Borrowing Request delivered to the Revolving Agent (w) with respect to any proposed Borrowing of Revolving Loans on the Third Amendment Effective Date, prior to 1:00 p.m., New York City time, at least one (1) Business Day prior to each Borrowing of Revolving Loans, (w) with respect to any proposed Borrowing of Revolving Loans after the Third Amendment Effective Date, (x) prior to 1:00 p.m., New York City time, at least three (3) Business Days prior to each Borrowing of Revolving Loans which are to be SOFR Loans, (y) prior to 12:00 noon, New York City time, at least one (1) Business Day prior to the date of each Borrowing of Revolving Loans which are to be Base Rate Loans and (z) with respect to any Swingline Advance, no later than 11:00 a.m. on the proposed Funding Date thereof. Such written Borrowing Request shall be signed by the Borrower and specify the following information in compliance with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   the aggregate amount of such Revolving Loan Borrowing;</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   the Funding Date for such Revolving Loan Borrowing, which shall be a Business Day;</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   whether such Revolving Loan Borrowing is to be a Base Rate Borrowing or a SOFR Borrowing; and</w:t>
      </w:r>
    </w:p>
    <w:p>
      <w:pPr>
        <w:spacing w:after="0" w:line="117" w:lineRule="exact"/>
        <w:rPr>
          <w:sz w:val="20"/>
          <w:szCs w:val="20"/>
          <w:color w:val="auto"/>
        </w:rPr>
      </w:pPr>
    </w:p>
    <w:p>
      <w:pPr>
        <w:ind w:left="540" w:right="420" w:firstLine="902"/>
        <w:spacing w:after="0" w:line="282" w:lineRule="auto"/>
        <w:rPr>
          <w:sz w:val="20"/>
          <w:szCs w:val="20"/>
          <w:color w:val="auto"/>
        </w:rPr>
      </w:pPr>
      <w:r>
        <w:rPr>
          <w:rFonts w:ascii="Times New Roman" w:cs="Times New Roman" w:eastAsia="Times New Roman" w:hAnsi="Times New Roman"/>
          <w:sz w:val="18"/>
          <w:szCs w:val="18"/>
          <w:color w:val="auto"/>
        </w:rPr>
        <w:t xml:space="preserve">(4)  the location and number of the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If no election as to the Type of Revolving Loan Borrowing is specified, then the requested Revolving Loan Borrowing shall be a SOFR Borrowing. Promptly following receipt of a Borrowing Request in accordance with this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the Revolving Agent shall advise each Revolving Lender of the details thereof and of the amount of such Lender’s Loan to be made as part of the requested Revolving Loan Borrowing. In addition, with respect to each request for a Borrowing of Revolving Loans that are Base Rate Loans pursuant to this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each Revolving Lender agrees that Revolving Agent may in Revolving Agent’s sole discretion, but Revolving Agent shall not be obligated to, make such requested Revolving Loan Borrowing to the Borrower on behalf of the Revolving Lenders as a Swingline Advance.</w:t>
      </w:r>
    </w:p>
    <w:p>
      <w:pPr>
        <w:spacing w:after="0" w:line="79" w:lineRule="exact"/>
        <w:rPr>
          <w:sz w:val="20"/>
          <w:szCs w:val="20"/>
          <w:color w:val="auto"/>
        </w:rPr>
      </w:pPr>
    </w:p>
    <w:p>
      <w:pPr>
        <w:ind w:right="20" w:firstLine="952"/>
        <w:spacing w:after="0" w:line="253" w:lineRule="auto"/>
        <w:rPr>
          <w:sz w:val="20"/>
          <w:szCs w:val="20"/>
          <w:color w:val="auto"/>
        </w:rPr>
      </w:pPr>
      <w:r>
        <w:rPr>
          <w:rFonts w:ascii="Times New Roman" w:cs="Times New Roman" w:eastAsia="Times New Roman" w:hAnsi="Times New Roman"/>
          <w:sz w:val="18"/>
          <w:szCs w:val="18"/>
          <w:color w:val="auto"/>
        </w:rPr>
        <w:t>(ii)  Each Revolving Lender shall make available all amounts it is to fund to the Borrower, under any Borrowing of Revolving Loans, in immediately available funds to the Revolving Agent, and the Revolving Agent will make available to the Borrower, the aggregate of the amounts so made available in dollars. Unless the Revolving Agent shall have been notified in writing by any Revolving Lender prior to the date of any Borrowing of Revolving Loans that such Revolving Lender does not intend to make available to the Revolving Agent its portion of the Borrowing or Borrowings to be made on such date, the Revolving Agent may assume that such Revolving Lender has made such amount available to the Revolving Agent on such date of Borrowing, and the Revolving Agent, in reliance upon such assumption, may (in its sole discretion and without any obligation to do so) make available to the Borrower a corresponding amount. If such corresponding amount is not in fact made available to the Revolving Agent by such Revolving Lender and the Revolving Agent has made available the same to the Borrower, the Revolving Agent shall be entitled to recover such corresponding amount from such Revolving Lender. If such Revolving Lender does not pay such corresponding amount forthwith upon the Revolving Agent’s demand therefor, the Revolving Agent shall promptly notify the Borrower shall promptly pay such corresponding amount to the Revolving Agent. The Revolving Agent shall also be entitled to</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80"/>
          </w:cols>
          <w:pgMar w:left="880" w:top="270" w:right="439" w:bottom="1440" w:gutter="0" w:footer="0" w:header="0"/>
        </w:sectPr>
      </w:pPr>
    </w:p>
    <w:bookmarkStart w:id="232" w:name="page233"/>
    <w:bookmarkEnd w:id="23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recover from such Revolving Lender or the Borrower, as the case may be, interest on such corresponding amount in respect of each day from the date such corresponding amount was made available by the Revolving Agent to any Borrower, to the date such corresponding amount is recovered by the Revolving Agent, at a rate per annum equal to (i) if paid by such Lender, the Federal Funds Rate or (ii) if paid by any Borrower, the then-applicable rate of interest, calculated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applicable to Base Rate Loans. If such Borrower and such Revolving Lender shall pay interest to the Revolving Agent for the same (or a portion of the same) period, the Revolving Agent shall promptly remit to the Borrower the amount of such interest paid by such Borrower for such period.</w:t>
      </w:r>
    </w:p>
    <w:p>
      <w:pPr>
        <w:spacing w:after="0" w:line="79" w:lineRule="exact"/>
        <w:rPr>
          <w:sz w:val="20"/>
          <w:szCs w:val="20"/>
          <w:color w:val="auto"/>
        </w:rPr>
      </w:pPr>
    </w:p>
    <w:p>
      <w:pPr>
        <w:ind w:right="20" w:firstLine="952"/>
        <w:spacing w:after="0" w:line="266" w:lineRule="auto"/>
        <w:rPr>
          <w:sz w:val="20"/>
          <w:szCs w:val="20"/>
          <w:color w:val="auto"/>
        </w:rPr>
      </w:pPr>
      <w:r>
        <w:rPr>
          <w:rFonts w:ascii="Times New Roman" w:cs="Times New Roman" w:eastAsia="Times New Roman" w:hAnsi="Times New Roman"/>
          <w:sz w:val="18"/>
          <w:szCs w:val="18"/>
          <w:color w:val="auto"/>
        </w:rPr>
        <w:t xml:space="preserve">(iii)  Nothing in this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68" w:lineRule="exact"/>
        <w:rPr>
          <w:sz w:val="20"/>
          <w:szCs w:val="20"/>
          <w:color w:val="auto"/>
        </w:rPr>
      </w:pPr>
    </w:p>
    <w:p>
      <w:pPr>
        <w:ind w:right="100" w:firstLine="952"/>
        <w:spacing w:after="0" w:line="256" w:lineRule="auto"/>
        <w:rPr>
          <w:sz w:val="20"/>
          <w:szCs w:val="20"/>
          <w:color w:val="auto"/>
        </w:rPr>
      </w:pPr>
      <w:r>
        <w:rPr>
          <w:rFonts w:ascii="Times New Roman" w:cs="Times New Roman" w:eastAsia="Times New Roman" w:hAnsi="Times New Roman"/>
          <w:sz w:val="18"/>
          <w:szCs w:val="18"/>
          <w:color w:val="auto"/>
        </w:rPr>
        <w:t xml:space="preserve">(iv)  Subject to and upon the terms and conditions herein set forth, the Revolving Agent agrees to make Swingline Advances to the Borrower under the Revolving Commitment in an amount at any one time outstanding (on an aggregate basis) not to exceed the Swingline Loan Limit. Each of the Swingline Advances made pursuant to this </w:t>
      </w:r>
      <w:r>
        <w:rPr>
          <w:rFonts w:ascii="Times New Roman" w:cs="Times New Roman" w:eastAsia="Times New Roman" w:hAnsi="Times New Roman"/>
          <w:sz w:val="18"/>
          <w:szCs w:val="18"/>
          <w:u w:val="single" w:color="auto"/>
          <w:color w:val="auto"/>
        </w:rPr>
        <w:t>Section 2.04(a)(iv)</w:t>
      </w:r>
      <w:r>
        <w:rPr>
          <w:rFonts w:ascii="Times New Roman" w:cs="Times New Roman" w:eastAsia="Times New Roman" w:hAnsi="Times New Roman"/>
          <w:sz w:val="18"/>
          <w:szCs w:val="18"/>
          <w:color w:val="auto"/>
        </w:rPr>
        <w:t xml:space="preserve"> may be repaid and, subject to the terms and conditions of this Agreement, reborrowed at any time during the term of this Agreement. The outstanding principal amount of Swingline Advances, together with interest accrued and unpaid thereon, shall constitute Obligations and shall be due and payable on the Maturity Date or, if earlier, on the date on which they are declared due and payable pursuant to the terms of this Agreement.</w:t>
      </w:r>
    </w:p>
    <w:p>
      <w:pPr>
        <w:spacing w:after="0" w:line="79" w:lineRule="exact"/>
        <w:rPr>
          <w:sz w:val="20"/>
          <w:szCs w:val="20"/>
          <w:color w:val="auto"/>
        </w:rPr>
      </w:pPr>
    </w:p>
    <w:p>
      <w:pPr>
        <w:ind w:right="80" w:firstLine="952"/>
        <w:spacing w:after="0" w:line="254" w:lineRule="auto"/>
        <w:rPr>
          <w:sz w:val="20"/>
          <w:szCs w:val="20"/>
          <w:color w:val="auto"/>
        </w:rPr>
      </w:pPr>
      <w:r>
        <w:rPr>
          <w:rFonts w:ascii="Times New Roman" w:cs="Times New Roman" w:eastAsia="Times New Roman" w:hAnsi="Times New Roman"/>
          <w:sz w:val="18"/>
          <w:szCs w:val="18"/>
          <w:color w:val="auto"/>
        </w:rPr>
        <w:t xml:space="preserve">(v)  After receipt of a request for a Swingline Advance pursuant to </w:t>
      </w:r>
      <w:r>
        <w:rPr>
          <w:rFonts w:ascii="Times New Roman" w:cs="Times New Roman" w:eastAsia="Times New Roman" w:hAnsi="Times New Roman"/>
          <w:sz w:val="18"/>
          <w:szCs w:val="18"/>
          <w:u w:val="single" w:color="auto"/>
          <w:color w:val="auto"/>
        </w:rPr>
        <w:t>Section 2.04(a)(i)</w:t>
      </w:r>
      <w:r>
        <w:rPr>
          <w:rFonts w:ascii="Times New Roman" w:cs="Times New Roman" w:eastAsia="Times New Roman" w:hAnsi="Times New Roman"/>
          <w:sz w:val="18"/>
          <w:szCs w:val="18"/>
          <w:color w:val="auto"/>
        </w:rPr>
        <w:t>, the Revolving Agent shall advance the amount of the requested Borrowing to a Borrower disproportionately (a “</w:t>
      </w:r>
      <w:r>
        <w:rPr>
          <w:rFonts w:ascii="Times New Roman" w:cs="Times New Roman" w:eastAsia="Times New Roman" w:hAnsi="Times New Roman"/>
          <w:sz w:val="18"/>
          <w:szCs w:val="18"/>
          <w:u w:val="single" w:color="auto"/>
          <w:color w:val="auto"/>
        </w:rPr>
        <w:t>Swingline Advance</w:t>
      </w:r>
      <w:r>
        <w:rPr>
          <w:rFonts w:ascii="Times New Roman" w:cs="Times New Roman" w:eastAsia="Times New Roman" w:hAnsi="Times New Roman"/>
          <w:sz w:val="18"/>
          <w:szCs w:val="18"/>
          <w:color w:val="auto"/>
        </w:rPr>
        <w:t xml:space="preserve">”) out of the Revolving Agent’s own funds on behalf of the Revolving Lenders in an aggregate amount not to exceed the Swingline Loan Limit, which advance shall be (i) on the Funding Date specified in the relevant Borrowing Request and (ii) a Base Rate Loan. The Revolving Agent shall make the proceeds of Swingline Advances available to a Borrower on the applicable Funding Date by transferring immediately available funds equal to such proceeds to the Designated Account. All Swingline Advances made under this </w:t>
      </w:r>
      <w:r>
        <w:rPr>
          <w:rFonts w:ascii="Times New Roman" w:cs="Times New Roman" w:eastAsia="Times New Roman" w:hAnsi="Times New Roman"/>
          <w:sz w:val="18"/>
          <w:szCs w:val="18"/>
          <w:u w:val="single" w:color="auto"/>
          <w:color w:val="auto"/>
        </w:rPr>
        <w:t>Section 2.04(a)(v)</w:t>
      </w:r>
      <w:r>
        <w:rPr>
          <w:rFonts w:ascii="Times New Roman" w:cs="Times New Roman" w:eastAsia="Times New Roman" w:hAnsi="Times New Roman"/>
          <w:sz w:val="18"/>
          <w:szCs w:val="18"/>
          <w:color w:val="auto"/>
        </w:rPr>
        <w:t xml:space="preserve"> shall be subject to Settlement in accordance with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below; it being understood that all payments on any such Swingline Advances shall be payable solely to the Revolving Agent solely for its own account until Settlement thereof shall have occurred. For the avoidance of doubt, all Swingline Advances constitute Loans hereunder.</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Protective Advances and Optional Overadvances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52"/>
        <w:spacing w:after="0" w:line="256" w:lineRule="auto"/>
        <w:rPr>
          <w:sz w:val="20"/>
          <w:szCs w:val="20"/>
          <w:color w:val="auto"/>
        </w:rPr>
      </w:pPr>
      <w:r>
        <w:rPr>
          <w:rFonts w:ascii="Times New Roman" w:cs="Times New Roman" w:eastAsia="Times New Roman" w:hAnsi="Times New Roman"/>
          <w:sz w:val="18"/>
          <w:szCs w:val="18"/>
          <w:color w:val="auto"/>
        </w:rPr>
        <w:t xml:space="preserve">(i)  Any contrary provision of this Agreement or any other Loan Document notwithstanding, but subject to </w:t>
      </w:r>
      <w:r>
        <w:rPr>
          <w:rFonts w:ascii="Times New Roman" w:cs="Times New Roman" w:eastAsia="Times New Roman" w:hAnsi="Times New Roman"/>
          <w:sz w:val="18"/>
          <w:szCs w:val="18"/>
          <w:u w:val="single" w:color="auto"/>
          <w:color w:val="auto"/>
        </w:rPr>
        <w:t>Section 2.04(c)(iv)</w:t>
      </w:r>
      <w:r>
        <w:rPr>
          <w:rFonts w:ascii="Times New Roman" w:cs="Times New Roman" w:eastAsia="Times New Roman" w:hAnsi="Times New Roman"/>
          <w:sz w:val="18"/>
          <w:szCs w:val="18"/>
          <w:color w:val="auto"/>
        </w:rPr>
        <w:t xml:space="preserve">, at any time the Revolving Agent hereby is authorized by the Borrower and the Revolving Lenders, from time to time, in the Revolving Agent’s sole discretion, to make Revolving Loans to, or for the benefit of, the Borrower, on behalf of the Revolving Lenders, that the Revolving Agent, in its Permitted Discretion, deems necessary or desirable (1) to preserve or protect the Collateral, or any portion thereof, (2) to enhance the likelihood of repayment of the Obligations or (3) to pay any other amount chargeable to any Loan Party hereunder (the Revolving Loans described in </w:t>
      </w:r>
      <w:r>
        <w:rPr>
          <w:rFonts w:ascii="Times New Roman" w:cs="Times New Roman" w:eastAsia="Times New Roman" w:hAnsi="Times New Roman"/>
          <w:sz w:val="18"/>
          <w:szCs w:val="18"/>
          <w:u w:val="single" w:color="auto"/>
          <w:color w:val="auto"/>
        </w:rPr>
        <w:t>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2.04(b)(i)</w:t>
      </w:r>
      <w:r>
        <w:rPr>
          <w:rFonts w:ascii="Times New Roman" w:cs="Times New Roman" w:eastAsia="Times New Roman" w:hAnsi="Times New Roman"/>
          <w:sz w:val="18"/>
          <w:szCs w:val="18"/>
          <w:color w:val="auto"/>
        </w:rPr>
        <w:t xml:space="preserve"> shall be referred to as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60"/>
          </w:cols>
          <w:pgMar w:left="880" w:top="270" w:right="459" w:bottom="1440" w:gutter="0" w:footer="0" w:header="0"/>
        </w:sectPr>
      </w:pPr>
    </w:p>
    <w:bookmarkStart w:id="233" w:name="page234"/>
    <w:bookmarkEnd w:id="233"/>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Notwithstanding the foregoing, no Protective Advance shall be made which would cause (A) the aggregate amount of all Protective Advances outstanding at any one time to exceed 10% of the Maximum Revolving Commitment Amount unless the Required Revolving Lenders otherwise agree or (B) the aggregate amount of Revolver Usage outstanding at any one time to exceed the Maximum Revolving Commitment Amount.</w:t>
      </w:r>
    </w:p>
    <w:p>
      <w:pPr>
        <w:spacing w:after="0" w:line="72" w:lineRule="exact"/>
        <w:rPr>
          <w:sz w:val="20"/>
          <w:szCs w:val="20"/>
          <w:color w:val="auto"/>
        </w:rPr>
      </w:pPr>
    </w:p>
    <w:p>
      <w:pPr>
        <w:ind w:left="4" w:right="20" w:firstLine="952"/>
        <w:spacing w:after="0" w:line="267" w:lineRule="auto"/>
        <w:rPr>
          <w:sz w:val="20"/>
          <w:szCs w:val="20"/>
          <w:color w:val="auto"/>
        </w:rPr>
      </w:pPr>
      <w:r>
        <w:rPr>
          <w:rFonts w:ascii="Times New Roman" w:cs="Times New Roman" w:eastAsia="Times New Roman" w:hAnsi="Times New Roman"/>
          <w:sz w:val="17"/>
          <w:szCs w:val="17"/>
          <w:color w:val="auto"/>
        </w:rPr>
        <w:t xml:space="preserve">(ii)  Any contrary provision of this Agreement or any other Loan Document notwithstanding, but subject to </w:t>
      </w:r>
      <w:r>
        <w:rPr>
          <w:rFonts w:ascii="Times New Roman" w:cs="Times New Roman" w:eastAsia="Times New Roman" w:hAnsi="Times New Roman"/>
          <w:sz w:val="17"/>
          <w:szCs w:val="17"/>
          <w:u w:val="single" w:color="auto"/>
          <w:color w:val="auto"/>
        </w:rPr>
        <w:t>Section 2.04(b)(ii)</w:t>
      </w:r>
      <w:r>
        <w:rPr>
          <w:rFonts w:ascii="Times New Roman" w:cs="Times New Roman" w:eastAsia="Times New Roman" w:hAnsi="Times New Roman"/>
          <w:sz w:val="17"/>
          <w:szCs w:val="17"/>
          <w:color w:val="auto"/>
        </w:rPr>
        <w:t>, the Revolving Lenders hereby authorize Revolving Agent, and Revolving Agent may, but is not obligated to, knowingly and intentionally, continue to make Revolving Loans to the Borrower notwithstanding that an Overadvance exists or would be created thereby, so long as (A) after giving effect to such Revolving Loans, the outstanding Revolver Usage does not exceed the Borrowing Base by more than 10% of the Maximum Revolving Commitment Amount (unless Required Revolving Lenders agree to a higher amount), and (B) after giving effect to such Revolving Loans, the outstanding Revolver Usage does not exceed the Maximum Revolving Commitment Amount. In the event the Revolving Agent obtains actual knowledge that an Overadvance exists, regardless of the amount of, or reason for, such excess, the Revolving Agent shall notify the Revolving Lenders as soon as practicable and the Revolving Lenders with Revolving Commitments thereupon shall, together with the Revolving Agent, jointly determine the terms of arrangements that shall be implemented with the Borrower intended to eliminate the Overadvance within thirty</w:t>
      </w:r>
    </w:p>
    <w:p>
      <w:pPr>
        <w:spacing w:after="0" w:line="5" w:lineRule="exact"/>
        <w:rPr>
          <w:sz w:val="20"/>
          <w:szCs w:val="20"/>
          <w:color w:val="auto"/>
        </w:rPr>
      </w:pPr>
    </w:p>
    <w:p>
      <w:pPr>
        <w:ind w:left="4" w:hanging="4"/>
        <w:spacing w:after="0" w:line="251" w:lineRule="auto"/>
        <w:tabs>
          <w:tab w:leader="none" w:pos="34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In such circumstances, if any Revolving Lender with a Revolving Commitment objects to the proposed terms of reduction or repayment of any Overadvance, the terms of reduction or repayment thereof shall be implemented according to the determination of the Required Revolving Lenders. The foregoing provisions are meant for the benefit of the Revolving Lenders and the Revolving Agent and are not meant for the benefit of the Borrower, which shall continue to be bound by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Each Revolving Lender with a Revolving Commitment shall be obligated to make Revolving Loans in accordance with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in, or settle Overadvances made by the Revolving Agent with Revolving Agent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as applicable), for the amount of such Revolving Lender’s pro rata share of any unintentional Overadvances by Revolving Agent reported to such Revolving Lender, any intentional Overadvances made as permitted under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4" w:right="80" w:firstLine="952"/>
        <w:spacing w:after="0" w:line="256" w:lineRule="auto"/>
        <w:rPr>
          <w:sz w:val="20"/>
          <w:szCs w:val="20"/>
          <w:color w:val="auto"/>
        </w:rPr>
      </w:pPr>
      <w:r>
        <w:rPr>
          <w:rFonts w:ascii="Times New Roman" w:cs="Times New Roman" w:eastAsia="Times New Roman" w:hAnsi="Times New Roman"/>
          <w:sz w:val="18"/>
          <w:szCs w:val="18"/>
          <w:color w:val="auto"/>
        </w:rPr>
        <w:t>(iii)  Each Protective Advance and each Overadvance (each, an “</w:t>
      </w:r>
      <w:r>
        <w:rPr>
          <w:rFonts w:ascii="Times New Roman" w:cs="Times New Roman" w:eastAsia="Times New Roman" w:hAnsi="Times New Roman"/>
          <w:sz w:val="18"/>
          <w:szCs w:val="18"/>
          <w:u w:val="single" w:color="auto"/>
          <w:color w:val="auto"/>
        </w:rPr>
        <w:t>Extraordinary Advance</w:t>
      </w:r>
      <w:r>
        <w:rPr>
          <w:rFonts w:ascii="Times New Roman" w:cs="Times New Roman" w:eastAsia="Times New Roman" w:hAnsi="Times New Roman"/>
          <w:sz w:val="18"/>
          <w:szCs w:val="18"/>
          <w:color w:val="auto"/>
        </w:rPr>
        <w:t xml:space="preserve">”) shall be deemed to be a Revolving Loan hereunder. Prior to Settlement with respect to Extraordinary Advances, all payments on the Extraordinary Advances made by Revolving Agent, including interest thereon, shall be payable to Revolving Agent solely for its own account. The Extraordinary Advances shall be repayable on demand, secured by Revolving Agent’s Liens, constitute Obligations hereunder, and bear interest at the rate applicable from time to time to Revolving Loans. The provisions of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are for the exclusive benefit of Revolving Agent and the Revolving Lenders and are not intended to benefit any Borrower (or any other Loan Party) in any way.</w:t>
      </w:r>
    </w:p>
    <w:p>
      <w:pPr>
        <w:spacing w:after="0" w:line="79" w:lineRule="exact"/>
        <w:rPr>
          <w:sz w:val="20"/>
          <w:szCs w:val="20"/>
          <w:color w:val="auto"/>
        </w:rPr>
      </w:pPr>
    </w:p>
    <w:p>
      <w:pPr>
        <w:ind w:left="4" w:right="20" w:firstLine="952"/>
        <w:spacing w:after="0" w:line="256" w:lineRule="auto"/>
        <w:rPr>
          <w:sz w:val="20"/>
          <w:szCs w:val="20"/>
          <w:color w:val="auto"/>
        </w:rPr>
      </w:pPr>
      <w:r>
        <w:rPr>
          <w:rFonts w:ascii="Times New Roman" w:cs="Times New Roman" w:eastAsia="Times New Roman" w:hAnsi="Times New Roman"/>
          <w:sz w:val="18"/>
          <w:szCs w:val="18"/>
          <w:color w:val="auto"/>
        </w:rPr>
        <w:t xml:space="preserve">(iv)  Notwithstanding anything contained in this Agreement or any other Loan Document to the contrary: (A) no Extraordinary Advance may be made by Revolving Agent if such Extraordinary Advance would cause the aggregate principal amount of Extraordinary Advances outstanding to exceed an amount equal to 10% of the Maximum Revolving Commitment Amount; and (B) to the extent that the making of any Extraordinary Advance causes the aggregate Revolver Usage to exceed the Maximum Revolving Commitment Amount, such portion of such Extraordinary Advance shall be for Revolving Agent’s sole and separate account and not for the account of any Revolving Lender and shall be entitled to priority in repayment in accordance with </w:t>
      </w:r>
      <w:r>
        <w:rPr>
          <w:rFonts w:ascii="Times New Roman" w:cs="Times New Roman" w:eastAsia="Times New Roman" w:hAnsi="Times New Roman"/>
          <w:sz w:val="18"/>
          <w:szCs w:val="18"/>
          <w:u w:val="single" w:color="auto"/>
          <w:color w:val="auto"/>
        </w:rPr>
        <w:t>Section 2.18(f)</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564"/>
          </w:cols>
          <w:pgMar w:left="876" w:top="270" w:right="459" w:bottom="1440" w:gutter="0" w:footer="0" w:header="0"/>
        </w:sectPr>
      </w:pPr>
    </w:p>
    <w:bookmarkStart w:id="234" w:name="page235"/>
    <w:bookmarkEnd w:id="234"/>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It is agreed that each Revolving Lender’s funded portion of the Revolving Loans is intended by the Revolving Lenders to equal, at all times, such Revolving Lender’s pro rata share of the outstanding Revolving Loans. Such agreement notwithstanding, Revolving Agent and the Revolving Lenders agree (which agreement shall not be for the benefit of the Borrower) that in order to facilitate the administration of this Agreement and the other Loan Documents, settlement among the Revolving Lenders as to the Revolving Loans (including the Swingline Advances and Extraordinary Advances) shall take place on a periodic basis in accordance with the following provisions:</w:t>
      </w:r>
    </w:p>
    <w:p>
      <w:pPr>
        <w:spacing w:after="0" w:line="75" w:lineRule="exact"/>
        <w:rPr>
          <w:sz w:val="20"/>
          <w:szCs w:val="20"/>
          <w:color w:val="auto"/>
        </w:rPr>
      </w:pPr>
    </w:p>
    <w:p>
      <w:pPr>
        <w:ind w:left="440" w:firstLine="952"/>
        <w:spacing w:after="0" w:line="251" w:lineRule="auto"/>
        <w:rPr>
          <w:sz w:val="20"/>
          <w:szCs w:val="20"/>
          <w:color w:val="auto"/>
        </w:rPr>
      </w:pPr>
      <w:r>
        <w:rPr>
          <w:rFonts w:ascii="Times New Roman" w:cs="Times New Roman" w:eastAsia="Times New Roman" w:hAnsi="Times New Roman"/>
          <w:sz w:val="18"/>
          <w:szCs w:val="18"/>
          <w:color w:val="auto"/>
        </w:rPr>
        <w:t>(i)  Revolving Agent shall request settlement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with the Revolving Lenders on a weekly basis, or on a more frequent basis if so determined by Revolving Agent in its sole discretion (A) for itself, with respect to the outstanding Swingline Advances and Extraordinary Advances, and (B) with respect to the Borrower’s or its Subsidiaries’ payments or other amounts received, as to each by notifying the Revolving Lenders by telecopy, telephone, or other similar form of transmission, of such requested Settlement, no later than 2:00 p.m., New York City time, on the Business Day immediately prior to the date of such requested Settlement (the date of such requested Settlement being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xml:space="preserve">”). Such notice of a Settlement Date shall include a summary statement of the amount of outstanding Revolving Loans (including Swingline Advances and Extraordinary Advances) for the period since the prior Settlement Date. Subject to the terms and conditions contained herein (including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(1) if the amount of the Revolving Loans (including Swingline Advances and Extraordinary Advances) made by a Revolving Lender that is not a Defaulting Lender exceeds such Revolving Lender’s pro rata share of the Revolving Loans (including Swingline Advances and Extraordinary Advances) as of a Settlement Date, then Revolving Agent shall, by no later than 2:00 p.m., New York City time, on the Settlement Date, transfer in immediately available funds to a Deposit Account of such Revolving Lender (as such Revolving Lender may designate), an amount such that each such Revolving Lender shall, upon receipt of such amount, have as of the Settlement Date, its pro rata share of the Revolving Loans (including Swingline Advances and Extraordinary Advances), and (2) if the amount of the Revolving Loans (including Swingline Advances and Extraordinary Advances) made by a Revolving Lender is less than such Revolving Lender’s pro rata share of the Revolving Loans (including Swingline Advances and Extraordinary Advances) as of a Settlement Date, such Revolving Lender shall no later than 2:00 p.m., New York City time, on the Settlement Date transfer in immediately available funds to Revolving Agent’s Account, an amount such that each such Revolving Lender shall, upon transfer of such amount, have as of the Settlement Date, its pro rata share of the Revolving Loans (including Swingline Advances and Extraordinary Advances). Such amounts made available to Revolving Agent under clause (2) of the immediately preceding sentence shall be applied against the amounts of the applicable Swingline Advances or Extraordinary Advances and shall constitute Revolving Loans of such Revolving Lenders. If any such amount is not made available to Revolving Agent by any Revolving Lender on the Settlement Date applicable thereto to the extent required by the terms hereof, Revolving Agent shall be entitled to recover for its account such amount on demand from such Revolving Lender together with interest thereon at the Defaulting Lender Rate.</w:t>
      </w:r>
    </w:p>
    <w:p>
      <w:pPr>
        <w:spacing w:after="0" w:line="98" w:lineRule="exact"/>
        <w:rPr>
          <w:sz w:val="20"/>
          <w:szCs w:val="20"/>
          <w:color w:val="auto"/>
        </w:rPr>
      </w:pPr>
    </w:p>
    <w:p>
      <w:pPr>
        <w:ind w:left="440" w:right="700" w:firstLine="952"/>
        <w:spacing w:after="0" w:line="266" w:lineRule="auto"/>
        <w:rPr>
          <w:sz w:val="20"/>
          <w:szCs w:val="20"/>
          <w:color w:val="auto"/>
        </w:rPr>
      </w:pPr>
      <w:r>
        <w:rPr>
          <w:rFonts w:ascii="Times New Roman" w:cs="Times New Roman" w:eastAsia="Times New Roman" w:hAnsi="Times New Roman"/>
          <w:sz w:val="18"/>
          <w:szCs w:val="18"/>
          <w:color w:val="auto"/>
        </w:rPr>
        <w:t>(ii)  In determining whether a Revolving Lender’s balance of the Revolving Loans (including Swingline Advances and Extraordinary Advances) is less than, equal to, or greater than such Revolving Lender’s pro rata share of the Revolving Loans (including Swingline Advances and Extraordinary Advances) as of a Settlement Date, Revolving Agent shall, as part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235" w:name="page236"/>
    <w:bookmarkEnd w:id="235"/>
    <w:p>
      <w:pPr>
        <w:ind w:left="440"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relevant Settlement, apply to such balance the portion of payments actually received in good funds by Revolving Agent with respect to principal, interest, fees payable by the Borrower and allocable to the Revolving Lenders hereunder, and proceeds of Collateral.</w:t>
      </w:r>
    </w:p>
    <w:p>
      <w:pPr>
        <w:spacing w:after="0" w:line="54" w:lineRule="exact"/>
        <w:rPr>
          <w:sz w:val="20"/>
          <w:szCs w:val="20"/>
          <w:color w:val="auto"/>
        </w:rPr>
      </w:pPr>
    </w:p>
    <w:p>
      <w:pPr>
        <w:ind w:left="440" w:right="60" w:firstLine="952"/>
        <w:spacing w:after="0" w:line="256" w:lineRule="auto"/>
        <w:rPr>
          <w:sz w:val="20"/>
          <w:szCs w:val="20"/>
          <w:color w:val="auto"/>
        </w:rPr>
      </w:pPr>
      <w:r>
        <w:rPr>
          <w:rFonts w:ascii="Times New Roman" w:cs="Times New Roman" w:eastAsia="Times New Roman" w:hAnsi="Times New Roman"/>
          <w:sz w:val="18"/>
          <w:szCs w:val="18"/>
          <w:color w:val="auto"/>
        </w:rPr>
        <w:t>(iii)  Between Settlement Dates, the Revolving Agent, to the extent Swingline Advances and/or Extraordinary Advances for the account of the Revolving Agent are outstanding, may apply any payments or other amounts received by the Revolving Agent, that in accordance with the terms of this Agreement would be applied to the reduction of the Revolving Loans, to the Swingline Advances and/or Extraordinary Advances. During the period between Settlement Dates, the Revolving Agent shall be entitled to all interest and fees at the applicable rate or rates payable under this Agreement on the daily amount of funds employed by Revolving Agent with respect to all Swingline Advances and Extraordinary Advances.</w:t>
      </w:r>
    </w:p>
    <w:p>
      <w:pPr>
        <w:spacing w:after="0" w:line="79" w:lineRule="exact"/>
        <w:rPr>
          <w:sz w:val="20"/>
          <w:szCs w:val="20"/>
          <w:color w:val="auto"/>
        </w:rPr>
      </w:pPr>
    </w:p>
    <w:p>
      <w:pPr>
        <w:jc w:val="both"/>
        <w:ind w:left="440" w:right="120" w:firstLine="952"/>
        <w:spacing w:after="0" w:line="266" w:lineRule="auto"/>
        <w:rPr>
          <w:sz w:val="20"/>
          <w:szCs w:val="20"/>
          <w:color w:val="auto"/>
        </w:rPr>
      </w:pPr>
      <w:r>
        <w:rPr>
          <w:rFonts w:ascii="Times New Roman" w:cs="Times New Roman" w:eastAsia="Times New Roman" w:hAnsi="Times New Roman"/>
          <w:sz w:val="18"/>
          <w:szCs w:val="18"/>
          <w:color w:val="auto"/>
        </w:rPr>
        <w:t xml:space="preserve">(iv)  Anything in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to the contrary notwithstanding, in the event that a Revolving Lender is a Defaulting Lender, the Revolving Agent shall be entitled to refrain from remitting settlement amounts to the Defaulting Lender and, instead, shall be entitled to elect to implement the provisions set forth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(a)  Each Lender shall make each Loan to be made by it hereunder on the proposed date thereof by wire transfer of immediately available funds by 12:00 noon, New York City time, to the account of the Administrative Agent, with respect to any Term Loan Borrowing, or the Revolving Agent, with respect to any Revolving Loan Borrowing, as applicable, most recently designated by it for such purpose by notice to the Lenders. Upon receipt of all requested funds, the Administrative Agent will make such Term Loans and the Revolving Agent will make such Revolving Loans available to the Borrower by promptly crediting the amounts so received by wire transfer, in like funds, to an account designated by the Borrower in the applicable Borrowing Request.</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Unless the Administrative Agent shall have received notice from a Term Lender prior to the proposed Borrowing that such Term Lender will not make available to the Administrative Agent such Term Lender’s share of such Borrowing, the Administrative Agent may assume that such Term Lender has made such share available on such date in accordance with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and may, in reliance upon such assumption and in its sole discretion, make available to the Borrower a corresponding amount. In such event, if a Term Lender has not in fact made its share of the applicable Borrowing available to the Administrative Agent, then the applicable Term Lender agrees to pay to the Administrative Agent an amount equal to such share on demand of the Administrative Agent. If such Term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Term Lender the interest on such corresponding amount for each day from and including the date such amount is made available to the Borrower to but excluding the date of payment to the Administrative Agent, at (i) in the case of such Term Lender, the greater of the Federal Funds Rate and a rate determined by the Administrative Agent in accordance with banking industry rules on interbank compensation or (ii) in the case of the Borrower, the interest rate applicable to Base Rate Loans. If such Term Lender pays such amount to the Administrative Agent, then such amount shall constitute such Term Lender’s Term Loan included in such Borrowing. Unless the Revolving Agent shall have received notice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236" w:name="page237"/>
    <w:bookmarkEnd w:id="236"/>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a Revolving Lender prior to the proposed Borrowing that such Revolving Lender will not make available to the Revolving Agent such Revolving Lender’s share of such Borrowing, the Revolving Agent may assume that such Revolving Lender has made such share available on such date in accordance with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and may, in reliance upon such assumption and in its sole discretion, make available to the Borrower a corresponding amount. In such event, if a Revolving Lender has not in fact made its share of the applicable Borrowing available to the Revolving Agent, then the applicable Revolving Lender agrees to pay to the Revolving Agent an amount equal to such share on demand of the Revolving Agent. If such Revolving Lender does not pay such corresponding amount forthwith upon demand of the Revolving Agent therefor, the Revolving Agent shall promptly notify the Borrower and the Borrower agrees to pay such corresponding amount to the Revolving Agent forthwith on demand. The Revolving Agent shall also be entitled to recover from such Revolving Lender the interest on such corresponding amount for each day from and including the date such amount is made available to the Borrower to but excluding the date of payment to the Revolving Agent, at (i) in the case of such Revolving Lender, the greater of the Federal Funds Rate and a rate determined by the Administrative Agent in accordance with banking industry rules on interbank compensation or</w:t>
      </w:r>
    </w:p>
    <w:p>
      <w:pPr>
        <w:spacing w:after="0" w:line="5" w:lineRule="exact"/>
        <w:rPr>
          <w:sz w:val="20"/>
          <w:szCs w:val="20"/>
          <w:color w:val="auto"/>
        </w:rPr>
      </w:pPr>
    </w:p>
    <w:p>
      <w:pPr>
        <w:ind w:left="4" w:right="320" w:hanging="4"/>
        <w:spacing w:after="0" w:line="260" w:lineRule="auto"/>
        <w:tabs>
          <w:tab w:leader="none" w:pos="26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Borrower, the interest rate applicable to Base Rate Loans. If such Revolving Lender pays such amount to the Revolving Agent, then such amount shall constitute such Revolving Lender’s Revolving Loan included in such Borrowing.</w:t>
      </w:r>
    </w:p>
    <w:p>
      <w:pPr>
        <w:spacing w:after="0" w:line="2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(a)  Each Term Loan or Revolving Loan Borrowing, as applicable, initially shall be of the Type specified in the applicable Borrowing Request and, in the case of a SOFR Borrowing, shall have an Interest Period of three (3) months. Thereafter, the Borrower may elect to convert such Borrowing to a different Type or to continue such Borrowing.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(b)   To make an election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Borrower shall notify the Administrative Agent of such election in writing</w:t>
      </w:r>
    </w:p>
    <w:p>
      <w:pPr>
        <w:spacing w:after="0" w:line="27" w:lineRule="exact"/>
        <w:rPr>
          <w:sz w:val="20"/>
          <w:szCs w:val="20"/>
          <w:color w:val="auto"/>
        </w:rPr>
      </w:pPr>
    </w:p>
    <w:p>
      <w:pPr>
        <w:ind w:left="224" w:hanging="224"/>
        <w:spacing w:after="0"/>
        <w:tabs>
          <w:tab w:leader="none" w:pos="22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SOFR Borrowing, not later than 1:00 p.m., New York City time, three (3) Business Days before the date of the proposed election or</w:t>
      </w:r>
    </w:p>
    <w:p>
      <w:pPr>
        <w:spacing w:after="0" w:line="9" w:lineRule="exact"/>
        <w:rPr>
          <w:rFonts w:ascii="Times New Roman" w:cs="Times New Roman" w:eastAsia="Times New Roman" w:hAnsi="Times New Roman"/>
          <w:sz w:val="18"/>
          <w:szCs w:val="18"/>
          <w:color w:val="auto"/>
        </w:rPr>
      </w:pPr>
    </w:p>
    <w:p>
      <w:pPr>
        <w:ind w:left="4" w:right="40" w:hanging="4"/>
        <w:spacing w:after="0" w:line="255" w:lineRule="auto"/>
        <w:tabs>
          <w:tab w:leader="none" w:pos="26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Base Rate Borrowing, not later than 12:00 noon, New York City time, one (1) Business Day before the date of the proposed election. Each such written Interest Election Request shall be irrevocable and shall be substantially in the form of a written Interest Election Request signed by the Borrower.</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(c)   Each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4" w:firstLine="952"/>
        <w:spacing w:after="0" w:line="266" w:lineRule="auto"/>
        <w:rPr>
          <w:sz w:val="20"/>
          <w:szCs w:val="20"/>
          <w:color w:val="auto"/>
        </w:rPr>
      </w:pPr>
      <w:r>
        <w:rPr>
          <w:rFonts w:ascii="Times New Roman" w:cs="Times New Roman" w:eastAsia="Times New Roman" w:hAnsi="Times New Roman"/>
          <w:sz w:val="18"/>
          <w:szCs w:val="18"/>
          <w:color w:val="auto"/>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68" w:lineRule="exact"/>
        <w:rPr>
          <w:sz w:val="20"/>
          <w:szCs w:val="20"/>
          <w:color w:val="auto"/>
        </w:rPr>
      </w:pPr>
    </w:p>
    <w:p>
      <w:pPr>
        <w:ind w:left="1384" w:right="760"/>
        <w:spacing w:after="0" w:line="399" w:lineRule="auto"/>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 and (iii)  whether the resulting Borrowing is to be a Base Rate Borrowing or a SOFR Borrowing.</w:t>
      </w: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237" w:name="page238"/>
    <w:bookmarkEnd w:id="237"/>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Promptly following receipt of an Interest Election Request, the Administrative Agent shall advise each Lender of the details thereof and of such Lender’s portion of each resulting Borrowing.</w:t>
      </w:r>
    </w:p>
    <w:p>
      <w:pPr>
        <w:spacing w:after="0" w:line="16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(e)  If the Borrower fails to deliver a timely Interest Election Request with respect to a SOFR Borrowing prior to the end of the Interest Period applicable thereto, then, unless such Borrowing is repaid as provided herein, at the end of such Interest Period such Borrowing shall automatically be continued as a SOFR Borrowing having an Interest Period of three month’s duration.</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(f)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SOFR Borrowing and (ii) unless repaid, each SOFR Borrowing shall be converted to a Base Rate Borrowing at the end of the Interest Period applicable thereto.</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2.08. Termination and Reductions of Commitments.</w:t>
      </w:r>
    </w:p>
    <w:p>
      <w:pPr>
        <w:spacing w:after="0" w:line="117"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Termination of Term Loan Commitments</w:t>
      </w:r>
      <w:r>
        <w:rPr>
          <w:rFonts w:ascii="Times New Roman" w:cs="Times New Roman" w:eastAsia="Times New Roman" w:hAnsi="Times New Roman"/>
          <w:sz w:val="18"/>
          <w:szCs w:val="18"/>
          <w:color w:val="auto"/>
        </w:rPr>
        <w:t>. Unless previously terminated, (a) the Effective Date Term Loan Commitments shall terminate upon the funding of the Effective Date Term Loans on the Effective Date, (b) the First Amendment Effective Date Term Loan Commitments shall terminate upon the funding of the First Amendment Effective Date Term Loans on the First Amendment Effective Date, (c) the Second Amendment Effective Date Term Loan Commitments shall terminate upon the funding of the Second Amendment Effective Date Term Loans on the Second Amendment Effective Date and (d) the Third Amendment Effective Date Term Loan Commitments shall terminate upon the funding of the Third Amendment Effective Date Term Loans on the Third Amendment Effective Date. Notwithstanding the foregoing, the Borrower may not pay the Term Loans in full unless the outstanding Revolving Loans and other Obligations are concurrently paid in full in cash and the unused Revolving Commitments have been terminated.</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Reduction of Revolving Commitments</w:t>
      </w:r>
      <w:r>
        <w:rPr>
          <w:rFonts w:ascii="Times New Roman" w:cs="Times New Roman" w:eastAsia="Times New Roman" w:hAnsi="Times New Roman"/>
          <w:sz w:val="18"/>
          <w:szCs w:val="18"/>
          <w:color w:val="auto"/>
        </w:rPr>
        <w:t xml:space="preserve">. The Borrower may reduce the Revolving Commitments, subject to payment of any amounts required pursuant to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 xml:space="preserve">, to an amount (which may be zero) not less than the sum of (A) the Revolver Usage as of such date, plus (B) the principal amount of all Revolving Loans not yet made as to which a request has been given by the Borrower under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Each such reduction shall be in an aggregate amount of $5,000,000 or any whole multiple of $1,000,000 in excess thereof (unless the Revolving Commitments are being reduced to zero and the amount of the Revolving Commitments in effect immediately prior to such reduction are less than $5,000,000), shall be made by providing not less than ten (10) Business Days prior written notice to the Revolving Agent, and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is given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such notice may be conditioned upon the effectiveness of other credit facilities or the closing of a refinancing transaction, a sale of all or substantially all of the assets of the Borrower and its Subsidiaries or a Change of Control and such notice may be revoked or extended by the Borrower by written notice to the Administrative Agent if such condition is not satisfied on or prior to the specified effective date of prepayment. Once reduced, the Revolving Commitments may not be increased. Each such reduction of the Revolving Commitments shall reduce the Revolving Commitments of each Revolving Lender proportionately in accordance with its ratable share thereof. All Revolving Commitment Fees payable pursuant to </w:t>
      </w:r>
      <w:r>
        <w:rPr>
          <w:rFonts w:ascii="Times New Roman" w:cs="Times New Roman" w:eastAsia="Times New Roman" w:hAnsi="Times New Roman"/>
          <w:sz w:val="18"/>
          <w:szCs w:val="18"/>
          <w:u w:val="single" w:color="auto"/>
          <w:color w:val="auto"/>
        </w:rPr>
        <w:t>Section 2.12(e)</w:t>
      </w:r>
      <w:r>
        <w:rPr>
          <w:rFonts w:ascii="Times New Roman" w:cs="Times New Roman" w:eastAsia="Times New Roman" w:hAnsi="Times New Roman"/>
          <w:sz w:val="18"/>
          <w:szCs w:val="18"/>
          <w:color w:val="auto"/>
        </w:rPr>
        <w:t xml:space="preserve"> accrued until the effective date of any termination of the Revolving Commitments will be paid on the effective date of such termination with respect to the Revolving Commitments so terminated.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238" w:name="page239"/>
    <w:bookmarkEnd w:id="2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2.09.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(c)  The Administrative Agent shall maintain the Register pursuant to </w:t>
      </w:r>
      <w:r>
        <w:rPr>
          <w:rFonts w:ascii="Times New Roman" w:cs="Times New Roman" w:eastAsia="Times New Roman" w:hAnsi="Times New Roman"/>
          <w:sz w:val="18"/>
          <w:szCs w:val="18"/>
          <w:u w:val="single" w:color="auto"/>
          <w:color w:val="auto"/>
        </w:rPr>
        <w:t>Section 9.04(d)</w:t>
      </w:r>
      <w:r>
        <w:rPr>
          <w:rFonts w:ascii="Times New Roman" w:cs="Times New Roman" w:eastAsia="Times New Roman" w:hAnsi="Times New Roman"/>
          <w:sz w:val="18"/>
          <w:szCs w:val="18"/>
          <w:color w:val="auto"/>
        </w:rPr>
        <w:t xml:space="preserve">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0"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(d)  The entries made in the Register and accounts maintained pursuant to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and (c)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 In the event of any conflict between the records maintained by any Lender and the records maintained by the Administrative Agent in such matters, the records of the Administrative Agent shall control in the absence of manifest error.</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(e)  Any Lender may request that Loans made by it be evidenced by a promissory note. In such event, Borrower shall execute and deliver to such Lender a promissory note (or, if requested by such Lender, to such Lender and its registered assigns) and in a form approved by the Lender evidencing the Loans, if any, owing to such Lender.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promissory notes in such form payable to the payee named therein (or, if requested by such payee, to such payee and its registered assigns).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To the extent not previously paid, all Term Loans shall be due and payable on the Term Loan Maturity Date and the Borrower hereby unconditionally promises to pay to the Administrative Agent for the ratable account of each Lender the then unpaid principal amount of the Term Loans of such Lender on the Term Loan Maturity Date (and any other date on which a payment is required to be made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(b)  To the extent not previously paid, all Revolving Loans shall be due and payable on the Revolving Loan Maturity Date and the Borrower hereby unconditionally promises to pay to the Revolving Agent for the ratable account of each Lender the then unpaid principal amount of the Revolving Loans of such Lender on the Revolving Loan Maturity Date (and any other date on which a payment is required to be made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  The Borrower shall have the right at any time and from time to time to prepay any Term Loans and/or the Revolving Loans, as applicable, in whole or in part, as selected by the Borrower in its sole discretion and subject to the requirements of clauses (e), (f) and (j)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Notwithstanding anything to the contrary herein, during the occurrence and continuance of a Waterfall Trigger Event, the Borrower shall not, and shall not be permitted to, make any voluntary prepayment of Term Loans without the consent of the Revolving Agent.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239" w:name="page240"/>
    <w:bookmarkEnd w:id="23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[Reserved].</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(c)  In the event and on each occasion that any Net Proceeds are received by or on behalf of the Borrower or any Subsidiary in respect of any Prepayment Event, the Borrower shall, within five (5) Business Days after such Net Proceeds are received by the Borrower or such Subsidiary, prepay in an aggregate amount equal to 100% of such Net Proceeds, first Term Loan Borrowings until the Term Loans have been paid in full, second the outstanding principal amount of Extraordinary Advances and Swingline Advances until paid in full, and third the outstanding principal amount of the Revolving Loans until paid in full; provided that, during the occurrence and continuance of a Waterfall Trigger Event, such amounts shall be applied to repay first the outstanding principal amount of Extraordinary Advances and Swingline Advances until paid in full, second, to the outstanding principal amount of the Revolving Loans until paid in full and third to the outstanding principal balance of the Term Loans until paid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any event described in clause (a) or (b) of the definition of the term “Prepayment Event” (other than pursuant to a sale and leaseback transaction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if the Borrower shall deliver to the Administrative Agent a certificate of a Financial Officer to the effect that the Borrower and the Subsidiaries intend to apply the Net Proceeds from such event (or a portion thereof specified in such certificate), within three hundred sixty-five (365) days after receipt of such Net Proceeds in the business of the Borrower and the Subsidiaries, and certifying that no Event of Default has occurred and is continuing, then no prepayment shall be required pursuant to this paragraph in respect of the Net Proceeds specified in such certificate, except to the extent that the aggregate amount of such Net Proceeds that have not been so applied or contractually committed in writing by the end of such three hundred sixty-five (365)-day period exceeds $2,500,000 (“</w:t>
      </w:r>
      <w:r>
        <w:rPr>
          <w:rFonts w:ascii="Times New Roman" w:cs="Times New Roman" w:eastAsia="Times New Roman" w:hAnsi="Times New Roman"/>
          <w:sz w:val="18"/>
          <w:szCs w:val="18"/>
          <w:u w:val="single" w:color="auto"/>
          <w:color w:val="auto"/>
        </w:rPr>
        <w:t>Excess Net Proceeds</w:t>
      </w:r>
      <w:r>
        <w:rPr>
          <w:rFonts w:ascii="Times New Roman" w:cs="Times New Roman" w:eastAsia="Times New Roman" w:hAnsi="Times New Roman"/>
          <w:sz w:val="18"/>
          <w:szCs w:val="18"/>
          <w:color w:val="auto"/>
        </w:rPr>
        <w:t>”), promptly after which time a prepayment shall be required in an amount equal to such Excess Net Proceeds that have not been so applied.</w:t>
      </w:r>
    </w:p>
    <w:p>
      <w:pPr>
        <w:spacing w:after="0" w:line="196"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(d)  In the event and on each occasion that any Net Proceeds from the issuance of Equity Interests for cash or other receipt of cash contributions to its equity in connection with the exercise of the Leverage Cure Right or the Revenue Cure Right are received by or on behalf of the Borrower, the Borrower shall, within one (1) Business Day after such Net Proceeds are received by the Borrower, prepay in an aggregate amount equal to 100% of such Net Proceeds first Term Loan Borrowings until the Term Loans have been paid in full, second the outstanding principal amount of Extraordinary Advances and Swingline Advances until paid in full, and third the outstanding principal amount of the Revolving Loans until paid in full; provided that, during the occurrence and continuance of a Waterfall Trigger Event, such amounts shall be applied to repay first the outstanding principal amount of Extraordinary Advances and Swingline Advances until paid in full, second, to the outstanding principal amount of the Revolving Loans until paid in full and third to the outstanding principal balance of the Term Loans until paid in full.</w:t>
      </w:r>
    </w:p>
    <w:p>
      <w:pPr>
        <w:spacing w:after="0" w:line="19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Prior to any optional or mandatory prepayment of Borrowings hereunder, the Borrower shall determine in accordance with </w:t>
      </w:r>
      <w:r>
        <w:rPr>
          <w:rFonts w:ascii="Times New Roman" w:cs="Times New Roman" w:eastAsia="Times New Roman" w:hAnsi="Times New Roman"/>
          <w:sz w:val="18"/>
          <w:szCs w:val="18"/>
          <w:u w:val="single" w:color="auto"/>
          <w:color w:val="auto"/>
        </w:rPr>
        <w:t>Section 2.11(i)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2.11(j)</w:t>
      </w:r>
      <w:r>
        <w:rPr>
          <w:rFonts w:ascii="Times New Roman" w:cs="Times New Roman" w:eastAsia="Times New Roman" w:hAnsi="Times New Roman"/>
          <w:sz w:val="18"/>
          <w:szCs w:val="18"/>
          <w:color w:val="auto"/>
        </w:rPr>
        <w:t xml:space="preserve">, as applicable, the Borrowing or Borrowings to be prepaid and shall specify such determination in the notice of such prepayment pursuant to </w:t>
      </w:r>
      <w:r>
        <w:rPr>
          <w:rFonts w:ascii="Times New Roman" w:cs="Times New Roman" w:eastAsia="Times New Roman" w:hAnsi="Times New Roman"/>
          <w:sz w:val="18"/>
          <w:szCs w:val="18"/>
          <w:u w:val="single" w:color="auto"/>
          <w:color w:val="auto"/>
        </w:rPr>
        <w:t>Section 2.11(f)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(f)  The Borrower shall notify the Administrative Agent in writing of any prepayment hereunder (i) in the case of prepayment of a SOFR Borrowing, not later than 12:00 noon, New York City time, three (3) Business Days before the date of prepayment or (ii) in the case of prepayment of a Base Rate Borrowing, not later than 12:00 p.m., New York City time, one (1) Business Day before the date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240" w:name="page241"/>
    <w:bookmarkEnd w:id="24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prepayment. Each such notice shall be irrevocable and shall specify the prepayment date,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such notice of prepayment may be conditioned upon the effectiveness of other credit facilities or the closing of a refinancing transaction, a sale of all or substantially all of the assets of the Borrower and its Subsidiaries or a Change of Control and such notice of prepayment may be revoked or extended by the Borrower by written notice to the Administrative Agent if such condition is not satisfied on or prior to the specified effective date of prepayment.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but shall in no event include premium or penalty.</w:t>
      </w:r>
    </w:p>
    <w:p>
      <w:pPr>
        <w:spacing w:after="0" w:line="188"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(g)  All Swap Agreements, if any, between Borrower and any of the Lenders or their respective affiliates are independent agreements governed by the written provisions of said Swap Agreements, which will remain in full force and effect, unaffected by any repayment, prepayment, acceleration, reduction, increase or change in the terms of the Loans, except as otherwise expressly provided in said written Swap Agreements, and any payoff statement from the Lenders relating to the Loans shall not apply to said Swap Agreements except as otherwise expressly provided in such payoff statement.</w:t>
      </w:r>
    </w:p>
    <w:p>
      <w:pPr>
        <w:spacing w:after="0" w:line="183"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(h)  If, at any time, the Revolver Usage on such date exceeds the lesser of (i) the Revolving Commitments and (ii) the Borrowing Base, then the Borrower shall immediately prepay the Revolving Loans in an aggregate amount equal to the amount of such applicable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Revolver Usage on such date exceeds the Borrowing Base pursuant to clause (ii) above as a result of changes directed by the Revolving Agent to the Reserves and/or Borrowing Base, then the Borrower shall promptly (but in no event later than one (1) Business Day) upon obtaining knowledge thereof prepay the Revolving Loans in an aggregate amount equal to the amount of such applicable excess.</w:t>
      </w:r>
    </w:p>
    <w:p>
      <w:pPr>
        <w:spacing w:after="0" w:line="183"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(i)  Any mandatory or optional prepayments of a Revolving Loan Borrowing shall be paid to the Revolving Lenders on a pro rata basis in accordance with their respective holdings of Revolving Loans.</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(j)  Any (i) mandatory prepayments of the Term Loans shall be paid to the Term Lenders on a pro rata basis in accordance with their respective holdings of Term Loans and (ii) any optional prepayments of the Term Loans shall be applied as directed by the Borrower; provided, however, that any prepayment of a class of Term Loans specified by the Borrower shall be applied on a pro rata basis to the Term Lenders holding such class of Term Loans (e.g., any prepayment of the Effective Date Term Loans shall be paid pro rata to the Term Lenders holding Effective Date Term Loans).</w:t>
      </w:r>
    </w:p>
    <w:p>
      <w:pPr>
        <w:spacing w:after="0" w:line="18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(k)  All prepayments referred to in clause (c) above are subject (i) in the case of any Net Proceeds from Prepayment Events attributable to Foreign Subsidiaries, to there being no material adverse tax consequences to Borrower, or the Subsidiaries, either individually or in the aggregate (which, for the avoidance of doubt, includes, but is not limited to, any prepayment whereby doing so Borrower and the Subsidiaries would incur a material tax liability, including in connection with a tax dividend, deemed dividend pursuant to Section 956 of the Code or a withholding Tax) and (ii) in the case of any Net Proceeds from Prepayment Events attributable to Foreign Subsidiaries, permissibility under local law (e.g., financial assistance, corporate benefit, restrictions on upstreaming of cash intra-group and the fiduciary and statutory duties of the directors of the relevant subsidiaries). The non-application of any prepayment amounts as 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sectPr>
      </w:pPr>
    </w:p>
    <w:bookmarkStart w:id="241" w:name="page242"/>
    <w:bookmarkEnd w:id="241"/>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consequence of the foregoing provisions will not, for the avoidance of doubt, constitute a Default or an Event of Default, and such amounts shall be available for working capital purposes of the Borrower and the Subsidiaries as long as not required to be prepaid in accordance this </w:t>
      </w:r>
      <w:r>
        <w:rPr>
          <w:rFonts w:ascii="Times New Roman" w:cs="Times New Roman" w:eastAsia="Times New Roman" w:hAnsi="Times New Roman"/>
          <w:sz w:val="18"/>
          <w:szCs w:val="18"/>
          <w:u w:val="single" w:color="auto"/>
          <w:color w:val="auto"/>
        </w:rPr>
        <w:t>Section 2.11(k)</w:t>
      </w:r>
      <w:r>
        <w:rPr>
          <w:rFonts w:ascii="Times New Roman" w:cs="Times New Roman" w:eastAsia="Times New Roman" w:hAnsi="Times New Roman"/>
          <w:sz w:val="18"/>
          <w:szCs w:val="18"/>
          <w:color w:val="auto"/>
        </w:rPr>
        <w:t>. Notwithstanding the foregoing, any prepayments required after application of this clause (k) shall be net of any costs, expenses or taxes incurred by the Borrower or any of its Affiliates and arising as a result of compliance with the preceding sentence.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   Each Term Lender may reject all or a portion of its pro rata share of any mandatory prepayment (such declined amounts,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of Term Loans required to be made pursuant to clauses (c) (with respect to Net Proceeds received from a Prepayment Event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clauses (a) or (b) of such definition only) and (d)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by providing written notice (each, a “</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to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and the Borrower no later than 2:00 p.m., New York City Time, one (1) Business Day prior to the date of such prepayment. Each Rejection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a given Lender shall specify the principal amount of the mandatory repayment of Term Loans to be rejected by such Lender. If a Term Lender fails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deliver a Rejection Notice to the Administrative Agent within the time frame specified above or such Rejection Notice fails to specify the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Term Loans to be rejected, any such failure will be deemed an acceptance of the total amount of such mandatory prepayment of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Any Declined Proceeds may be retained by the Borrower.</w:t>
      </w: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(a)  The Borrower agrees to pay to the Administrative Agent for its own account, the Lead Arranger and the Lenders signatory to the Fee Letter, as applicable, fees payable in the amounts and at the times separately agreed upon between the Borrower, the Administrative Agent, the Lead Arranger and the Lenders signatory to the Fee Letter.</w:t>
      </w:r>
    </w:p>
    <w:p>
      <w:pPr>
        <w:spacing w:after="0" w:line="176" w:lineRule="exact"/>
        <w:rPr>
          <w:sz w:val="20"/>
          <w:szCs w:val="20"/>
          <w:color w:val="auto"/>
        </w:rPr>
      </w:pPr>
    </w:p>
    <w:p>
      <w:pPr>
        <w:jc w:val="both"/>
        <w:ind w:right="780" w:firstLine="991"/>
        <w:spacing w:after="0" w:line="266" w:lineRule="auto"/>
        <w:rPr>
          <w:sz w:val="20"/>
          <w:szCs w:val="20"/>
          <w:color w:val="auto"/>
        </w:rPr>
      </w:pPr>
      <w:r>
        <w:rPr>
          <w:rFonts w:ascii="Times New Roman" w:cs="Times New Roman" w:eastAsia="Times New Roman" w:hAnsi="Times New Roman"/>
          <w:sz w:val="18"/>
          <w:szCs w:val="18"/>
          <w:color w:val="auto"/>
        </w:rPr>
        <w:t>(b)  All fees payable hereunder shall be paid on the dates due, in immediately available funds, to the Administrative Agent for distribution, in the case of commitment fees and participation fees, to the Lenders entitled thereto. Fees paid shall not be refundable under any circumstances.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Prepayment Premium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952"/>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Make-Whole/Prepayment Fee Amount for Effective Date Term Loans and First Amendment Effective Date Term Loans</w:t>
      </w:r>
      <w:r>
        <w:rPr>
          <w:rFonts w:ascii="Times New Roman" w:cs="Times New Roman" w:eastAsia="Times New Roman" w:hAnsi="Times New Roman"/>
          <w:sz w:val="18"/>
          <w:szCs w:val="18"/>
          <w:color w:val="auto"/>
        </w:rPr>
        <w:t xml:space="preserve">. Notwithstanding anything to the contrary in any of the Loan Documents, the outstanding principal amounts of the Effective Date Term Loans or the First Amendment Effective Date Term Loans and corresponding Obligations shall not be permitted to be prepaid, repaid, redeemed or paid prior to the fourth anniversary of the First Amendment Effective Date except in accordance with this </w:t>
      </w:r>
      <w:r>
        <w:rPr>
          <w:rFonts w:ascii="Times New Roman" w:cs="Times New Roman" w:eastAsia="Times New Roman" w:hAnsi="Times New Roman"/>
          <w:sz w:val="18"/>
          <w:szCs w:val="18"/>
          <w:u w:val="single" w:color="auto"/>
          <w:color w:val="auto"/>
        </w:rPr>
        <w:t>Section 2.12(c)(i)</w:t>
      </w:r>
      <w:r>
        <w:rPr>
          <w:rFonts w:ascii="Times New Roman" w:cs="Times New Roman" w:eastAsia="Times New Roman" w:hAnsi="Times New Roman"/>
          <w:sz w:val="18"/>
          <w:szCs w:val="18"/>
          <w:color w:val="auto"/>
        </w:rPr>
        <w:t>. If any Effective Date Term Loans or any First Amendment Effective Date Term Loans are prepaid (other than as a result of an event described in clause (b) of the definition of the term “Prepayment Event”), in addition to the principal amount of the Effective Date Term Loans or First Amendment Effective Date Term Loans and accrued interest, fees and other amounts owed thereon, such Effective Date Term Loans or First Amendment Effective Date Term Loans shall be accompanied by a premium equal to (i) if such prepayment is made prior to the first anniversary of the First Amendment Effective Date for any reason (such as an acceleration of the Effective Date Term Loans or the First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then the amount (in addition to the principal amount of the Effective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242" w:name="page243"/>
    <w:bookmarkEnd w:id="242"/>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Term Loans or First Amendment Effective Date Term Loans and other corresponding Obligations (other than the Make-Whole Premium applicable to the Effective Date Term Loans and the First Amendment Effective Date Term Loans) and accrued interest, fees and other amounts owed thereon) required to be prepaid, repaid, redeemed or paid shall be the Make-Whole Premium applicable to the principal amount and interest on the Effective Date Term Loans or the First Amendment Effective Date Term Loans or other corresponding Obligations (other than the Make-Whole Premium applicable to the Effective Date Term Loans and the First Amendment Effective Date Term Loans) so prepaid, repaid, redeemed or paid, (ii) if such prepayment is made on or after the first anniversary of the First Amendment Effective Date but prior to the second anniversary of the First Amendment Effective Date for any reason (such as an acceleration of the Effective Date Term Loans or the First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5.00% of the principal amount of the Effective Date Term Loans or the First Amendment Effective Date Term Loans so prepaid, repaid, redeemed or paid, (iii) if such prepayment is made on or after the second anniversary of the First Amendment Effective Date but prior to the third anniversary of the First Amendment Effective Date for any reason (such as an acceleration of the Effective Date Term Loans or the First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2.50% of the principal amount of the Effective Date Term Loans or the First Amendment Effective Date Term Loans so prepaid, repaid, redeemed or paid, (iv) if such prepayment is made on or after the third anniversary of the First Amendment Effective Date but prior to the fourth anniversary of the First Amendment Effective Date for any reason (such as an acceleration of the Effective Date Term Loans or the First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1.00% of the principal amount of the Effective Date Term Loans or the First Amendment Effective Date Term Loans so prepaid, repaid, redeemed or paid and (v) if such prepayment is made on or after the fourth anniversary of the First Amendment Effective Date, 0.00% of the principal amount of the Effective Date Term Loans or the First Amendment Effective Date Term Loans so prepaid, repaid, redeemed or paid (such Make-Whole Premium applicable to the Effective Date Term Loans and the First Amendment Effective Date Term Loans or other amount required to be paid (or that is otherwise owed) pursuant to the foregoing,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Make-Whole/Prepayment Fee Amount</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2.12(c)(i)</w:t>
      </w:r>
      <w:r>
        <w:rPr>
          <w:rFonts w:ascii="Times New Roman" w:cs="Times New Roman" w:eastAsia="Times New Roman" w:hAnsi="Times New Roman"/>
          <w:sz w:val="18"/>
          <w:szCs w:val="18"/>
          <w:color w:val="auto"/>
        </w:rPr>
        <w:t>, the principal amount of the Effective Date Term Loans and the First Amendment Effective Date Term Loans shall include all PIK Interest that has been capitalized to principal.</w:t>
      </w:r>
    </w:p>
    <w:p>
      <w:pPr>
        <w:spacing w:after="0" w:line="96" w:lineRule="exact"/>
        <w:rPr>
          <w:sz w:val="20"/>
          <w:szCs w:val="20"/>
          <w:color w:val="auto"/>
        </w:rPr>
      </w:pPr>
    </w:p>
    <w:p>
      <w:pPr>
        <w:ind w:firstLine="952"/>
        <w:spacing w:after="0" w:line="274"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Make-Whole/Prepayment Fee Amount for Second Amendment Effective Date Term Loans</w:t>
      </w:r>
      <w:r>
        <w:rPr>
          <w:rFonts w:ascii="Times New Roman" w:cs="Times New Roman" w:eastAsia="Times New Roman" w:hAnsi="Times New Roman"/>
          <w:sz w:val="17"/>
          <w:szCs w:val="17"/>
          <w:color w:val="auto"/>
        </w:rPr>
        <w:t xml:space="preserve">. Notwithstanding anything to the contrary in any of the Loan Documents, the outstanding principal amounts of the Second Amendment Effective Date Term Loans and corresponding Obligations shall not be permitted to be prepaid, repaid, redeemed or paid prior to the fourth anniversary of the Second Amendment Effective Date except in accordance with this </w:t>
      </w:r>
      <w:r>
        <w:rPr>
          <w:rFonts w:ascii="Times New Roman" w:cs="Times New Roman" w:eastAsia="Times New Roman" w:hAnsi="Times New Roman"/>
          <w:sz w:val="17"/>
          <w:szCs w:val="17"/>
          <w:u w:val="single" w:color="auto"/>
          <w:color w:val="auto"/>
        </w:rPr>
        <w:t>Section 2.12(c)(ii)</w:t>
      </w:r>
      <w:r>
        <w:rPr>
          <w:rFonts w:ascii="Times New Roman" w:cs="Times New Roman" w:eastAsia="Times New Roman" w:hAnsi="Times New Roman"/>
          <w:sz w:val="17"/>
          <w:szCs w:val="17"/>
          <w:color w:val="auto"/>
        </w:rPr>
        <w:t>. If any Second Amendment Effective Date Term Loans are prepaid (other than as a result of an event described in clause (b) of the definition of the term “Prepayment Event”), in addition to the principal amount of the Second Amendment Effective Date Term Loans and accrued interest, fees and other amounts owed thereon, such Second Amendment Effective Date Term</w:t>
      </w:r>
    </w:p>
    <w:p>
      <w:pPr>
        <w:spacing w:after="0" w:line="1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80"/>
          </w:cols>
          <w:pgMar w:left="880" w:top="270" w:right="439" w:bottom="1440" w:gutter="0" w:footer="0" w:header="0"/>
        </w:sectPr>
      </w:pPr>
    </w:p>
    <w:bookmarkStart w:id="243" w:name="page244"/>
    <w:bookmarkEnd w:id="24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Loans shall be accompanied by a premium equal to (i) if such prepayment is made prior to the first anniversary of the Second Amendment Effective Date for any reason (such as an acceleration of the Second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then the amount (in addition to the principal amount of the Loans and other Obligations (other than the Make-Whole Premium applicable to the Second Amendment Effective Date Term Loans) and accrued interest, fees and other amounts owed thereon) required to be prepaid, repaid, redeemed or paid shall be the Make-Whole Premium applicable to the principal amount and interest on the Second Amendment Effective Date Term Loans or other corresponding Obligations (other than the Make-Whole Premium applicable to the Second Amendment Effective Date Term Loans) so prepaid, repaid, redeemed or paid, (ii) if such prepayment is made on or after the first anniversary of the Second Amendment Effective Date but prior to the second anniversary of the Second Amendment Effective Date for any reason (such as an acceleration of the Second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5.00% of the principal amount of the Second Amendment Effective Date Term Loans so prepaid, repaid, redeemed or paid, (iii) if such prepayment is made on or after the second anniversary of the Second Amendment Effective Date but prior to the third anniversary of the Second Amendment Effective Date for any reason (such as an acceleration of the Second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2.50% of the principal amount of the Second Amendment Effective Date Term Loans so prepaid, repaid, redeemed or paid, (iv) if such prepayment is made on or after the third anniversary of the Second Amendment Effective Date but prior to the fourth anniversary of the Second Amendment Effective Date for any reason (such as an acceleration of the Second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1.00% of the principal amount of the Second Amendment Effective Date Term Loans so prepaid, repaid, redeemed or paid and (v) if such prepayment is made on or after the fourth anniversary of the Second Amendment Effective Date, 0.00% of the principal amount of the Second Amendment Effective Date Term Loans so prepaid, repaid, redeemed or paid (such Make-Whole Premium applicable to the Second Amendment Effective Date Term Loans or other amount required to be paid (or that is otherwise owed) pursuant to the foregoing, the “</w:t>
      </w:r>
      <w:r>
        <w:rPr>
          <w:rFonts w:ascii="Times New Roman" w:cs="Times New Roman" w:eastAsia="Times New Roman" w:hAnsi="Times New Roman"/>
          <w:sz w:val="18"/>
          <w:szCs w:val="18"/>
          <w:u w:val="single" w:color="auto"/>
          <w:color w:val="auto"/>
        </w:rPr>
        <w:t>Second Amendment Make-Whole/Prepayment Fee Amount</w:t>
      </w:r>
      <w:r>
        <w:rPr>
          <w:rFonts w:ascii="Times New Roman" w:cs="Times New Roman" w:eastAsia="Times New Roman" w:hAnsi="Times New Roman"/>
          <w:sz w:val="18"/>
          <w:szCs w:val="18"/>
          <w:color w:val="auto"/>
        </w:rPr>
        <w:t>”; the Second Amendment Make-Whole/Prepayment Fee Amount together with the First Amendment Make-Whole/Prepayment Fee Amount, collectively, the “</w:t>
      </w:r>
      <w:r>
        <w:rPr>
          <w:rFonts w:ascii="Times New Roman" w:cs="Times New Roman" w:eastAsia="Times New Roman" w:hAnsi="Times New Roman"/>
          <w:sz w:val="18"/>
          <w:szCs w:val="18"/>
          <w:u w:val="single" w:color="auto"/>
          <w:color w:val="auto"/>
        </w:rPr>
        <w:t>Make-Whole/Prepayment Fee Amount</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 the principal amount of the Second Amendment Effective Date Term Loans shall include all PIK Interest that has been capitalized to principal.</w:t>
      </w:r>
    </w:p>
    <w:p>
      <w:pPr>
        <w:spacing w:after="0" w:line="94" w:lineRule="exact"/>
        <w:rPr>
          <w:sz w:val="20"/>
          <w:szCs w:val="20"/>
          <w:color w:val="auto"/>
        </w:rPr>
      </w:pPr>
    </w:p>
    <w:p>
      <w:pPr>
        <w:ind w:firstLine="952"/>
        <w:spacing w:after="0" w:line="261"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Prepayment Fee Amount for Third Amendment Effective Date Term Loans</w:t>
      </w:r>
      <w:r>
        <w:rPr>
          <w:rFonts w:ascii="Times New Roman" w:cs="Times New Roman" w:eastAsia="Times New Roman" w:hAnsi="Times New Roman"/>
          <w:sz w:val="18"/>
          <w:szCs w:val="18"/>
          <w:color w:val="auto"/>
        </w:rPr>
        <w:t xml:space="preserve">. Notwithstanding anything to the contrary in any of the Loan Documents, the outstanding principal amounts of the Third Amendment Effective Date Term Loans and corresponding Obligations shall not be permitted to be prepaid, repaid, redeemed or paid prior to May 1, 2028 except in accordance with this </w:t>
      </w:r>
      <w:r>
        <w:rPr>
          <w:rFonts w:ascii="Times New Roman" w:cs="Times New Roman" w:eastAsia="Times New Roman" w:hAnsi="Times New Roman"/>
          <w:sz w:val="18"/>
          <w:szCs w:val="18"/>
          <w:u w:val="single" w:color="auto"/>
          <w:color w:val="auto"/>
        </w:rPr>
        <w:t>Section 2.12(c)(iii)</w:t>
      </w:r>
      <w:r>
        <w:rPr>
          <w:rFonts w:ascii="Times New Roman" w:cs="Times New Roman" w:eastAsia="Times New Roman" w:hAnsi="Times New Roman"/>
          <w:sz w:val="18"/>
          <w:szCs w:val="18"/>
          <w:color w:val="auto"/>
        </w:rPr>
        <w:t>. If any Third Amendment Effective Date Term</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560"/>
          </w:cols>
          <w:pgMar w:left="880" w:top="270" w:right="459" w:bottom="1440" w:gutter="0" w:footer="0" w:header="0"/>
        </w:sectPr>
      </w:pPr>
    </w:p>
    <w:bookmarkStart w:id="244" w:name="page245"/>
    <w:bookmarkEnd w:id="244"/>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Loans are prepaid (other than as a result of an event described in clause (b) of the definition of the term “Prepayment Event”), in addition to the principal amount of the Third Amendment Effective Date Term Loans and accrued interest, fees and other amounts owed thereon, such Third Amendment Effective Date Term Loans shall be accompanied by a premium equal to (i) if such prepayment is made prior to May 1, 2026 for any reason (such as an acceleration of the Third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5.00% of the principal amount of the Third Amendment Effective Date Term Loans so prepaid, repaid, redeemed or paid, (ii) if such prepayment is made on or after May 1, 2026 but prior to May 1, 2027 for any reason (such as an acceleration of the Third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2.50% of the principal amount of the Third Amendment Effective Date Term Loans so prepaid, repaid, redeemed or paid, (iii) if such prepayment is made on or after May 1, 2027 but prior to May 1, 2028 for any reason (such as an acceleration of the Third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1.00% of the principal amount of the Third Amendment Effective Date Term Loans so prepaid, repaid, redeemed or paid, and (iv) if such prepayment is made on or after May 1, 2028, 0.00% of the principal amount of the Third Amendment Effective Date Term Loans so prepaid, repaid, redeemed or paid (such amount required to be paid (or that is otherwise owed) pursuant to the foregoing, the “</w:t>
      </w:r>
      <w:r>
        <w:rPr>
          <w:rFonts w:ascii="Times New Roman" w:cs="Times New Roman" w:eastAsia="Times New Roman" w:hAnsi="Times New Roman"/>
          <w:sz w:val="17"/>
          <w:szCs w:val="17"/>
          <w:u w:val="single" w:color="auto"/>
          <w:color w:val="auto"/>
        </w:rPr>
        <w:t>Third Amendment Prepayment Fee Amount</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Section 2.12(c)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the principal amount of the Third Amendment Effective Date Term Loans shall include all PIK Interest that has been capitalized to principal.</w:t>
      </w:r>
    </w:p>
    <w:p>
      <w:pPr>
        <w:spacing w:after="0" w:line="285" w:lineRule="exact"/>
        <w:rPr>
          <w:sz w:val="20"/>
          <w:szCs w:val="20"/>
          <w:color w:val="auto"/>
        </w:rPr>
      </w:pPr>
    </w:p>
    <w:p>
      <w:pPr>
        <w:ind w:firstLine="952"/>
        <w:spacing w:after="0" w:line="25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Prepayment Fee Amount for Revolving Loans</w:t>
      </w:r>
      <w:r>
        <w:rPr>
          <w:rFonts w:ascii="Times New Roman" w:cs="Times New Roman" w:eastAsia="Times New Roman" w:hAnsi="Times New Roman"/>
          <w:sz w:val="18"/>
          <w:szCs w:val="18"/>
          <w:color w:val="auto"/>
        </w:rPr>
        <w:t xml:space="preserve">. Notwithstanding anything to the contrary in any of the Loan Documents, the optional, permanent reductions in the outstanding Revolving Commitments (solely to the extent and in the amount, that after giving effect to such reduction, there is less than $50,000,000 of outstanding Revolving Commitments) and corresponding Obligations shall not be permitted prior to May 1, 2028 except in accordance with this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 If the Revolving Commitments are reduced to less than $50,000,000 in the aggregate, in addition to fees and other amounts owed thereon, such reduction in the Revolving Commitments shall be accompanied by a premium equal to (i) if such permanent reduction is made prior to May 1, 2026 for any reason (such as an acceleration of the Obligations following the occurrence of an Event of Default, an exercise of any Credit Party’s rights or remedies available under the Loan Documents, upon the consummation of a Change of Control, by any optional reduction or termination or otherwise), 5.00% of the amount by which (i) the lesser of (x) $50,000,000 and (y) the aggregate amount of Revolving Commitments immediately prior to the reduction exceeds (ii) the aggregate amount of Revolving Commitments immediately after to the reduction, (ii) if such permanent reduction is made on or after May 1, 2026 but prior to May 1, 2027 for any reason (such as an acceleration of the Obligations following the occurrence of an Event of Default, an exercise of any Credit Party’s rights or remedies available under the Loan Documents, upon the consummation of a Change of Control, by any optional reduction or termination or otherwise), 2.50% of the amount by which (i) the lesser of (x) $50,000,000 and (y) the aggregate amount of Revolving Commitments immediately prior to the reduction exceeds (ii) the aggregate amount of Revolving Commitments immediately after to the reduction, (iii) if such</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60"/>
          </w:cols>
          <w:pgMar w:left="880" w:top="270" w:right="459" w:bottom="1440" w:gutter="0" w:footer="0" w:header="0"/>
        </w:sectPr>
      </w:pPr>
    </w:p>
    <w:bookmarkStart w:id="245" w:name="page246"/>
    <w:bookmarkEnd w:id="245"/>
    <w:p>
      <w:pPr>
        <w:ind w:left="44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permanent reduction is made on or after May 1, 2027 but prior to May 1, 2028 for any reason (such as an acceleration of the Obligations following the occurrence of an Event of Default, an exercise of any Credit Party’s rights or remedies available under the Loan Documents, upon the consummation of a Change of Control, by any optional reduction or termination or otherwise), 1.00% of the amount by which (i) the lesser of (x) $50,000,000 and (y) the aggregate amount of Revolving Commitments immediately prior to the reduction exceeds (ii) the aggregate amount of Revolving Commitments immediately after to the reduction, and (iv) if such permanent reduction is made on or after May 1, 2028, 0.00% of the amount of such Revolving Commitments so permanently reduced (such amount required to be paid (or that is otherwise owed) pursuant to the foregoing, the “</w:t>
      </w:r>
      <w:r>
        <w:rPr>
          <w:rFonts w:ascii="Times New Roman" w:cs="Times New Roman" w:eastAsia="Times New Roman" w:hAnsi="Times New Roman"/>
          <w:sz w:val="18"/>
          <w:szCs w:val="18"/>
          <w:u w:val="single" w:color="auto"/>
          <w:color w:val="auto"/>
        </w:rPr>
        <w:t>Revolver Prepayment Fee Amount</w:t>
      </w:r>
      <w:r>
        <w:rPr>
          <w:rFonts w:ascii="Times New Roman" w:cs="Times New Roman" w:eastAsia="Times New Roman" w:hAnsi="Times New Roman"/>
          <w:sz w:val="18"/>
          <w:szCs w:val="18"/>
          <w:color w:val="auto"/>
        </w:rPr>
        <w:t>”; the Revolver Prepayment Fee Amount together with the Third Amendment Prepayment Fee Amount, collectively, the “</w:t>
      </w:r>
      <w:r>
        <w:rPr>
          <w:rFonts w:ascii="Times New Roman" w:cs="Times New Roman" w:eastAsia="Times New Roman" w:hAnsi="Times New Roman"/>
          <w:sz w:val="18"/>
          <w:szCs w:val="18"/>
          <w:u w:val="single" w:color="auto"/>
          <w:color w:val="auto"/>
        </w:rPr>
        <w:t>Prepayment Fee Amount</w:t>
      </w:r>
      <w:r>
        <w:rPr>
          <w:rFonts w:ascii="Times New Roman" w:cs="Times New Roman" w:eastAsia="Times New Roman" w:hAnsi="Times New Roman"/>
          <w:sz w:val="18"/>
          <w:szCs w:val="18"/>
          <w:color w:val="auto"/>
        </w:rPr>
        <w:t>”; the Prepayment Fee Amount together with the Make-Whole/Prepayment Fee Amount, collectively, the “</w:t>
      </w:r>
      <w:r>
        <w:rPr>
          <w:rFonts w:ascii="Times New Roman" w:cs="Times New Roman" w:eastAsia="Times New Roman" w:hAnsi="Times New Roman"/>
          <w:sz w:val="18"/>
          <w:szCs w:val="18"/>
          <w:u w:val="single" w:color="auto"/>
          <w:color w:val="auto"/>
        </w:rPr>
        <w:t>Prepayment Premium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(d)  The parties hereto acknowledge and agree that, in light of the impracticality and extreme difficulty of ascertaining actual damages, the Prepayment Premium applicable to the Loans being prepaid, repaid, redeemed, paid or terminated and the Commitments being permanently reduced is intended to be a reasonable calculation of the actual damages that would be suffered by the Credit Parties as a result of any such prepayment, repayment, redemption, permanent reduction, payment or termination. The parties hereto further acknowledge and agree that the Agents and the Lenders would not have entered into this Agreement, and the Lenders would not have provided the Commitments or Loans hereunder, without the Loan Parties agreeing to pay the Prepayment Premium applicable to the Loans being prepaid, repaid, redeemed, paid or terminated and the Commitments being permanently reduced in the aforementioned instances. The parties hereto further acknowledge and agree that the Prepayment Premium applicable to the Loans being prepaid, repaid, redeemed, paid or terminated and the Commitments being permanently reduced is not intended to act as a penalty or to punish the Borrower or any other Loan Party for any such prepayment, repayment, redemption or payment.</w:t>
      </w:r>
    </w:p>
    <w:p>
      <w:pPr>
        <w:spacing w:after="0" w:line="188" w:lineRule="exact"/>
        <w:rPr>
          <w:sz w:val="20"/>
          <w:szCs w:val="20"/>
          <w:color w:val="auto"/>
        </w:rPr>
      </w:pPr>
    </w:p>
    <w:p>
      <w:pPr>
        <w:ind w:left="4" w:right="140" w:firstLine="991"/>
        <w:spacing w:after="0" w:line="255" w:lineRule="auto"/>
        <w:rPr>
          <w:sz w:val="20"/>
          <w:szCs w:val="20"/>
          <w:color w:val="auto"/>
        </w:rPr>
      </w:pPr>
      <w:r>
        <w:rPr>
          <w:rFonts w:ascii="Times New Roman" w:cs="Times New Roman" w:eastAsia="Times New Roman" w:hAnsi="Times New Roman"/>
          <w:sz w:val="18"/>
          <w:szCs w:val="18"/>
          <w:color w:val="auto"/>
        </w:rPr>
        <w:t>(e)  The Borrower agrees to pay to Revolving Agent, for the ratable account of the Revolving Lenders, a revolving commitment fee (the “</w:t>
      </w:r>
      <w:r>
        <w:rPr>
          <w:rFonts w:ascii="Times New Roman" w:cs="Times New Roman" w:eastAsia="Times New Roman" w:hAnsi="Times New Roman"/>
          <w:sz w:val="18"/>
          <w:szCs w:val="18"/>
          <w:u w:val="single" w:color="auto"/>
          <w:color w:val="auto"/>
        </w:rPr>
        <w:t>Revolving Commitment Fee</w:t>
      </w:r>
      <w:r>
        <w:rPr>
          <w:rFonts w:ascii="Times New Roman" w:cs="Times New Roman" w:eastAsia="Times New Roman" w:hAnsi="Times New Roman"/>
          <w:sz w:val="18"/>
          <w:szCs w:val="18"/>
          <w:color w:val="auto"/>
        </w:rPr>
        <w:t>”) in an amount equal to (1) 0.50% times the result of (2) the aggregate amount of the Revolving Commitments less the Average Revolver Usage during the immediately preceding quarter (or portion thereof), which Revolving Commitment Fee shall be due and payable quarterly in arrears, on the last Business Day of each calendar quarter from and after the Third Amendment Effective Date and on the date on which</w:t>
      </w:r>
    </w:p>
    <w:p>
      <w:pPr>
        <w:spacing w:after="0" w:line="3" w:lineRule="exact"/>
        <w:rPr>
          <w:sz w:val="20"/>
          <w:szCs w:val="20"/>
          <w:color w:val="auto"/>
        </w:rPr>
      </w:pPr>
    </w:p>
    <w:p>
      <w:pPr>
        <w:ind w:left="4" w:right="400" w:hanging="4"/>
        <w:spacing w:after="0" w:line="255" w:lineRule="auto"/>
        <w:tabs>
          <w:tab w:leader="none" w:pos="29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are paid in full in cash and (y) the Revolving Commitments are otherwise terminated in accordance with the terms hereof. Notwithstanding the foregoing, for the avoidance of doubt, no Revolving Commitment Fee will be charged to the extent the Borrower is paying the Minimum Revolving Interest Amount.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Base Rate Borrowings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80" w:firstLine="952"/>
        <w:spacing w:after="0" w:line="25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The Term Loans comprising each Base Rate Borrowing shall bear interest at (i) in the event the Borrower makes a PIK Election, the sum of (A)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PIK Election paid in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(x) prior to the First Amendment Effective Date, 3.00% per annum and (y) from and after the First Amendment Effective Date, 3.25% per annum, in each case of clauses (B)(x) and (B)(y), paid in-kind by adding such accrued interest to the outstanding principal balance of the applicable Term Loans on each Interest Payment Date and after giving effect to the foregoing, such accrued and unpaid interest 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70" w:right="459" w:bottom="1440" w:gutter="0" w:footer="0" w:header="0"/>
        </w:sectPr>
      </w:pPr>
    </w:p>
    <w:bookmarkStart w:id="246" w:name="page247"/>
    <w:bookmarkEnd w:id="246"/>
    <w:p>
      <w:pPr>
        <w:jc w:val="both"/>
        <w:ind w:left="44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Loans shall be deemed to constitute a portion of the outstanding principal balance of the Term Loans for all purposes of this Agreement and the other Loan Documents, including with respect to the accrual of interest thereon at the rates set forth herein (the “</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xml:space="preserve">”) or (ii) in the event the Borrower makes a Cash Election,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Cash Election.</w:t>
      </w:r>
    </w:p>
    <w:p>
      <w:pPr>
        <w:spacing w:after="0" w:line="68" w:lineRule="exact"/>
        <w:rPr>
          <w:sz w:val="20"/>
          <w:szCs w:val="20"/>
          <w:color w:val="auto"/>
        </w:rPr>
      </w:pPr>
    </w:p>
    <w:p>
      <w:pPr>
        <w:ind w:left="444" w:right="500" w:firstLine="952"/>
        <w:spacing w:after="0" w:line="282" w:lineRule="auto"/>
        <w:rPr>
          <w:sz w:val="20"/>
          <w:szCs w:val="20"/>
          <w:color w:val="auto"/>
        </w:rPr>
      </w:pPr>
      <w:r>
        <w:rPr>
          <w:rFonts w:ascii="Times New Roman" w:cs="Times New Roman" w:eastAsia="Times New Roman" w:hAnsi="Times New Roman"/>
          <w:sz w:val="18"/>
          <w:szCs w:val="18"/>
          <w:color w:val="auto"/>
        </w:rPr>
        <w:t xml:space="preserve">(ii)  The Revolving Loans comprising each Base Rate Borrowing shall bear interest at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Revolving Loans.</w:t>
      </w:r>
    </w:p>
    <w:p>
      <w:pPr>
        <w:spacing w:after="0" w:line="27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SOFR Borrowings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firstLine="952"/>
        <w:spacing w:after="0" w:line="276" w:lineRule="auto"/>
        <w:rPr>
          <w:sz w:val="20"/>
          <w:szCs w:val="20"/>
          <w:color w:val="auto"/>
        </w:rPr>
      </w:pPr>
      <w:r>
        <w:rPr>
          <w:rFonts w:ascii="Times New Roman" w:cs="Times New Roman" w:eastAsia="Times New Roman" w:hAnsi="Times New Roman"/>
          <w:sz w:val="17"/>
          <w:szCs w:val="17"/>
          <w:color w:val="auto"/>
        </w:rPr>
        <w:t xml:space="preserve">(i)  The Term Loans comprising each SOFR Borrowing shall bear interest at (i) in the event the Borrower makes a PIK Election, the sum of (A) Term SOFR for the Interest Period in effect for such Borrowing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applicable to a PIK Election paid in cash </w:t>
      </w:r>
      <w:r>
        <w:rPr>
          <w:rFonts w:ascii="Times New Roman" w:cs="Times New Roman" w:eastAsia="Times New Roman" w:hAnsi="Times New Roman"/>
          <w:sz w:val="17"/>
          <w:szCs w:val="17"/>
          <w:u w:val="single" w:color="auto"/>
          <w:color w:val="auto"/>
        </w:rPr>
        <w:t>plus</w:t>
      </w:r>
    </w:p>
    <w:p>
      <w:pPr>
        <w:spacing w:after="0" w:line="1" w:lineRule="exact"/>
        <w:rPr>
          <w:sz w:val="20"/>
          <w:szCs w:val="20"/>
          <w:color w:val="auto"/>
        </w:rPr>
      </w:pPr>
    </w:p>
    <w:p>
      <w:pPr>
        <w:ind w:left="444" w:right="100" w:hanging="4"/>
        <w:spacing w:after="0" w:line="260" w:lineRule="auto"/>
        <w:tabs>
          <w:tab w:leader="none" w:pos="72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PIK Interest or (ii) in the event the Borrower makes a Cash Election, Term SOFR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Cash Election.</w:t>
      </w:r>
    </w:p>
    <w:p>
      <w:pPr>
        <w:spacing w:after="0" w:line="73" w:lineRule="exact"/>
        <w:rPr>
          <w:sz w:val="20"/>
          <w:szCs w:val="20"/>
          <w:color w:val="auto"/>
        </w:rPr>
      </w:pPr>
    </w:p>
    <w:p>
      <w:pPr>
        <w:ind w:left="444" w:right="200" w:firstLine="952"/>
        <w:spacing w:after="0" w:line="282" w:lineRule="auto"/>
        <w:rPr>
          <w:sz w:val="20"/>
          <w:szCs w:val="20"/>
          <w:color w:val="auto"/>
        </w:rPr>
      </w:pPr>
      <w:r>
        <w:rPr>
          <w:rFonts w:ascii="Times New Roman" w:cs="Times New Roman" w:eastAsia="Times New Roman" w:hAnsi="Times New Roman"/>
          <w:sz w:val="18"/>
          <w:szCs w:val="18"/>
          <w:color w:val="auto"/>
        </w:rPr>
        <w:t xml:space="preserve">(ii)  The Revolving Loans comprising each SOFR Borrowing shall bear interest at Term SOFR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Revolving Loans.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(c)   Notwithstanding the foregoing, automatically upon the occurrence of any Event of Default described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w:t>
      </w:r>
    </w:p>
    <w:p>
      <w:pPr>
        <w:spacing w:after="0" w:line="27" w:lineRule="exact"/>
        <w:rPr>
          <w:sz w:val="20"/>
          <w:szCs w:val="20"/>
          <w:color w:val="auto"/>
        </w:rPr>
      </w:pPr>
    </w:p>
    <w:p>
      <w:pPr>
        <w:ind w:left="4" w:right="120"/>
        <w:spacing w:after="0" w:line="253" w:lineRule="auto"/>
        <w:rPr>
          <w:sz w:val="20"/>
          <w:szCs w:val="20"/>
          <w:color w:val="auto"/>
        </w:rPr>
      </w:pP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and at the direction of the Administrative Agent or the Required Lenders in the case of any Event of Default described in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(solely with respect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all outstanding Obligations shall bear interest, after as well as before judgment, at a rate per annum equal to (1) in the case of any Loan, 2.00% plus the rate otherwise applicable to such Loan as provided in the preceding paragraphs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(2) in the case of any other amount 2.00% plus the rate applicable to Base Rate Loans as provided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(such rates referred to in this clause (c), the “</w:t>
      </w:r>
      <w:r>
        <w:rPr>
          <w:rFonts w:ascii="Times New Roman" w:cs="Times New Roman" w:eastAsia="Times New Roman" w:hAnsi="Times New Roman"/>
          <w:sz w:val="18"/>
          <w:szCs w:val="18"/>
          <w:u w:val="single" w:color="auto"/>
          <w:color w:val="auto"/>
        </w:rPr>
        <w:t>Default Rates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180" w:firstLine="991"/>
        <w:spacing w:after="0" w:line="281" w:lineRule="auto"/>
        <w:rPr>
          <w:sz w:val="20"/>
          <w:szCs w:val="20"/>
          <w:color w:val="auto"/>
        </w:rPr>
      </w:pPr>
      <w:r>
        <w:rPr>
          <w:rFonts w:ascii="Times New Roman" w:cs="Times New Roman" w:eastAsia="Times New Roman" w:hAnsi="Times New Roman"/>
          <w:sz w:val="17"/>
          <w:szCs w:val="17"/>
          <w:color w:val="auto"/>
        </w:rPr>
        <w:t xml:space="preserve">(d)  Accrued interest on each Loan shall be payable in arrears on each Interest Payment Date for such Loan,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interest accrued pursuant to </w:t>
      </w:r>
      <w:r>
        <w:rPr>
          <w:rFonts w:ascii="Times New Roman" w:cs="Times New Roman" w:eastAsia="Times New Roman" w:hAnsi="Times New Roman"/>
          <w:sz w:val="17"/>
          <w:szCs w:val="17"/>
          <w:u w:val="single" w:color="auto"/>
          <w:color w:val="auto"/>
        </w:rPr>
        <w:t>Section 2.13(c)</w:t>
      </w:r>
      <w:r>
        <w:rPr>
          <w:rFonts w:ascii="Times New Roman" w:cs="Times New Roman" w:eastAsia="Times New Roman" w:hAnsi="Times New Roman"/>
          <w:sz w:val="17"/>
          <w:szCs w:val="17"/>
          <w:color w:val="auto"/>
        </w:rPr>
        <w:t xml:space="preserve"> shall be payable on demand, (ii) 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64" w:lineRule="exact"/>
        <w:rPr>
          <w:sz w:val="20"/>
          <w:szCs w:val="20"/>
          <w:color w:val="auto"/>
        </w:rPr>
      </w:pPr>
    </w:p>
    <w:p>
      <w:pPr>
        <w:ind w:left="4" w:right="180" w:firstLine="991"/>
        <w:spacing w:after="0" w:line="276" w:lineRule="auto"/>
        <w:rPr>
          <w:sz w:val="20"/>
          <w:szCs w:val="20"/>
          <w:color w:val="auto"/>
        </w:rPr>
      </w:pPr>
      <w:r>
        <w:rPr>
          <w:rFonts w:ascii="Times New Roman" w:cs="Times New Roman" w:eastAsia="Times New Roman" w:hAnsi="Times New Roman"/>
          <w:sz w:val="17"/>
          <w:szCs w:val="17"/>
          <w:color w:val="auto"/>
        </w:rPr>
        <w:t>(e)  All interest hereunder shall be computed on the basis of a year of three hundred sixty (360) days, except that interest computed by reference to the Base Rate at times when the Base Rate is based on the Prime Rate shall be computed on the basis of a year of three hundred sixty-five</w:t>
      </w:r>
    </w:p>
    <w:p>
      <w:pPr>
        <w:spacing w:after="0" w:line="1" w:lineRule="exact"/>
        <w:rPr>
          <w:sz w:val="20"/>
          <w:szCs w:val="20"/>
          <w:color w:val="auto"/>
        </w:rPr>
      </w:pPr>
    </w:p>
    <w:p>
      <w:pPr>
        <w:jc w:val="both"/>
        <w:ind w:left="4" w:right="140" w:hanging="4"/>
        <w:spacing w:after="0" w:line="255" w:lineRule="auto"/>
        <w:tabs>
          <w:tab w:leader="none" w:pos="43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three hundred sixty-six (366) days in a leap year), and in each case shall be payable for the actual number of days elapsed (including the first day but excluding the last day). For the avoidance of doubt, no date of payment shall be included in any computation. The applicable Base Rate or Term SOFR shall be determined by the Administrative Agent, and such determination shall be conclusive absent manifest error.</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   Notwithstanding anything to the contrary herein, on any Interest Payment Date:</w:t>
      </w:r>
    </w:p>
    <w:p>
      <w:pPr>
        <w:spacing w:after="0" w:line="117" w:lineRule="exact"/>
        <w:rPr>
          <w:sz w:val="20"/>
          <w:szCs w:val="20"/>
          <w:color w:val="auto"/>
        </w:rPr>
      </w:pPr>
    </w:p>
    <w:p>
      <w:pPr>
        <w:ind w:left="444" w:right="100" w:firstLine="952"/>
        <w:spacing w:after="0" w:line="282" w:lineRule="auto"/>
        <w:rPr>
          <w:sz w:val="20"/>
          <w:szCs w:val="20"/>
          <w:color w:val="auto"/>
        </w:rPr>
      </w:pPr>
      <w:r>
        <w:rPr>
          <w:rFonts w:ascii="Times New Roman" w:cs="Times New Roman" w:eastAsia="Times New Roman" w:hAnsi="Times New Roman"/>
          <w:sz w:val="18"/>
          <w:szCs w:val="18"/>
          <w:color w:val="auto"/>
        </w:rPr>
        <w:t>(i)  the accrued interest on the Term Loans due on such Interest Payment Date may be paid (x) solely in cash at the written election of the Borrower (any such election, a “</w:t>
      </w:r>
      <w:r>
        <w:rPr>
          <w:rFonts w:ascii="Times New Roman" w:cs="Times New Roman" w:eastAsia="Times New Roman" w:hAnsi="Times New Roman"/>
          <w:sz w:val="18"/>
          <w:szCs w:val="18"/>
          <w:u w:val="single" w:color="auto"/>
          <w:color w:val="auto"/>
        </w:rPr>
        <w:t>Cash</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247" w:name="page248"/>
    <w:bookmarkEnd w:id="247"/>
    <w:p>
      <w:pPr>
        <w:ind w:left="980"/>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w:t>
      </w:r>
      <w:r>
        <w:rPr>
          <w:rFonts w:ascii="Times New Roman" w:cs="Times New Roman" w:eastAsia="Times New Roman" w:hAnsi="Times New Roman"/>
          <w:sz w:val="18"/>
          <w:szCs w:val="18"/>
          <w:color w:val="auto"/>
        </w:rPr>
        <w:t>”) or (y) partially in cash and partially in kind by increasing the principal amount of the Term Loans by the amount of such interest at the written election of the Borrower (any such election, a “</w:t>
      </w:r>
      <w:r>
        <w:rPr>
          <w:rFonts w:ascii="Times New Roman" w:cs="Times New Roman" w:eastAsia="Times New Roman" w:hAnsi="Times New Roman"/>
          <w:sz w:val="18"/>
          <w:szCs w:val="18"/>
          <w:u w:val="single" w:color="auto"/>
          <w:color w:val="auto"/>
        </w:rPr>
        <w:t>PIK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exercise the PIK Election with respect to any such Interest Payment Date by delivering written notice thereof to the Administrative Agent no later than 1:00 p.m., New York City time, five (5) Business Days prior to such Interest Payment Date and if the Borrower fails to make any such election, the Borrower shall have deemed to have made the Cash Election for such Interest Payment Date; and</w:t>
      </w:r>
    </w:p>
    <w:p>
      <w:pPr>
        <w:spacing w:after="0" w:line="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(ii)   the accrued interest on the Revolving Loans due on such Interest Payment Date shall be paid solely in cash.</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(g)  Term SOFR for each Interest Period shall be determined by the Administrative Agent, and notice thereof shall be given by the Administrative Agent promptly to the Borrower and each Lender. Each determination of Term SOFR by the Administrative Agent shall be conclusive and binding upon the parties hereto, in the absence of demonstrable error. The Administrative Agent shall, upon written request of the Borrower or any Lender, deliver to the Borrower or such Lender a statement showing the computations used by the Administrative Agent in determining Term SOFR hereunder.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8" w:lineRule="exact"/>
        <w:rPr>
          <w:sz w:val="20"/>
          <w:szCs w:val="20"/>
          <w:color w:val="auto"/>
        </w:rPr>
      </w:pPr>
    </w:p>
    <w:p>
      <w:pPr>
        <w:ind w:right="140" w:firstLine="991"/>
        <w:spacing w:after="0" w:line="254" w:lineRule="auto"/>
        <w:rPr>
          <w:sz w:val="20"/>
          <w:szCs w:val="20"/>
          <w:color w:val="auto"/>
        </w:rPr>
      </w:pPr>
      <w:r>
        <w:rPr>
          <w:rFonts w:ascii="Times New Roman" w:cs="Times New Roman" w:eastAsia="Times New Roman" w:hAnsi="Times New Roman"/>
          <w:sz w:val="18"/>
          <w:szCs w:val="18"/>
          <w:color w:val="auto"/>
        </w:rPr>
        <w:t>(h)  Notwithstanding anything in this Agreement or any other Loan Document to the contrary, at all times prior to the termination of the Revolving Commitments, to the extent that, on any date, the outstanding aggregate principal amount of the drawn Revolving Loans is less than the greater of (x) 50% of the aggregate Revolving Commitment and (y) $50,000,000, the amount of interest payable on account of the Revolving Loans shall be equal to the amount of interest that would be payable had the outstanding principal amount of the Revolving Loans equal to the greater of (x) 50% of the aggregate Revolving Commitments and (y) $50,000,000 (the “</w:t>
      </w:r>
      <w:r>
        <w:rPr>
          <w:rFonts w:ascii="Times New Roman" w:cs="Times New Roman" w:eastAsia="Times New Roman" w:hAnsi="Times New Roman"/>
          <w:sz w:val="18"/>
          <w:szCs w:val="18"/>
          <w:u w:val="single" w:color="auto"/>
          <w:color w:val="auto"/>
        </w:rPr>
        <w:t>Minimum Revolving Interest Amount</w:t>
      </w:r>
      <w:r>
        <w:rPr>
          <w:rFonts w:ascii="Times New Roman" w:cs="Times New Roman" w:eastAsia="Times New Roman" w:hAnsi="Times New Roman"/>
          <w:sz w:val="18"/>
          <w:szCs w:val="18"/>
          <w:color w:val="auto"/>
        </w:rPr>
        <w:t>”). Notwithstanding anything to the contrary contained herein, solely for purposes of calculating the Minimum Revolving Interest Amount, any drawn Revolving Loans will be assessed as SOFR Loans with an Interest Period of one (1) month, irrespective of whether such Revolving Loans initially constituted a Base Rate Borrowing or SOFR Borrowing (and with respect to any SOFR Borrowing, irrespective of the original Interest Period specified for such SOFR Borrowing).</w:t>
      </w: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3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248" w:name="page249"/>
    <w:bookmarkEnd w:id="248"/>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in consultation with the Borrower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249" w:name="page250"/>
    <w:bookmarkEnd w:id="2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117" w:lineRule="exact"/>
        <w:rPr>
          <w:sz w:val="20"/>
          <w:szCs w:val="20"/>
          <w:color w:val="auto"/>
        </w:rPr>
      </w:pPr>
    </w:p>
    <w:p>
      <w:pPr>
        <w:ind w:left="440" w:right="60" w:firstLine="952"/>
        <w:spacing w:after="0" w:line="282"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or similar requirement against assets of, deposits with or for the account of, or credit extended by, any Lender (except any such reserve requirement reflected in Term SOFR); or</w:t>
      </w:r>
    </w:p>
    <w:p>
      <w:pPr>
        <w:spacing w:after="0" w:line="54" w:lineRule="exact"/>
        <w:rPr>
          <w:sz w:val="20"/>
          <w:szCs w:val="20"/>
          <w:color w:val="auto"/>
        </w:rPr>
      </w:pPr>
    </w:p>
    <w:p>
      <w:pPr>
        <w:ind w:left="440" w:right="80" w:firstLine="952"/>
        <w:spacing w:after="0" w:line="282" w:lineRule="auto"/>
        <w:rPr>
          <w:sz w:val="20"/>
          <w:szCs w:val="20"/>
          <w:color w:val="auto"/>
        </w:rPr>
      </w:pPr>
      <w:r>
        <w:rPr>
          <w:rFonts w:ascii="Times New Roman" w:cs="Times New Roman" w:eastAsia="Times New Roman" w:hAnsi="Times New Roman"/>
          <w:sz w:val="18"/>
          <w:szCs w:val="18"/>
          <w:color w:val="auto"/>
        </w:rPr>
        <w:t>(ii)  impose on any Lender any Taxes (except for Indemnified Taxes, Other Taxes, and Excluded Taxes) on its loans, loan principal, letters of credit, commitments, or other obligations, or its deposits, reserves, other liabilities or capital attributable thereto; or</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impose on any Lender any other condition affecting this Agreement or SOFR Loans made by such Lender or participation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therein;</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or such other Recipient of making or maintaining any SOFR Loan (or of maintaining its obligation to make any such Loan) or to increase the cost to such Lender, or to reduce the amount of any sum received or receivable by such Lender or other Recipient hereunder (whether of principal, interest or otherwise), then the Borrower will pay to such Lender or other Recipient, as applicable, such additional amount or amounts as will compensate such Lender or other Recipient, as applicable,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only be entitled to seek such additional amounts if such Person is generally seeking the payment of similar additional amounts from similarly situated borrowers in comparable credit facilities to the extent it is entitled to do so.</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(b)  If any Lender determines that any Change in Law affecting such Lender or any lending office of such Lender or such Lender’s holding company, if any, regarding capital or liquidity requirements has or would have the effect of reducing the rate of return on such Lender’s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only be entitled to seek such additional amounts if such Person is generally seeking the payment of similar additional amounts from similarly situated borrowers in comparable credit facilities to the extent it is entitled to do so.</w:t>
      </w:r>
    </w:p>
    <w:p>
      <w:pPr>
        <w:spacing w:after="0" w:line="19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(c)  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(d)  A certificate of a Lender setting forth in reasonable detail the basis for and computation of the amount or amounts necessary to compensate such Lender or its holding company, as applicable, as specified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the amount shown as due on any such certificate within ten (10) days after receipt thereof.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250" w:name="page251"/>
    <w:bookmarkEnd w:id="250"/>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Failure or delay on the part of any Lender to demand compensation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for any increased costs or reductions incurred more than two hundred seventy (270)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two hundred seventy (270)-day period referred to above shall be extended to include the period of retroactive effect thereof.</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Term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2.11(f)</w:t>
      </w:r>
      <w:r>
        <w:rPr>
          <w:rFonts w:ascii="Times New Roman" w:cs="Times New Roman" w:eastAsia="Times New Roman" w:hAnsi="Times New Roman"/>
          <w:sz w:val="18"/>
          <w:szCs w:val="18"/>
          <w:color w:val="auto"/>
        </w:rPr>
        <w:t xml:space="preserve"> and is revoked in accordance therewith), or (d) the assignment of any SOFR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then, in any such event, the Borrower shall compensate each Lender for the loss, cost and expense attributable to such event (but not lost profits). In the case of a SOFR Loan, such loss, cost or expense to any Lender shall be deemed to include an amount determined by such Lender to be the excess, if any, of (i) the amount of interest that would have accrued on the principal amount of such Loan had such event not occurred, at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SOFR market. A certificate of any Lender setting forth any amount or amounts that such Lender is entitled to receive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the amount shown as due on any such certificate within ten (10) days after receipt thereof. Notwithstanding the foregoing, no additional amounts shall be due and payable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to the extent that on the relevant due date the Borrower deposits in a Prepayment Account an amount equal to any payment of SOFR Loans otherwise required to be made on a date that is not the last day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the last day of the applicable Interest Period, the Administrative Agent shall be authorized, without any further action by or notice to or from the Borrower or any other Loan Party, to apply such amount to the prepayment of such SOFR Loans. For purposes of this Agreement, the term “Prepayment Account” shall mean a non-interest bearing account established by the Borrower with the Administrative Agent and over which the Administrative Agent shall have exclusive dominion and control, including the right of withdrawal for application in accordance with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(a)  Any and all payments by or on account of any obligation of any Loan Party hereunder or under any other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or Other Tax, then the sum payable by the Borrower shall be increased as necessary so that after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440" w:top="270" w:right="439" w:bottom="1440" w:gutter="0" w:footer="0" w:header="0"/>
        </w:sectPr>
      </w:pPr>
    </w:p>
    <w:bookmarkStart w:id="251" w:name="page252"/>
    <w:bookmarkEnd w:id="25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Without duplication of other amounts paid by any Loan Party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applicable Loan Party shall pay any Other Taxes to the relevant Governmental Authority in accordance with applicable law.</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(c)  The applicable Loan Party shall indemnify the Administrative Agent and each Lender within 30 days after written demand therefor, for the full amount of any Indemnified Taxes or Other Taxes paid by the Administrative Agent or such Lender, as applicable, on or with respect to any payment by or on account of any obligation of such Loan Party hereunder or under any other Loan Document (including Indemnified Taxes or Other Taxes imposed or asserted on or attributable to amounts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whether or not such Indemnified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(d)  Each Lender shall severally indemnify the Administrative Agent, within ten (10) days after demand therefor, for (i) any Indemnified Taxes or Other Taxes attributable to such Lender (but only to the extent that the Loan Parties have not already indemnified the Administrative Agent for such Indemnified Taxes or Other Taxes and without limiting or expanding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94" w:lineRule="exact"/>
        <w:rPr>
          <w:sz w:val="20"/>
          <w:szCs w:val="20"/>
          <w:color w:val="auto"/>
        </w:rPr>
      </w:pPr>
    </w:p>
    <w:p>
      <w:pPr>
        <w:jc w:val="both"/>
        <w:ind w:firstLine="991"/>
        <w:spacing w:after="0" w:line="289" w:lineRule="auto"/>
        <w:rPr>
          <w:sz w:val="20"/>
          <w:szCs w:val="20"/>
          <w:color w:val="auto"/>
        </w:rPr>
      </w:pPr>
      <w:r>
        <w:rPr>
          <w:rFonts w:ascii="Times New Roman" w:cs="Times New Roman" w:eastAsia="Times New Roman" w:hAnsi="Times New Roman"/>
          <w:sz w:val="17"/>
          <w:szCs w:val="17"/>
          <w:color w:val="auto"/>
        </w:rPr>
        <w:t>(e)  As soon as practicable after any payment of Indemnified Taxes or Other Taxes by any Loan Party to a Governmental Authority, such Loan Party shall deliver to the Administrative Agent the original or a certified copy of a receipt issued by such Governmental Authority evidencing such payment, if any, a copy of the return reporting such payment or other evidence of such payment reasonably satisfactory to the Administrative Agent.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952"/>
        <w:spacing w:after="0" w:line="256" w:lineRule="auto"/>
        <w:rPr>
          <w:sz w:val="20"/>
          <w:szCs w:val="20"/>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252" w:name="page253"/>
    <w:bookmarkEnd w:id="25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this </w:t>
      </w:r>
      <w:r>
        <w:rPr>
          <w:rFonts w:ascii="Times New Roman" w:cs="Times New Roman" w:eastAsia="Times New Roman" w:hAnsi="Times New Roman"/>
          <w:sz w:val="18"/>
          <w:szCs w:val="18"/>
          <w:u w:val="single" w:color="auto"/>
          <w:color w:val="auto"/>
        </w:rPr>
        <w:t>Section 2.17(f)(ii)(1)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(ii)(4)</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(ii)   Without limiting the generality of the foregoing,</w:t>
      </w:r>
    </w:p>
    <w:p>
      <w:pPr>
        <w:spacing w:after="0" w:line="117" w:lineRule="exact"/>
        <w:rPr>
          <w:sz w:val="20"/>
          <w:szCs w:val="20"/>
          <w:color w:val="auto"/>
        </w:rPr>
      </w:pPr>
    </w:p>
    <w:p>
      <w:pPr>
        <w:ind w:left="540" w:right="20" w:firstLine="902"/>
        <w:spacing w:after="0" w:line="261" w:lineRule="auto"/>
        <w:rPr>
          <w:sz w:val="20"/>
          <w:szCs w:val="20"/>
          <w:color w:val="auto"/>
        </w:rPr>
      </w:pPr>
      <w:r>
        <w:rPr>
          <w:rFonts w:ascii="Times New Roman" w:cs="Times New Roman" w:eastAsia="Times New Roman" w:hAnsi="Times New Roman"/>
          <w:sz w:val="18"/>
          <w:szCs w:val="18"/>
          <w:color w:val="auto"/>
        </w:rPr>
        <w:t>(1)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not subject to U.S. federal backup withholding tax;</w:t>
      </w:r>
    </w:p>
    <w:p>
      <w:pPr>
        <w:spacing w:after="0" w:line="72" w:lineRule="exact"/>
        <w:rPr>
          <w:sz w:val="20"/>
          <w:szCs w:val="20"/>
          <w:color w:val="auto"/>
        </w:rPr>
      </w:pPr>
    </w:p>
    <w:p>
      <w:pPr>
        <w:ind w:left="540" w:right="60" w:firstLine="902"/>
        <w:spacing w:after="0" w:line="261" w:lineRule="auto"/>
        <w:rPr>
          <w:sz w:val="20"/>
          <w:szCs w:val="20"/>
          <w:color w:val="auto"/>
        </w:rPr>
      </w:pPr>
      <w:r>
        <w:rPr>
          <w:rFonts w:ascii="Times New Roman" w:cs="Times New Roman" w:eastAsia="Times New Roman" w:hAnsi="Times New Roman"/>
          <w:sz w:val="18"/>
          <w:szCs w:val="18"/>
          <w:color w:val="auto"/>
        </w:rPr>
        <w:t>(2)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   in the case of a Foreign Lender claiming the benefits of an income tax treaty to which the United States is a party</w:t>
      </w:r>
    </w:p>
    <w:p>
      <w:pPr>
        <w:spacing w:after="0" w:line="27" w:lineRule="exact"/>
        <w:rPr>
          <w:sz w:val="20"/>
          <w:szCs w:val="20"/>
          <w:color w:val="auto"/>
        </w:rPr>
      </w:pPr>
    </w:p>
    <w:p>
      <w:pPr>
        <w:ind w:left="980" w:firstLine="8"/>
        <w:spacing w:after="0" w:line="265" w:lineRule="auto"/>
        <w:tabs>
          <w:tab w:leader="none" w:pos="123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payments of interest under any Loan Document, executed copies of IRS Form W-8BEN or W-8BEN-E establishing an exemption from, or reduction of, U.S. federal withholding Tax pursuant to the “interest” article of such tax treaty and</w:t>
      </w:r>
    </w:p>
    <w:p>
      <w:pPr>
        <w:ind w:left="980" w:right="200" w:firstLine="8"/>
        <w:spacing w:after="0" w:line="255" w:lineRule="auto"/>
        <w:tabs>
          <w:tab w:leader="none" w:pos="12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7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(B)   executed copies of IRS Form W-8ECI;</w:t>
      </w:r>
    </w:p>
    <w:p>
      <w:pPr>
        <w:spacing w:after="0" w:line="117" w:lineRule="exact"/>
        <w:rPr>
          <w:sz w:val="20"/>
          <w:szCs w:val="20"/>
          <w:color w:val="auto"/>
        </w:rPr>
      </w:pPr>
    </w:p>
    <w:p>
      <w:pPr>
        <w:jc w:val="both"/>
        <w:ind w:left="980" w:right="60" w:firstLine="863"/>
        <w:spacing w:after="0" w:line="257" w:lineRule="auto"/>
        <w:rPr>
          <w:sz w:val="20"/>
          <w:szCs w:val="20"/>
          <w:color w:val="auto"/>
        </w:rPr>
      </w:pPr>
      <w:r>
        <w:rPr>
          <w:rFonts w:ascii="Times New Roman" w:cs="Times New Roman" w:eastAsia="Times New Roman" w:hAnsi="Times New Roman"/>
          <w:sz w:val="18"/>
          <w:szCs w:val="18"/>
          <w:color w:val="auto"/>
        </w:rPr>
        <w:t>(C)  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Borrower within the meaning of Section 881(c)(3)</w:t>
      </w:r>
    </w:p>
    <w:p>
      <w:pPr>
        <w:spacing w:after="0" w:line="1" w:lineRule="exact"/>
        <w:rPr>
          <w:sz w:val="20"/>
          <w:szCs w:val="20"/>
          <w:color w:val="auto"/>
        </w:rPr>
      </w:pPr>
    </w:p>
    <w:p>
      <w:pPr>
        <w:ind w:left="980" w:right="240" w:firstLine="8"/>
        <w:spacing w:after="0" w:line="260" w:lineRule="auto"/>
        <w:tabs>
          <w:tab w:leader="none" w:pos="126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a “controlled foreign corporation” related to the Borrower as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W-8BEN-E; or</w:t>
      </w:r>
    </w:p>
    <w:p>
      <w:pPr>
        <w:spacing w:after="0" w:line="73" w:lineRule="exact"/>
        <w:rPr>
          <w:sz w:val="20"/>
          <w:szCs w:val="20"/>
          <w:color w:val="auto"/>
        </w:rPr>
      </w:pPr>
    </w:p>
    <w:p>
      <w:pPr>
        <w:jc w:val="both"/>
        <w:ind w:left="980" w:firstLine="863"/>
        <w:spacing w:after="0" w:line="266" w:lineRule="auto"/>
        <w:rPr>
          <w:sz w:val="20"/>
          <w:szCs w:val="20"/>
          <w:color w:val="auto"/>
        </w:rPr>
      </w:pPr>
      <w:r>
        <w:rPr>
          <w:rFonts w:ascii="Times New Roman" w:cs="Times New Roman" w:eastAsia="Times New Roman" w:hAnsi="Times New Roman"/>
          <w:sz w:val="18"/>
          <w:szCs w:val="18"/>
          <w:color w:val="auto"/>
        </w:rPr>
        <w:t>(D)  to the extent a Foreign Lender is not the beneficial owner, executed copies of IRS Form W-8IMY, accompanied by IRS Form W-8ECI, IRS Form W-8BEN or W-8BEN-E, a U.S. Tax Compliance Certificate substantially in the form of Exhibit I-2 or Exhibit I-3, IRS Form W-9, and/or other certification</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540"/>
          </w:cols>
          <w:pgMar w:left="880" w:top="270" w:right="479" w:bottom="1440" w:gutter="0" w:footer="0" w:header="0"/>
        </w:sectPr>
      </w:pPr>
    </w:p>
    <w:bookmarkStart w:id="253" w:name="page254"/>
    <w:bookmarkEnd w:id="253"/>
    <w:p>
      <w:pPr>
        <w:jc w:val="both"/>
        <w:ind w:left="142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68" w:lineRule="exact"/>
        <w:rPr>
          <w:sz w:val="20"/>
          <w:szCs w:val="20"/>
          <w:color w:val="auto"/>
        </w:rPr>
      </w:pPr>
    </w:p>
    <w:p>
      <w:pPr>
        <w:ind w:left="980" w:right="80" w:firstLine="902"/>
        <w:spacing w:after="0" w:line="256" w:lineRule="auto"/>
        <w:rPr>
          <w:sz w:val="20"/>
          <w:szCs w:val="20"/>
          <w:color w:val="auto"/>
        </w:rPr>
      </w:pPr>
      <w:r>
        <w:rPr>
          <w:rFonts w:ascii="Times New Roman" w:cs="Times New Roman" w:eastAsia="Times New Roman" w:hAnsi="Times New Roman"/>
          <w:sz w:val="18"/>
          <w:szCs w:val="18"/>
          <w:color w:val="auto"/>
        </w:rPr>
        <w:t>(3)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7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(4)   if a payment made to a Lender under any Loan Document would be subject to U.S. federal withholding Tax imposed by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FATCA if such Lender were to fail to comply with the applicable reporting requirements of FATCA (including those contained in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1471(b) or 1472(b) of the Code, as applicable), such Lender shall deliver to the Borrower and the Administrative Agent at the time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 times prescribed by law and at such time or times reasonably requested by the Borrower or the Administrative Agent such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documentation prescribed by applicable law (including as prescribed by Section 1471(b)(3)(C)(i) of the Code) and such additional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documentation reasonably requested by the Borrower or the Administrative Agent as may be necessary for the Borrower and the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Administrative Agent to comply with their obligations under FATCA and to determine that such Lender has complied with such Lender’s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obligations under FATCA or to determine the amount to deduct and withhold from such payment. Solely for purposes of this clause (4),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“FATCA” shall include any amendments made to FATCA after the date of this Agreement.</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provide such successor form, or promptly notify the Borrower and the Administrative Agent in writing of its legal inability to do so.</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(g)  On or before the date the Administrative Agent becomes a party to this Agreement, the Administrative Agent shall provide to the Borrower, two duly-signed, properly completed copies of the documentation prescribed in clause (i) or (ii) below, as applicable (together with all required attachments thereto): (i) IRS Form W-9 or any successor thereto, or (ii) (A) IRS Form W-8ECI or any successor thereto, and (B) 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w:t>
      </w:r>
    </w:p>
    <w:p>
      <w:pPr>
        <w:spacing w:after="0" w:line="18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(h)  If any party determines, in its sole discretion exercised in good faith, that it has received a refund of any Taxes as to which it has been indemnified (including by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it shall pay over such refund to the indemnifying party (but only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254" w:name="page255"/>
    <w:bookmarkEnd w:id="25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extent of indemnity payments made, or additional amounts paid, by the indemnifying party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Taxes giving rise to such refund), net of all out-of-pocket expenses of such indemnified party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upon the request of the indemnified party, agrees to repay the amount paid over to the indemnifying party pursuant to this paragraph (h)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the indemnified party in the event the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paragraph (h) shall not be construed to require any indemnified party to make available its tax returns (or any other information relating to its taxes that it deems confidential) to the indemnifying party or any other Person.</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(i)  Failure or delay on the part of any Lender or the Administrative Agent to demand compensation pursuant to the foregoing provisions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not constitute a waiver of such Lender’s or Administrative Agent’s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the Administrative Agent pursuant to the foregoing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for any Taxes or related costs suffered more than two hundred seventy (270) days prior to the date that such Lender or the Administrative Agent notifies the Borrower of the event giving rise to such claim and of such Lender’s or the Administrative Agent’s intention to claim compensation therefor (except that, if the circumstance giving rise to such demand for compensation is retroactive, then the two hundred seventy (270)-day period referred to above shall be extended to include the period of retroactive effect thereof).</w:t>
      </w:r>
    </w:p>
    <w:p>
      <w:pPr>
        <w:spacing w:after="0" w:line="189"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(j)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(k)  Borrower and each Lender acknowledge and agree that, for U.S. federal and other applicable income tax purposes, the Term Loans have original issue discount (“</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xml:space="preserve">”) within the meaning of Section 1272 of the Code, and shall not be treated as “contingent payment debt instruments” as defined pursuant to Treasury Regulation Section 1.1275-4. Information regarding the amount of any OID, the issue price, the issue date and the yield to maturity of the Term Loans and the Revolving Loans may be obtained by writing to the Borrower at the address specified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Neither Borrower nor any Lender shall take any tax position inconsistent with this </w:t>
      </w:r>
      <w:r>
        <w:rPr>
          <w:rFonts w:ascii="Times New Roman" w:cs="Times New Roman" w:eastAsia="Times New Roman" w:hAnsi="Times New Roman"/>
          <w:sz w:val="18"/>
          <w:szCs w:val="18"/>
          <w:u w:val="single" w:color="auto"/>
          <w:color w:val="auto"/>
        </w:rPr>
        <w:t>Section 2.17(k)</w:t>
      </w:r>
      <w:r>
        <w:rPr>
          <w:rFonts w:ascii="Times New Roman" w:cs="Times New Roman" w:eastAsia="Times New Roman" w:hAnsi="Times New Roman"/>
          <w:sz w:val="18"/>
          <w:szCs w:val="18"/>
          <w:color w:val="auto"/>
        </w:rPr>
        <w:t xml:space="preserve"> unless otherwise required by the final determination of a tax authority following a tax audit or examination.</w:t>
      </w:r>
    </w:p>
    <w:p>
      <w:pPr>
        <w:spacing w:after="0" w:line="187"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2.18. </w:t>
      </w:r>
      <w:r>
        <w:rPr>
          <w:sz w:val="20"/>
          <w:szCs w:val="20"/>
          <w:color w:val="auto"/>
        </w:rPr>
        <w:tab/>
      </w:r>
      <w:r>
        <w:rPr>
          <w:rFonts w:ascii="Times New Roman" w:cs="Times New Roman" w:eastAsia="Times New Roman" w:hAnsi="Times New Roman"/>
          <w:sz w:val="17"/>
          <w:szCs w:val="17"/>
          <w:u w:val="single" w:color="auto"/>
          <w:color w:val="auto"/>
        </w:rPr>
        <w:t>Payments Generally; Pro Rata Treatment; Sharing of Setoffs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  The Borrower shall make each payment required to be made by it hereunder or under any other Loan Document (whether of principal, interest or fees (including any Prepayment Premium), or of amounts payable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or otherwise) at or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440" w:top="270" w:right="499" w:bottom="1440" w:gutter="0" w:footer="0" w:header="0"/>
        </w:sectPr>
      </w:pPr>
    </w:p>
    <w:bookmarkStart w:id="255" w:name="page256"/>
    <w:bookmarkEnd w:id="25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discretion of the Administrative Agent, be deemed to have been received on the next succeeding Business Day for purposes of calculating interest thereon. All such payments shall be made to the Administrative Agent at its offices at the account as most recently designated in writing for the receipt of such payments,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each Loan Document shall be made in dollars.</w:t>
      </w:r>
    </w:p>
    <w:p>
      <w:pPr>
        <w:spacing w:after="0" w:line="192" w:lineRule="exact"/>
        <w:rPr>
          <w:sz w:val="20"/>
          <w:szCs w:val="20"/>
          <w:color w:val="auto"/>
        </w:rPr>
      </w:pPr>
    </w:p>
    <w:p>
      <w:pPr>
        <w:jc w:val="both"/>
        <w:ind w:right="60" w:firstLine="991"/>
        <w:spacing w:after="0" w:line="281" w:lineRule="auto"/>
        <w:rPr>
          <w:sz w:val="20"/>
          <w:szCs w:val="20"/>
          <w:color w:val="auto"/>
        </w:rPr>
      </w:pPr>
      <w:r>
        <w:rPr>
          <w:rFonts w:ascii="Times New Roman" w:cs="Times New Roman" w:eastAsia="Times New Roman" w:hAnsi="Times New Roman"/>
          <w:sz w:val="17"/>
          <w:szCs w:val="17"/>
          <w:color w:val="auto"/>
        </w:rPr>
        <w:t xml:space="preserve">(b)  Subject to </w:t>
      </w:r>
      <w:r>
        <w:rPr>
          <w:rFonts w:ascii="Times New Roman" w:cs="Times New Roman" w:eastAsia="Times New Roman" w:hAnsi="Times New Roman"/>
          <w:sz w:val="17"/>
          <w:szCs w:val="17"/>
          <w:u w:val="single" w:color="auto"/>
          <w:color w:val="auto"/>
        </w:rPr>
        <w:t>Section 2.18(g)</w:t>
      </w:r>
      <w:r>
        <w:rPr>
          <w:rFonts w:ascii="Times New Roman" w:cs="Times New Roman" w:eastAsia="Times New Roman" w:hAnsi="Times New Roman"/>
          <w:sz w:val="17"/>
          <w:szCs w:val="17"/>
          <w:color w:val="auto"/>
        </w:rPr>
        <w:t xml:space="preserve">, 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towards payment of principal then due hereunder, ratably among the parties entitled thereto in accordance with the amounts of principal then due to such parties.</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(d)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and in its sole discretion,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9"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  If any Lender shall fail to make any payment required to be made by it pursuant to </w:t>
      </w:r>
      <w:r>
        <w:rPr>
          <w:rFonts w:ascii="Times New Roman" w:cs="Times New Roman" w:eastAsia="Times New Roman" w:hAnsi="Times New Roman"/>
          <w:sz w:val="18"/>
          <w:szCs w:val="18"/>
          <w:u w:val="single" w:color="auto"/>
          <w:color w:val="auto"/>
        </w:rPr>
        <w:t>Sections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9.03(c)</w:t>
      </w:r>
      <w:r>
        <w:rPr>
          <w:rFonts w:ascii="Times New Roman" w:cs="Times New Roman" w:eastAsia="Times New Roman" w:hAnsi="Times New Roman"/>
          <w:sz w:val="18"/>
          <w:szCs w:val="18"/>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0" w:lineRule="exact"/>
        <w:rPr>
          <w:sz w:val="20"/>
          <w:szCs w:val="20"/>
          <w:color w:val="auto"/>
        </w:rPr>
      </w:pPr>
    </w:p>
    <w:p>
      <w:pPr>
        <w:ind w:right="2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(f)  Notwithstanding any contrary provision set forth herein or in any other Loan Document, so long as no Waterfall Trigger Event has occurred, which shall then be subject to </w:t>
      </w:r>
      <w:r>
        <w:rPr>
          <w:rFonts w:ascii="Times New Roman" w:cs="Times New Roman" w:eastAsia="Times New Roman" w:hAnsi="Times New Roman"/>
          <w:sz w:val="18"/>
          <w:szCs w:val="18"/>
          <w:u w:val="single" w:color="auto"/>
          <w:color w:val="auto"/>
        </w:rPr>
        <w:t>Section 2.18(g)</w:t>
      </w:r>
      <w:r>
        <w:rPr>
          <w:rFonts w:ascii="Times New Roman" w:cs="Times New Roman" w:eastAsia="Times New Roman" w:hAnsi="Times New Roman"/>
          <w:sz w:val="18"/>
          <w:szCs w:val="18"/>
          <w:color w:val="auto"/>
        </w:rPr>
        <w:t xml:space="preserve"> below, (i) during the continuance of an Event of Default, the Administrative Agent may, and shall upon the direction of Required Lenders apply any and all payments received by the Administrative Agent in respect of any Obligation in accordance with clauses first through sixth below; and (ii) all payments made by Loan Parties to the Administrative Agent after any or all of the Obligations under the Loan Documents have been accelerated (so long as such acceleration has not been rescinded) or have otherwise matured, including proceeds of Collateral, shall be applied as follows:</w:t>
      </w:r>
    </w:p>
    <w:p>
      <w:pPr>
        <w:spacing w:after="0" w:line="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payment of costs, expenses and indemnities of the Agents payable or reimbursable by the Loan Parties under the Loan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Documents;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256" w:name="page257"/>
    <w:bookmarkEnd w:id="256"/>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payment of costs, expenses and indemnities of the Lenders payable or reimbursable by the Loan Parties under this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left="440" w:firstLine="952"/>
        <w:spacing w:after="0" w:line="266"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payment of all accrued unpaid interest on the Obligations and fees owed to the Agents and the Lenders (whether or not accruing after the filing of any case under the Bankruptcy Code with respect to any Obligations and whether or not a claim for such post-filing or post-petition interest, fees, and charges is allowed or allowable in any such proceeding);</w:t>
      </w:r>
    </w:p>
    <w:p>
      <w:pPr>
        <w:spacing w:after="0" w:line="68" w:lineRule="exact"/>
        <w:rPr>
          <w:sz w:val="20"/>
          <w:szCs w:val="20"/>
          <w:color w:val="auto"/>
        </w:rPr>
      </w:pPr>
    </w:p>
    <w:p>
      <w:pPr>
        <w:ind w:left="440" w:right="80" w:firstLine="952"/>
        <w:spacing w:after="0" w:line="28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payment of principal of the Obligations (including any Prepayment Premium) then due and payable to the extent not then due and payable;</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payment of any other amounts owing constituting Obligations; and</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any remainder shall be for the account of and paid to whoever may be lawfully entitled thereto.</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carrying out the foregoing, (i) amounts received shall be applied to each category in the numerical order provided until exhausted prior to the application to the immediately succeeding category, (ii) each of the Lenders or other Persons entitled to payment shall receive an amount equal to its pro rata share of amounts available to be applied pursuant to clauses third, fourth and fifth above and (iii) no payments by a Guarantor and no proceeds of Collateral of a Guarantor shall be applied to Obligations, the guaranty of which by such Guarantor would constitute an Excluded Swap Obligation. Notwithstanding the foregoing, obligations in respect of Swap Agreements with parties that are not Affiliates of the Administrative Agent shall be excluded from the application described above unless at least three (3) Business Days prior to any distribution, the Administrative Agent has received written notice from the applicable Credit Party (or its Affiliate) of the amount of Obligations in respect of Swap Agreements or then due and payable, together with such supporting documentation as Agent may request.</w:t>
      </w:r>
    </w:p>
    <w:p>
      <w:pPr>
        <w:spacing w:after="0" w:line="192"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(g)  Notwithstanding any contrary provision set forth herein or in any other Loan Document, during the continuance of Waterfall Trigger Event, the Administrative Agent shall apply any and all payments received by the Administrative Agent in respect of any Obligation shall be applied as follows:</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payment of costs, expenses and indemnities of the Agents payable or reimbursable by the Loan Parties under the Loan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Documents;</w:t>
      </w:r>
    </w:p>
    <w:p>
      <w:pPr>
        <w:spacing w:after="0" w:line="99" w:lineRule="exact"/>
        <w:rPr>
          <w:sz w:val="20"/>
          <w:szCs w:val="20"/>
          <w:color w:val="auto"/>
        </w:rPr>
      </w:pPr>
    </w:p>
    <w:p>
      <w:pPr>
        <w:ind w:left="440" w:right="180" w:firstLine="952"/>
        <w:spacing w:after="0" w:line="28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payment of costs, expenses and indemnities of the Revolving Lenders payable or reimbursable by the Loan Parties under this Agreement;</w:t>
      </w:r>
    </w:p>
    <w:p>
      <w:pPr>
        <w:spacing w:after="0" w:line="54" w:lineRule="exact"/>
        <w:rPr>
          <w:sz w:val="20"/>
          <w:szCs w:val="20"/>
          <w:color w:val="auto"/>
        </w:rPr>
      </w:pPr>
    </w:p>
    <w:p>
      <w:pPr>
        <w:ind w:left="440" w:right="60" w:firstLine="952"/>
        <w:spacing w:after="0" w:line="261"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payment of all accrued unpaid interest on the Obligations in respect of the Revolving Loans, Extraordinary Advances, Swingline Advances and fees owed to the Revolving Agent and the Revolving Lenders (whether or not accruing after the filing of any case under the Bankruptcy Code with respect to any Obligations in respect of the Revolving Loans, Extraordinary Advances and Swingline Advances and whether or not a claim for such post-filing or post-petition interest, fees, and charges is allowed or allowable in any such proceeding);</w:t>
      </w:r>
    </w:p>
    <w:p>
      <w:pPr>
        <w:spacing w:after="0" w:line="72" w:lineRule="exact"/>
        <w:rPr>
          <w:sz w:val="20"/>
          <w:szCs w:val="20"/>
          <w:color w:val="auto"/>
        </w:rPr>
      </w:pPr>
    </w:p>
    <w:p>
      <w:pPr>
        <w:ind w:left="440" w:right="220" w:firstLine="952"/>
        <w:spacing w:after="0" w:line="28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payment of principal of the Obligations in respect of the Revolving Loans, Extraordinary Advances and Swingline Advances (including any Revolver Prepayment Fee Amount) then due and payable to the extent not then due and payable;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257" w:name="page258"/>
    <w:bookmarkEnd w:id="257"/>
    <w:p>
      <w:pPr>
        <w:ind w:left="440" w:right="620" w:firstLine="95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payment of any other amounts owing constituting Obligations in respect of the Revolving Loans, Extraordinary Advances and Swingline Advances;</w:t>
      </w:r>
    </w:p>
    <w:p>
      <w:pPr>
        <w:spacing w:after="0" w:line="54" w:lineRule="exact"/>
        <w:rPr>
          <w:sz w:val="20"/>
          <w:szCs w:val="20"/>
          <w:color w:val="auto"/>
        </w:rPr>
      </w:pPr>
    </w:p>
    <w:p>
      <w:pPr>
        <w:ind w:left="440" w:right="240" w:firstLine="952"/>
        <w:spacing w:after="0" w:line="282"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 payment of costs, expenses and indemnities of the Term Lenders payable or reimbursable by the Loan Parties under this Agreement;</w:t>
      </w:r>
    </w:p>
    <w:p>
      <w:pPr>
        <w:spacing w:after="0" w:line="54" w:lineRule="exact"/>
        <w:rPr>
          <w:sz w:val="20"/>
          <w:szCs w:val="20"/>
          <w:color w:val="auto"/>
        </w:rPr>
      </w:pPr>
    </w:p>
    <w:p>
      <w:pPr>
        <w:ind w:left="440" w:right="220" w:firstLine="952"/>
        <w:spacing w:after="0" w:line="261"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to payment of all accrued unpaid interest on the Obligations in respect of the Term Loans and fees owed to the Administrative Agent and the Term Lenders (whether or not accruing after the filing of any case under the Bankruptcy Code with respect to any Obligations in respect of the Term Loans and whether or not a claim for such post-filing or post-petition interest, fees, and charges is allowed or allowable in any such proceeding);</w:t>
      </w:r>
    </w:p>
    <w:p>
      <w:pPr>
        <w:spacing w:after="0" w:line="72" w:lineRule="exact"/>
        <w:rPr>
          <w:sz w:val="20"/>
          <w:szCs w:val="20"/>
          <w:color w:val="auto"/>
        </w:rPr>
      </w:pPr>
    </w:p>
    <w:p>
      <w:pPr>
        <w:ind w:left="440" w:right="720" w:firstLine="952"/>
        <w:spacing w:after="0" w:line="282" w:lineRule="auto"/>
        <w:rPr>
          <w:sz w:val="20"/>
          <w:szCs w:val="20"/>
          <w:color w:val="auto"/>
        </w:rPr>
      </w:pPr>
      <w:r>
        <w:rPr>
          <w:rFonts w:ascii="Times New Roman" w:cs="Times New Roman" w:eastAsia="Times New Roman" w:hAnsi="Times New Roman"/>
          <w:sz w:val="18"/>
          <w:szCs w:val="18"/>
          <w:color w:val="auto"/>
        </w:rPr>
        <w:t xml:space="preserve">(viii)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payment of principal of the Obligations in respect of the Term Loans (including any Prepayment Premium applicable to the Term Loans) then due and payable to the extent not then due and payable;</w:t>
      </w:r>
    </w:p>
    <w:p>
      <w:pPr>
        <w:spacing w:after="0" w:line="54" w:lineRule="exact"/>
        <w:rPr>
          <w:sz w:val="20"/>
          <w:szCs w:val="20"/>
          <w:color w:val="auto"/>
        </w:rPr>
      </w:pPr>
    </w:p>
    <w:p>
      <w:pPr>
        <w:ind w:left="1380" w:right="1620"/>
        <w:spacing w:after="0" w:line="407"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xml:space="preserve">, to payment of any other amounts owing constituting Obligations in respect of the Term Loans; and (x)  </w:t>
      </w: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 any remainder shall be for the account of and paid to whoever may be lawfully entitled thereto.</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carrying out the foregoing, (i) amounts received shall be applied to each category in the numerical order provided until exhausted prior to the application to the immediately succeeding category, (ii) each of the Lenders or other Persons entitled to payment shall receive an amount equal to its pro rata share of amounts available to be applied pursuant to clauses third, fourth, fifth, seventh, eighth and ninth above and (iii) no payments by a Guarantor and no proceeds of Collateral of a Guarantor shall be applied to Obligations, the guaranty of which by such Guarantor would constitute an Excluded Swap Obligation. Notwithstanding the foregoing, obligations in respect of Swap Agreements with parties that are not Affiliates of the Administrative Agent shall be excluded from the application described above unless at least three (3) Business Days prior to any distribution, the Administrative Agent has received written notice from the applicable Credit Party (or its Affiliate) of the amount of Obligations in respect of Swap Agreements or then due and payable, together with such supporting documentation as Agent may request.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applicable,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or (ii) any Lender becomes a Defaulting Lender, then the Borrower may, at its sole expense and effort, upon notice to such Lender and the Administrative Agent, require such Lender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70" w:right="439" w:bottom="1440" w:gutter="0" w:footer="0" w:header="0"/>
        </w:sectPr>
      </w:pPr>
    </w:p>
    <w:bookmarkStart w:id="258" w:name="page259"/>
    <w:bookmarkEnd w:id="258"/>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assignment will result in a material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Bank Accounts and Collections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(a)  The Loan Parties shall establish and maintain cash management services of a type and on terms reasonably satisfactory to the Collateral Agent at one or more banks reasonably satisfactory to Agent (each, a “</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xml:space="preserve">”). Within ninety (90) days of the Third Amendment Effective Date (or such later date as Collateral Agent may reasonably agree in its sole discretion), each Loan Party shall make any reasonable changes to their existing cash management structure, including but not limited to entering into Springing Control Agreement(s) with the applicable Cash Management Bank(s) for each Deposit Account of Loan Parties (other than with respect to Excluded Accounts). Within thirty (30) days (or such later date as Collateral Agent may reasonably agree in its sole discretion) after the creation or acquisition of any new Deposit Account or Securities Account or any interest therein by a Loan Party, such Loan Party shall enter into a Springing Control Agreement, Deposit Account Control Agreement or Securities Account Control Agreement, as applicable, with the applicable Cash Management Bank(s), in each case in accordance with the terms and provisions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of the Collateral Agreement.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sets forth a complete listing of Deposit Accounts and Securities Accounts for each Loan Party as of the Third Amendment Effective Date, including the identification of the Loan Party ownership, the name and address of the applicable Cash Management Bank, the account number, the purpose or usage of the account, and a designation of the account as a Controlled Deposit Account, Controlled Securities Account, Springing Control Account or Excluded Account.</w:t>
      </w:r>
    </w:p>
    <w:p>
      <w:pPr>
        <w:spacing w:after="0" w:line="19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(b)  Each Springing Control Agreement shall provide, among other things, that the applicable Cash Management Bank will comply with any instructions originated by Collateral Agent directing the disposition of the funds in the applicable Deposit Account subject to such Springing Control Agreement, without further consent by the applicable Loan Party. With respect to each Springing Control Account, unless a Cash Dominion Event has occurred and is continuing, the Collateral Agent shall not provide instructions to the applicable Cash Management Bank regarding the disposition of funds in such account. Upon the occurrence of a Cash Dominion Event that is continuing, the Required Lenders will maintain the right, in their sole discretion, to exercise rights provided for in each Springing Control Agreement, including requiring the applicable Cash Management Bank to forward funds in the applicable Deposit Account to the Collateral Agent to be applied in accordance with </w:t>
      </w:r>
      <w:r>
        <w:rPr>
          <w:rFonts w:ascii="Times New Roman" w:cs="Times New Roman" w:eastAsia="Times New Roman" w:hAnsi="Times New Roman"/>
          <w:sz w:val="18"/>
          <w:szCs w:val="18"/>
          <w:u w:val="single" w:color="auto"/>
          <w:color w:val="auto"/>
        </w:rPr>
        <w:t>Section 2.18(f)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2.18(g)</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exercise of such rights, upon the occurrence of a Cash Dominion Event that is continuing, at the sole election of Required Lenders, all amounts received in such Springing Control Account shall be sent on each Business Day by wire transfer or ACH payment to Collateral Agent for application at the end of each Business Day to the payment of the Obligations in accordance with </w:t>
      </w:r>
      <w:r>
        <w:rPr>
          <w:rFonts w:ascii="Times New Roman" w:cs="Times New Roman" w:eastAsia="Times New Roman" w:hAnsi="Times New Roman"/>
          <w:sz w:val="18"/>
          <w:szCs w:val="18"/>
          <w:u w:val="single" w:color="auto"/>
          <w:color w:val="auto"/>
        </w:rPr>
        <w:t>Section 2.18(f)</w:t>
      </w:r>
      <w:r>
        <w:rPr>
          <w:rFonts w:ascii="Times New Roman" w:cs="Times New Roman" w:eastAsia="Times New Roman" w:hAnsi="Times New Roman"/>
          <w:sz w:val="18"/>
          <w:szCs w:val="18"/>
          <w:color w:val="auto"/>
        </w:rPr>
        <w:t xml:space="preserve"> or</w:t>
      </w:r>
    </w:p>
    <w:p>
      <w:pPr>
        <w:spacing w:after="0" w:line="5"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2.18(g)</w:t>
      </w:r>
      <w:r>
        <w:rPr>
          <w:rFonts w:ascii="Times New Roman" w:cs="Times New Roman" w:eastAsia="Times New Roman" w:hAnsi="Times New Roman"/>
          <w:sz w:val="18"/>
          <w:szCs w:val="18"/>
          <w:color w:val="auto"/>
        </w:rPr>
        <w:t xml:space="preserve">, as applicable. The provisions of </w:t>
      </w:r>
      <w:r>
        <w:rPr>
          <w:rFonts w:ascii="Times New Roman" w:cs="Times New Roman" w:eastAsia="Times New Roman" w:hAnsi="Times New Roman"/>
          <w:sz w:val="18"/>
          <w:szCs w:val="18"/>
          <w:u w:val="single" w:color="auto"/>
          <w:color w:val="auto"/>
        </w:rPr>
        <w:t>Sections 4.06(c)</w:t>
      </w:r>
      <w:r>
        <w:rPr>
          <w:rFonts w:ascii="Times New Roman" w:cs="Times New Roman" w:eastAsia="Times New Roman" w:hAnsi="Times New Roman"/>
          <w:sz w:val="18"/>
          <w:szCs w:val="18"/>
          <w:color w:val="auto"/>
        </w:rPr>
        <w:t xml:space="preserve"> of the Collateral Agreement with respect to Controlled Deposit Accounts and Controlled Securities Accounts are incorporated herein by reference.</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60"/>
          </w:cols>
          <w:pgMar w:left="440" w:top="270" w:right="499" w:bottom="1440" w:gutter="0" w:footer="0" w:header="0"/>
        </w:sectPr>
      </w:pPr>
    </w:p>
    <w:bookmarkStart w:id="259" w:name="page260"/>
    <w:bookmarkEnd w:id="259"/>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Collateral Agent shall credit to the payment of the Obligations any funds received by Collateral Agent for which Collateral Agent has received notice that such funds are collected and available to Collateral Agent (i) on the same day of Collateral Agent’s receipt of such notice if such notice is received by Collateral Agent on or before 2:00 p.m., New York City time, on a Business Day, and (ii) on the Business Day immediately following Agent’s receipt of such notice if such notice is received by Collateral Agent after 2:00 p.m., New York City time, on a Business Day, or if such notice is received by Collateral Agent on a day that is not a Business Day. It is understood and agreed that the transfer and crediting of funds from a Springing Control Account may take up to two (2) Business Days.</w:t>
      </w:r>
    </w:p>
    <w:p>
      <w:pPr>
        <w:spacing w:after="0" w:line="187" w:lineRule="exact"/>
        <w:rPr>
          <w:sz w:val="20"/>
          <w:szCs w:val="20"/>
          <w:color w:val="auto"/>
        </w:rPr>
      </w:pPr>
    </w:p>
    <w:p>
      <w:pPr>
        <w:ind w:right="40" w:firstLine="991"/>
        <w:spacing w:after="0" w:line="236" w:lineRule="auto"/>
        <w:rPr>
          <w:sz w:val="20"/>
          <w:szCs w:val="20"/>
          <w:color w:val="auto"/>
        </w:rPr>
      </w:pPr>
      <w:r>
        <w:rPr>
          <w:rFonts w:ascii="Times New Roman" w:cs="Times New Roman" w:eastAsia="Times New Roman" w:hAnsi="Times New Roman"/>
          <w:sz w:val="18"/>
          <w:szCs w:val="18"/>
          <w:color w:val="auto"/>
        </w:rPr>
        <w:t>(d)  Each Loan Party will deposit or cause to be deposited, no later than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Business Day after the date of receipt thereof, all proceeds in respect of any Collateral, all collections (of a nature susceptible to a deposit in a bank account) and all other amounts received by such Loan Party (including payments made by Account Debtors directly to such Loan Party and remittances on credit card sales), in each case, to the extent constituting Collateral, into a Deposit Account that is subject to a Springing Control Agreement, an Excluded Account that sweeps daily to a Deposit Account that is subject to a Springing Control Agreement or to a lockbox, to the extent funds collected therefrom are deposited directly into a Deposit Account that is subject Springing Control Agreement.</w:t>
      </w:r>
    </w:p>
    <w:p>
      <w:pPr>
        <w:spacing w:after="0" w:line="200"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(e)  No Loan Party shall maintain or permit any of its Subsidiaries to maintain cash, Cash Equivalents, or other amounts in any Deposit Account (other than an Excluded Account), unless the Collateral Agent shall have received a Springing Control Agreement in respect of each such account.</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(f)  Each Loan Party shall cause each Person processing or collecting any credit card payments or proceeds of receivables on behalf of the Loan Parties to deliver such payments or proceeds promptly, but not less frequently than once per week, into a Deposit Account that is subject to a Springing Control Agreement.</w:t>
      </w:r>
    </w:p>
    <w:p>
      <w:pPr>
        <w:spacing w:after="0" w:line="176" w:lineRule="exact"/>
        <w:rPr>
          <w:sz w:val="20"/>
          <w:szCs w:val="20"/>
          <w:color w:val="auto"/>
        </w:rPr>
      </w:pPr>
    </w:p>
    <w:p>
      <w:pPr>
        <w:jc w:val="both"/>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(g)  If at any time, any Loan Party receives or otherwise has dominion and control of any proceeds or collections in contravention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such proceeds and collections shall (i) be held in trust by such Loan Party for benefit of the Collateral Agent, (ii) not be commingled with any of such Loan Party’s other funds or deposited in any account of such Loan Party, and (iii) be deposited into the Revolving Agent’s Account or dealt with in such other fashion as such Loan Party may be instructed by the Collateral Agent, no later than the Business Day after receipt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the applicable Requirements of Law:</w:t>
      </w:r>
    </w:p>
    <w:p>
      <w:pPr>
        <w:spacing w:after="0" w:line="54" w:lineRule="exact"/>
        <w:rPr>
          <w:sz w:val="20"/>
          <w:szCs w:val="20"/>
          <w:color w:val="auto"/>
        </w:rPr>
      </w:pPr>
    </w:p>
    <w:p>
      <w:pPr>
        <w:ind w:left="440" w:right="300" w:firstLine="952"/>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That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right="140" w:firstLine="952"/>
        <w:spacing w:after="0" w:line="28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Reallocation of Payments</w:t>
      </w:r>
      <w:r>
        <w:rPr>
          <w:rFonts w:ascii="Times New Roman" w:cs="Times New Roman" w:eastAsia="Times New Roman" w:hAnsi="Times New Roman"/>
          <w:sz w:val="18"/>
          <w:szCs w:val="18"/>
          <w:color w:val="auto"/>
        </w:rPr>
        <w:t xml:space="preserve">. Any payment of principal, interest, fees or other amounts received by the Agents for the account of that Defaulting Lender (whether voluntary or mandatory, at maturity, pursuant to </w:t>
      </w:r>
      <w:r>
        <w:rPr>
          <w:rFonts w:ascii="Times New Roman" w:cs="Times New Roman" w:eastAsia="Times New Roman" w:hAnsi="Times New Roman"/>
          <w:sz w:val="18"/>
          <w:szCs w:val="18"/>
          <w:u w:val="single" w:color="auto"/>
          <w:color w:val="auto"/>
        </w:rPr>
        <w:t>Section 2.18(f)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 and including 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260" w:name="page261"/>
    <w:bookmarkEnd w:id="260"/>
    <w:p>
      <w:pPr>
        <w:ind w:left="440"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amounts made available to any Agent by that Defaulting Lender pursuant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shall be applied at such time or times as may be determined by the Agents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Revolving Agent to the extent of any Swingline Advances and Extraordinary Advances that were made by Revolving Agent and that were required to be, but were not, paid by the Defaulting Lender,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of any other amounts owing by that Defaulting Lender to the applicable Agent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as the Borrower may request (so long as no Event of Default exists), to the funding of any Loan in respect of which that Defaulting Lender has failed to fund its portion thereof as required by this Agreement, as determined by the Agents;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if so determined by the Agents and the Borrower, to be held in a noninterest bearing deposit account and released in order to satisfy such Defaulting Lender’s potential future funding with respect to Loans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so long as no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a payment of the principal amount of any Loans in respect of which that Defaulting Lender has not fully funded its appropriate share. Any payments, prepayments or other amounts paid or payable to a Defaulting Lender that are applied (or held) to pay amounts owed by a Defaulting Lender shall be deemed paid to and redirected by that Defaulting Lender, and each Lender irrevocably consents hereto.</w:t>
      </w:r>
    </w:p>
    <w:p>
      <w:pPr>
        <w:spacing w:after="0" w:line="88" w:lineRule="exact"/>
        <w:rPr>
          <w:sz w:val="20"/>
          <w:szCs w:val="20"/>
          <w:color w:val="auto"/>
        </w:rPr>
      </w:pPr>
    </w:p>
    <w:p>
      <w:pPr>
        <w:ind w:left="440" w:right="60" w:firstLine="952"/>
        <w:spacing w:after="0" w:line="266"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A Revolving Lender that is a Defaulting Lender shall not be entitled to receive any Minimum Revolving Interest Amount or Revolving Commitment Fees, for any period during which that Revolving Lender is a Defaulting Lender (and the Borrower shall not be required to pay any such fee that otherwise would have been required to have been paid to that Defaulting Lender).</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and each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to the extent applicable, purchase that portion of outstanding Loans of the other Lenders or take such other actions as the Agents may determine to be necessary to cause the Lenders to hold their respective pro rata share of Loans, whereupon that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a Lender that is not a Defaulting Lender will constitute a waiver or release of any claim of any party hereunder arising from that Lender’s having been a Defaulting Lender.</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Replacement of Defaulting Lenders</w:t>
      </w:r>
      <w:r>
        <w:rPr>
          <w:rFonts w:ascii="Times New Roman" w:cs="Times New Roman" w:eastAsia="Times New Roman" w:hAnsi="Times New Roman"/>
          <w:sz w:val="18"/>
          <w:szCs w:val="18"/>
          <w:color w:val="auto"/>
        </w:rPr>
        <w:t>. Each Lender agrees that, during the time in which any Lender is a Defaulting Lender, the Administrative Agent shall have the right (and the Administrative Agent shall, if requested by the Borrower), at the sole expense of the Borrowers, upon notice to such Defaulting Lender and the Borrower, to require that such Defaulting Lender assign and delegate, without recourse, all of its interests, rights and obligations under this Agreement to an Eligible Assignee, approved by the Borrower (unless an Event of Default shall exist) and the Administrative Agent, that shall assume such obligations.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261" w:name="page262"/>
    <w:bookmarkEnd w:id="261"/>
    <w:p>
      <w:pPr>
        <w:jc w:val="center"/>
        <w:ind w:right="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w:t>
      </w:r>
      <w:r>
        <w:rPr>
          <w:rFonts w:ascii="Times New Roman" w:cs="Times New Roman" w:eastAsia="Times New Roman" w:hAnsi="Times New Roman"/>
          <w:sz w:val="18"/>
          <w:szCs w:val="18"/>
          <w:color w:val="auto"/>
        </w:rPr>
        <w:t>. Each of the Borrower and the Subsidiaries (a) is duly organized or formed, validly existing and in good standing under the laws of the jurisdiction of its incorporation or organization, (b) has the power and authority and all governmental rights, qualifications, approvals, authorizations, permits, accreditations, licenses and franchises material to the business of the Borrower and the Subsidiaries taken as a whole that are necessary to own its assets, to carry on its business as now conducted and as proposed to be conducted and, in the case of the Loan Parties, to execute, deliver and perform its obligations under each Loan Document to which it is a party and (c) except where the failure to do so, individually or in the aggregate, is not reasonably likely to result in a Material Adverse Effect, is qualified to do business in, and is in good standing in, every jurisdiction where such qualification is required.</w:t>
      </w:r>
    </w:p>
    <w:p>
      <w:pPr>
        <w:spacing w:after="0" w:line="18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to be entered into by each Loan Party have been duly authorized by all necessary corporate or other action and, if required, stockholder action. This Agreement has been duly executed and delivered by the Borrower and constitutes, and each other Loan Document to which any Loan Party is to be a party, when executed and delivered by such Loan Party, will constitute, a legal, valid and binding obligation of the Borrower or such Loan Party,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3.03</w:t>
      </w:r>
      <w:r>
        <w:rPr>
          <w:rFonts w:ascii="Times New Roman" w:cs="Times New Roman" w:eastAsia="Times New Roman" w:hAnsi="Times New Roman"/>
          <w:sz w:val="18"/>
          <w:szCs w:val="18"/>
          <w:color w:val="auto"/>
        </w:rPr>
        <w:t xml:space="preserve"> the Transactions (a) do not require any consent or approval of, registration or filing with, or any other action by, any Governmental Authority, except such as have been obtained or made and are in full force and effect and except those that are required or permitted to be obtained following consummation of the Transactions, the absence of which individually or in the aggregate are not reasonably likely to result in a Material Adverse Effect and filings necessary to perfect Liens created under the Loan Documents, (b) will not violate any Requirement of Law applicable to the Borrower or any of the Subsidiaries, as applicable, (c) will not violate or result in a default under any indenture or other material agreement or instrument binding upon the Borrower or any of the Subsidiaries or any of their assets, or give rise to a right thereunder to require any payment to be made by the Borrower or any of the Subsidiaries or give rise to a right of, or result in, termination, cancellation or acceleration of any material obligation thereunder, (d) will not result in the creation or imposition of any Lien on any asset of the Borrower or any of the Subsidiaries, except Liens created under the Loan Documents and (e) will not violate any judgment, order, decree or injunction that is binding upon any Loan Party or any of their respective properties.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Change; Projections; No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(a)  The Borrower has heretofore furnished to the Lenders the Annual Financial Statements. Such Annual Financial Statements present fairly, in all material respects, the financial position and results of operations and cash flows of the Borrower and the Subsidiaries as of such dates and for such periods in accordance with GAAP consistently applied.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262" w:name="page263"/>
    <w:bookmarkEnd w:id="262"/>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Borrower has heretofore furnished to the Lenders the Pro Forma Financial Statements. Such Pro Forma Financial Statements have been prepared in good faith by the Borrower.</w:t>
      </w:r>
    </w:p>
    <w:p>
      <w:pPr>
        <w:spacing w:after="0" w:line="162"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(c)  Except for (i) liabilities reflected in or reserved against in the financial statements referred to above or the notes thereto, (ii) liabilities incurred in the ordinary course of business and (iii) liabilities incurred in connection with the Transactions, after giving effect to the Transactions, none of the Borrower or the Subsidiaries has, as of the Third Amendment Effective Date, any liabilities that are, individually or in the aggregate, reasonably likely to result in a Material Adverse Effect.</w:t>
      </w:r>
    </w:p>
    <w:p>
      <w:pPr>
        <w:spacing w:after="0" w:line="180"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(d)  No event, change, condition or state of facts has occurred that has resulted in, or is reasonably likely to result in, individually or in the aggregate, a Material Adverse Effect since June 30, 2022.</w:t>
      </w:r>
    </w:p>
    <w:p>
      <w:pPr>
        <w:spacing w:after="0" w:line="162"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(e)  The Projections have been prepared in good faith based upon assumptions believed by the Borrower to be reasonable at the time furnished, it being recognized by the Agents and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76" w:lineRule="exact"/>
        <w:rPr>
          <w:sz w:val="20"/>
          <w:szCs w:val="20"/>
          <w:color w:val="auto"/>
        </w:rPr>
      </w:pPr>
    </w:p>
    <w:p>
      <w:pPr>
        <w:ind w:left="4" w:right="580" w:firstLine="991"/>
        <w:spacing w:after="0" w:line="282" w:lineRule="auto"/>
        <w:rPr>
          <w:sz w:val="20"/>
          <w:szCs w:val="20"/>
          <w:color w:val="auto"/>
        </w:rPr>
      </w:pPr>
      <w:r>
        <w:rPr>
          <w:rFonts w:ascii="Times New Roman" w:cs="Times New Roman" w:eastAsia="Times New Roman" w:hAnsi="Times New Roman"/>
          <w:sz w:val="18"/>
          <w:szCs w:val="18"/>
          <w:color w:val="auto"/>
        </w:rPr>
        <w:t>(f)  No Default or Event of Default exists or would immediately result from the incurrence by any Loan Party of any Indebtedness hereunder or under any other Loan Document.</w:t>
      </w:r>
    </w:p>
    <w:p>
      <w:pPr>
        <w:spacing w:after="0" w:line="162"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(g)  As of the Third Amendment Effective Date, the Borrower and its Subsidiaries have no Indebtedness other than the Google Note and Indebtedness set forth in </w:t>
      </w:r>
      <w:r>
        <w:rPr>
          <w:rFonts w:ascii="Times New Roman" w:cs="Times New Roman" w:eastAsia="Times New Roman" w:hAnsi="Times New Roman"/>
          <w:sz w:val="18"/>
          <w:szCs w:val="18"/>
          <w:u w:val="single" w:color="auto"/>
          <w:color w:val="auto"/>
        </w:rPr>
        <w:t>Schedule 6.01(iii)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40" w:firstLine="991"/>
        <w:spacing w:after="0" w:line="269" w:lineRule="auto"/>
        <w:rPr>
          <w:sz w:val="20"/>
          <w:szCs w:val="20"/>
          <w:color w:val="auto"/>
        </w:rPr>
      </w:pPr>
      <w:r>
        <w:rPr>
          <w:rFonts w:ascii="Times New Roman" w:cs="Times New Roman" w:eastAsia="Times New Roman" w:hAnsi="Times New Roman"/>
          <w:sz w:val="17"/>
          <w:szCs w:val="17"/>
          <w:color w:val="auto"/>
        </w:rPr>
        <w:t>(h)  As of the Effective Date, other than the Loan Documents, the Borrower and its Subsidiaries are not party to any agreement or other arrangement that prohibits, restricts or imposes any condition upon (i) the ability of the Borrower or any Subsidiary to create, incur or permit to exist any Lien upon any of its property or assets or (ii) the ability of any Subsidiary to make Investments or to pay dividends or other distributions with respect to any shares of its capital stock or to make or repay loans or advances to the Borrower or any Subsidiary or to Guarantee Indebtedness of the Borrower or any other Subsidiary. The foregoing sentence shall not apply to restrictions and conditions (A) imposed by law or by any Loan Document,</w:t>
      </w:r>
    </w:p>
    <w:p>
      <w:pPr>
        <w:spacing w:after="0" w:line="3" w:lineRule="exact"/>
        <w:rPr>
          <w:sz w:val="20"/>
          <w:szCs w:val="20"/>
          <w:color w:val="auto"/>
        </w:rPr>
      </w:pPr>
    </w:p>
    <w:p>
      <w:pPr>
        <w:ind w:left="4" w:right="20" w:hanging="4"/>
        <w:spacing w:after="0" w:line="251" w:lineRule="auto"/>
        <w:tabs>
          <w:tab w:leader="none" w:pos="28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existing on the Third Amendment Effective Date and identified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xml:space="preserve"> (but shall apply to any extension or renewal of, or any amendment or modification expanding the scope of, any such restriction or condition unless such amendment is not otherwise prohibited by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(C) contained in agreements relating to the sale of a Subsidiary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restrictions and conditions apply only to the Subsidiary that is to be sold and such sale is permitted hereunder, (D) imposed by any customary provisions restricting assignment of any agreement entered into the ordinary course of business, (E) imposed by any instrument or agreement governing Indebtedness of a Subsidiary acquired by the Borrower or any of the Subsidiaries as in effect at the time of such acquisition (except to the extent such Indebtedness was incurred in connection with or in contemplation of such acquisition), which encumbrance or restriction is not applicable to any Person, or the properties or assets of any such Person, other than the Person or any of its Subsidiaries, so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was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to be incurred), (F) imposed by any instrument or agreement governing Indebtedness of the Borrower or any Subsidiary that is incurred or issued subsequent to the Third Amendment Effective Date and is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restrictions in such Indebtedness are not materially more restrictive in the aggregate than the restrictions contained in this Agreement) and (G) solely with respect to clause (i), customary provisions in leases restricting the assignment thereof.</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4"/>
          </w:cols>
          <w:pgMar w:left="436" w:top="270" w:right="439" w:bottom="1440" w:gutter="0" w:footer="0" w:header="0"/>
        </w:sectPr>
      </w:pPr>
    </w:p>
    <w:bookmarkStart w:id="263" w:name="page264"/>
    <w:bookmarkEnd w:id="2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  Each of the Borrower and the Subsidiaries has good title to, or valid leasehold interests in, all its real and personal property material to its business, free and clear of all Liens, except for Liens expressly permitted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(b)  Each of the Borrower and the Subsidiaries owns, licenses or possesses the right to use all trademarks, trade names, copyrights, patents and other intellectual property material to its business, and the use thereof by the Borrower and the Subsidiaries does not, to the knowledge of the Borrower, infringe upon the rights of any other Person.</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sets forth the address of each real property owned, leased or otherwise held by any of the Loan Parties as of the Third Amendment Effective Date after giving effect to the Transactions.</w:t>
      </w:r>
    </w:p>
    <w:p>
      <w:pPr>
        <w:spacing w:after="0" w:line="16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(d)  No Mortgage encumbers improved real property that is located in an area that has been identified by the Secretary of Housing and Urban Development as an area having special flood hazards within the meaning of the National Flood Insurance Act of 1968 unless flood insurance available under such Act has been obtained in accordance with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unless waived by the Administrative Agent in its sole discretion.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there are no actions, suits or proceedings by or before any arbitrator or Governmental Authority pending against or, to the knowledge of the Borrower, threatened in writing against or affecting the Borrower or any Subsidiary that would reasonably be likely to, individually or in the aggregate, (i) result in a Material Adverse Effect or (ii) adversely affect in any material respect the ability of the Loan Parties to consummate the Transactions or the other transactions contemplated hereby.</w:t>
      </w:r>
    </w:p>
    <w:p>
      <w:pPr>
        <w:spacing w:after="0" w:line="18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3.07</w:t>
      </w:r>
      <w:r>
        <w:rPr>
          <w:rFonts w:ascii="Times New Roman" w:cs="Times New Roman" w:eastAsia="Times New Roman" w:hAnsi="Times New Roman"/>
          <w:sz w:val="18"/>
          <w:szCs w:val="18"/>
          <w:color w:val="auto"/>
        </w:rPr>
        <w:t>, and as is not reasonably likely to result in, individually or in the aggregate, a Material Adverse Effect, each of the Borrower and the Subsidiaries is in compliance with all Requirements of Law (including all Health Care Laws and Public Health Laws) applicable to it or its property and all indentures, agreements and other instruments binding upon it or its property.</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Loan Party is or is required to be registered as an “investment company” under the Investment Company Act of 1940.</w:t>
      </w:r>
    </w:p>
    <w:p>
      <w:pPr>
        <w:spacing w:after="0" w:line="162"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Borrower and the Subsidiaries has filed or caused to be filed all Federal and other material Tax returns and reports required to have been filed and has paid or caused to be paid all Taxes required to have been paid by it, except (a) any Taxes that are being contested in good faith by appropriate proceedings and for which the Borrower or such Subsidiary, as applicable, has set aside on its books adequate reserves in accordance with GAAP or (b) to the extent that the failure to do so is not reasonably likely, individually or in the aggregate, to result in a Material Adverse Effect.</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likely to occur that, when taken together with all other such ERISA Events for which liability is reasonably likely to occur, is reasonably likely to result in a Material Adverse Effect. The present value of all accumulated benefit obligations under each Plan did not, as of the date of the most recent financial statements reflecting such amounts, exceed the fair value of the assets of such Plan, except as would not reasonably be likely to result in a Material Adverse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40" w:top="270" w:right="479" w:bottom="1440" w:gutter="0" w:footer="0" w:header="0"/>
        </w:sectPr>
      </w:pPr>
    </w:p>
    <w:bookmarkStart w:id="264" w:name="page265"/>
    <w:bookmarkEnd w:id="264"/>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3.11.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xml:space="preserve">. As of the Third Amendment Effective Date, none of the other written reports, financial statements, certificates or other written information furnished by or on behalf of any Loan Party to the Administrative Agent or any Lender in connection with the negotiation of this Agreement or any other Loan Document or delivered hereunder or thereunder (as modified or supplemented by other information so furnished and taken as a whole)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any projected financial information other than the projected financial information included in such information and with respect to such projected financial information, the Borrower represents only that such information was prepared in good faith based upon assumptions believed by it to be reasonable at the time delivered.</w:t>
      </w:r>
    </w:p>
    <w:p>
      <w:pPr>
        <w:spacing w:after="0" w:line="18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As of the Third Amendment Effective Date, the Borrower does not have any subsidiaries other than the Subsidiaries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sets forth the name of, and the ownership or beneficial interest of the Borrower in, each Subsidiary and identifies whether such Subsidiary is a Subsidiary Loan Party.</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3.13</w:t>
      </w:r>
      <w:r>
        <w:rPr>
          <w:rFonts w:ascii="Times New Roman" w:cs="Times New Roman" w:eastAsia="Times New Roman" w:hAnsi="Times New Roman"/>
          <w:sz w:val="18"/>
          <w:szCs w:val="18"/>
          <w:color w:val="auto"/>
        </w:rPr>
        <w:t xml:space="preserve"> sets forth a description of all insurance maintained by or on behalf of the Borrower and the Subsidiaries as of the Third Amendment Effective Date. As of the Third Amendment Effective Date, all premiums in respect of such insurance have been paid. The Borrower believes that the insurance maintained by or on behalf of the Borrower and the Subsidiaries is adequate.</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xml:space="preserve">. As of the Third Amendment Effective Date, there are no strikes, lockouts or slowdowns against the Borrower or any Subsidiary pending or, to the knowledge of the Borrower, threatened in writing. The hours worked by and payments made to employees of the Borrower or the Subsidiaries have not been in violation of the Fair Labor Standards Act or any other applicable Federal, state, local or foreign law dealing with such matters in any manner. All payments due from the Borrower or any Subsidiary, or for which any claim may be made against the Borrower or any Subsidiary, on account of wages and employee health and welfare insurance and other benefits, have been paid or accrued as a liability on the books of the Borrower or such Subsidiary. The consummation of the Transactions will not give rise to any right of termination or right of renegotiation on the part of any union under any collective bargaining agreement to which the Borrower or any Subsidiary is bound. Set forth on </w:t>
      </w:r>
      <w:r>
        <w:rPr>
          <w:rFonts w:ascii="Times New Roman" w:cs="Times New Roman" w:eastAsia="Times New Roman" w:hAnsi="Times New Roman"/>
          <w:sz w:val="18"/>
          <w:szCs w:val="18"/>
          <w:u w:val="single" w:color="auto"/>
          <w:color w:val="auto"/>
        </w:rPr>
        <w:t>Schedule 3.14</w:t>
      </w:r>
      <w:r>
        <w:rPr>
          <w:rFonts w:ascii="Times New Roman" w:cs="Times New Roman" w:eastAsia="Times New Roman" w:hAnsi="Times New Roman"/>
          <w:sz w:val="18"/>
          <w:szCs w:val="18"/>
          <w:color w:val="auto"/>
        </w:rPr>
        <w:t xml:space="preserve"> is a list and description (including dates of termination) of all collective bargaining or similar agreements between or applicable to the Borrower or any of its Subsidiaries and any union, labor organization or other bargaining agent in respect of the employees of the Borrower or any of its Subsidiaries.</w:t>
      </w:r>
    </w:p>
    <w:p>
      <w:pPr>
        <w:spacing w:after="0" w:line="194"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the consummation of the Transactions to occur on the Third Amendment Effective Date, (a) the fair value of the assets of the Borrower, and its subsidiaries, on a consolidated basis, at fair valuation,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the Borrower and its subsidiaries, on a consolidated basis, are able to pay their debts and liabilities, subordinated, contingent or otherwise, as such liabilities become absolute and matured and (d) the Borrower and its subsidiaries, on a consolidated basis, do not have unreasonably small capital with which to conduct the business in which they are engaged as such business is now conducted and is proposed to be conducted following the date hereof.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265" w:name="page266"/>
    <w:bookmarkEnd w:id="265"/>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3.16.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The Borrower is not engaged nor will it engage, principally or as one of its important activities, in the business of purchasing or carrying margin stock (within the meaning of Regulation U issued by the Board), or extending credit for the purpose of purchasing or carrying margin stock, and no proceeds of any Borrowings will be used for any purpose that violates Regulation U.</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(a)  Neither the Borrower nor any Subsidiary is in violation of any requirement of applicable Law relating to terrorism or money laundering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and the Uniting and Strengthening America by Providing Appropriate Tools Required to Intercept and Obstruct Terrorism Act of 2001, Public Law 107-56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(b)  Neither the Borrower nor any Subsidiary nor, to the knowledge of the Borrower, any broker or other agent of the Borrower or any of its Subsidiaries acting or benefiting in any capacity in connection with the Loans is any of the following:</w:t>
      </w:r>
    </w:p>
    <w:p>
      <w:pPr>
        <w:spacing w:after="0" w:line="5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(i)   a Person that is listed in the annex to, or is otherwise subject to the provisions of, the Executive Order;</w:t>
      </w:r>
    </w:p>
    <w:p>
      <w:pPr>
        <w:spacing w:after="0" w:line="117" w:lineRule="exact"/>
        <w:rPr>
          <w:sz w:val="20"/>
          <w:szCs w:val="20"/>
          <w:color w:val="auto"/>
        </w:rPr>
      </w:pPr>
    </w:p>
    <w:p>
      <w:pPr>
        <w:ind w:left="440" w:right="260" w:firstLine="1375"/>
        <w:spacing w:after="0" w:line="282" w:lineRule="auto"/>
        <w:rPr>
          <w:sz w:val="20"/>
          <w:szCs w:val="20"/>
          <w:color w:val="auto"/>
        </w:rPr>
      </w:pPr>
      <w:r>
        <w:rPr>
          <w:rFonts w:ascii="Times New Roman" w:cs="Times New Roman" w:eastAsia="Times New Roman" w:hAnsi="Times New Roman"/>
          <w:sz w:val="18"/>
          <w:szCs w:val="18"/>
          <w:color w:val="auto"/>
        </w:rPr>
        <w:t>(ii)  a Person owned or controlled by, or acting for or on behalf of, any Person that is listed in the annex to, or is otherwise subject to the provisions of, the Executive Order;</w:t>
      </w:r>
    </w:p>
    <w:p>
      <w:pPr>
        <w:spacing w:after="0" w:line="5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(iii)   a Person with which any Lender is prohibited from dealing or otherwise engaging in any transaction by any Anti-</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Terrorism Law;</w:t>
      </w:r>
    </w:p>
    <w:p>
      <w:pPr>
        <w:spacing w:after="0" w:line="9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(iv)   a Person that commits, threatens or conspires to commit or supports “terrorism” as defined in the Executive Order; or</w:t>
      </w:r>
    </w:p>
    <w:p>
      <w:pPr>
        <w:spacing w:after="0" w:line="117" w:lineRule="exact"/>
        <w:rPr>
          <w:sz w:val="20"/>
          <w:szCs w:val="20"/>
          <w:color w:val="auto"/>
        </w:rPr>
      </w:pPr>
    </w:p>
    <w:p>
      <w:pPr>
        <w:ind w:left="440" w:right="140" w:firstLine="1375"/>
        <w:spacing w:after="0" w:line="266" w:lineRule="auto"/>
        <w:rPr>
          <w:sz w:val="20"/>
          <w:szCs w:val="20"/>
          <w:color w:val="auto"/>
        </w:rPr>
      </w:pPr>
      <w:r>
        <w:rPr>
          <w:rFonts w:ascii="Times New Roman" w:cs="Times New Roman" w:eastAsia="Times New Roman" w:hAnsi="Times New Roman"/>
          <w:sz w:val="18"/>
          <w:szCs w:val="18"/>
          <w:color w:val="auto"/>
        </w:rPr>
        <w:t>(v)  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at its official website or any replacement website or other replacement official publication of such list.</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(c)  Neither the Borrower nor any of its Subsidiaries and, to the knowledge of the Borrower, no broker or other agent of the Borrower or any of its Subsidiaries acting in any capacity in connection with the Loans (i) conducts any business or engages in making or receiving any contribution of funds, goods or services to or for the benefit of any person described in Section 3.17(b) above in violation of any Anti-Terrorism Law, (ii) deals in, or otherwise engages in any transaction relating to, any property or interests in property blocked pursuant to the Executive Order in violation of any Anti-Terrorism Law, or (iii) engages in or conspires to engage in any transaction that evades or avoids, or has the purpose of evading or avoiding, or attempts to violate, any of the prohibitions set forth in any Anti-Terrorism Law.</w:t>
      </w:r>
    </w:p>
    <w:p>
      <w:pPr>
        <w:spacing w:after="0" w:line="18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Borrower has implemented and maintains in effect policies and procedures reasonably designed to ensure compliance by the Borrower, its Subsidiaries, and their respective directors, officers, employees and agents with applicable Anti-Corruption Laws, and except as is not reasonably likely to result in, individually or in the aggregate, a Material Adverse Effect, the Borrower, its Subsidiaries and their respective officers and employees and to the knowledge of the Borrower, its directors and agents, are in compliance with Anti-Corruption Laws in all material respects. No part of the proceeds of any Loans hereunder will be used directly, by the Borrower or any Subsidiary or indirectly, to the knowledge of the Borrower, in order to obtain, retain or direct business or obtain any improper advantage, in violation of any Anti-Corruption Laws.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40"/>
          </w:cols>
          <w:pgMar w:left="440" w:top="270" w:right="519" w:bottom="1440" w:gutter="0" w:footer="0" w:header="0"/>
        </w:sectPr>
      </w:pPr>
    </w:p>
    <w:bookmarkStart w:id="266" w:name="page267"/>
    <w:bookmarkEnd w:id="266"/>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3.19.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 The Borrower and the Subsidiaries own, license or possess the right to use, all of the trademarks, service marks, trade names, domain names, copyrights, patents, patent rights, licenses, technology, software, know-how database rights, design rights and other intellectual property rights (collectively, “</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that are reasonably necessary for the operation of their respective businesses as currently conducted, and, without conflict with the rights of any Person, except to the extent such conflicts, either individually or in the aggregate, are not reasonably likely to result in a Material Adverse Effect. The Borrower and the Subsidiaries in the operation of their respective businesses as currently conducted do not infringe upon any rights held by any Person except for such infringements, individually or in the aggregate, which are not reasonably likely to result in a Material Adverse Effect. No claim or litigation regarding any of the IP Rights, owned by the Borrower or the Subsidiaries is pending or, to the knowledge of the Borrower, threatened against the Borrower or any Subsidiary in which the amount of damages claimed is $2,500,000 or more.</w:t>
      </w:r>
    </w:p>
    <w:p>
      <w:pPr>
        <w:spacing w:after="0" w:line="188"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Except pursuant to licenses and other user agreements entered into by the Borrower or any Subsidiary in the ordinary course of business, on and as of the date hereof (i) each such Person owns and possesses the right to use, and has done nothing to authorize or enable any other Person to use, any copyright, patent or trademark listed in Section 10(a), 10(b) or 10(c) of the Perfection Certificate and (ii) all registrations listed in Section 10(c) of the Perfection Certificate are valid and in full force and effect, except, in each case, to the extent failure to own or possess such right to use or of such registrations to be valid and in full force and effect is not reasonably likely, individually or in the aggregate, to result in a Material Adverse Effect.</w:t>
      </w:r>
    </w:p>
    <w:p>
      <w:pPr>
        <w:spacing w:after="0" w:line="168"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Locations of Accounts and 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xml:space="preserve"> lists all locations at which books and records relating to the Accounts and Collateral, including, but not limited to, all Documents and Instruments relating to receivables and Inventory, are maintained by Borrower or by any other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(a)  Except with respect to any matters that have been resolved in compliance with Environmental Law or that, individually or in the aggregate, are not reasonably likely to result in a Material Adverse Effect, (i) neither the Borrower nor any Subsidiary has failed to comply with any Environmental Law or to obtain, maintain or comply with any required Environmental Permit or to provide any notification required under any Environmental Law or has become subject to any Environmental Liability, and (ii) neither the Borrower nor any Subsidiary has received any written notice of any claims, actions, suits, or proceedings alleging potential liability or violation of, any Environmental Law, and to Borrower’s knowledge no such claims, actions, suits or proceedings are threatened.</w:t>
      </w:r>
    </w:p>
    <w:p>
      <w:pPr>
        <w:spacing w:after="0" w:line="187"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(b)  Except as not reasonably likely to result in, individually or in the aggregate, a Material Adverse Effect, (i) none of the properties currently or formerly owned, leased or operated by the Borrower or any of the Subsidiaries is listed or proposed for listing on the NPL or on the CERCLIS or any analogous foreign, state or local list; (ii) there are no underground storage tanks or surface impoundments, septic tanks, pits, sumps or lagoons in which Hazardous Materials are being or have been treated, stored or disposed on any property currently owned, leased or operated by the Borrower or any of the Subsidiaries, or, to the Borrower’s knowledge, on any property formerly owned or operated by the Borrower or any of its Subsidiaries; (iii) there is no asbestos or asbestos-containing material in violation of Environmental Law at or on any facility, equipment or property currently owned or operated by the Borrower or any of the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60"/>
          </w:cols>
          <w:pgMar w:left="440" w:top="270" w:right="499" w:bottom="1440" w:gutter="0" w:footer="0" w:header="0"/>
        </w:sectPr>
      </w:pPr>
    </w:p>
    <w:bookmarkStart w:id="267" w:name="page268"/>
    <w:bookmarkEnd w:id="267"/>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and (iv) to the Borrower’s knowledge, there has been no Release of Hazardous Materials by any Person on any property currently or formerly owned, leased or operated by the Borrower or any of the Subsidiaries and there has been no Release of Hazardous Materials by the Borrower or any of the Subsidiaries at any other location.</w:t>
      </w:r>
    </w:p>
    <w:p>
      <w:pPr>
        <w:spacing w:after="0" w:line="176" w:lineRule="exact"/>
        <w:rPr>
          <w:sz w:val="20"/>
          <w:szCs w:val="20"/>
          <w:color w:val="auto"/>
        </w:rPr>
      </w:pPr>
    </w:p>
    <w:p>
      <w:pPr>
        <w:ind w:right="40" w:firstLine="991"/>
        <w:spacing w:after="0" w:line="289" w:lineRule="auto"/>
        <w:rPr>
          <w:sz w:val="20"/>
          <w:szCs w:val="20"/>
          <w:color w:val="auto"/>
        </w:rPr>
      </w:pPr>
      <w:r>
        <w:rPr>
          <w:rFonts w:ascii="Times New Roman" w:cs="Times New Roman" w:eastAsia="Times New Roman" w:hAnsi="Times New Roman"/>
          <w:sz w:val="17"/>
          <w:szCs w:val="17"/>
          <w:color w:val="auto"/>
        </w:rPr>
        <w:t>(c)  To the Borrower’s knowledge, the properties owned, leased or operated by the Borrower or the Subsidiaries do not contain any Hazardous Materials in amounts or concentrations which (i) constitute, or constituted a violation of, or (ii) require remedial action under, Environmental Laws, which violations and remedial actions, individually or in the aggregate, are reasonably likely to result in a Material Adverse Effect.</w:t>
      </w:r>
    </w:p>
    <w:p>
      <w:pPr>
        <w:spacing w:after="0" w:line="158"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(d)  Neither the Borrower nor any Subsidiary are conducting or financing, either individually or together with other potentially responsible parties, any investigation or assessment or remedial or response action relating to any actual or threatened Release of Hazardous Materials at any site, location or operation, either voluntarily or pursuant to the order of any Governmental Authority or the requirements of any Environmental Law except for such investigation or assessment or remedial or response action that, individually or in the aggregate, is not reasonably likely to result in a Material Adverse Effect.</w:t>
      </w:r>
    </w:p>
    <w:p>
      <w:pPr>
        <w:spacing w:after="0" w:line="183"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(e)  To the Borrower’s knowledge, all Hazardous Materials generated, used, treated, handled or stored at, or transported to or from, any property currently or formerly owned or operated by the Borrower, or any Subsidiary have been disposed of in a manner compliant with Environmental Law, except to the extent not reasonably likely to result in, individually or in the aggregate, a Material Adverse Effect.</w:t>
      </w:r>
    </w:p>
    <w:p>
      <w:pPr>
        <w:spacing w:after="0" w:line="176"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(f)  Except for environmental provisions contained within leases executed by Borrower or any Subsidiary, and except as would not be reasonably likely to result in, individually or in the aggregate, a Material Adverse Effect, neither the Borrower nor any Subsidiary has contractually assumed any liability or obligation under or relating to any Environmental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Health Care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  As of the Third Amendment Effective Date, each Loan Party is in compliance with, and is conducting and, for the six years preceding the Third Amendment Effective Date, has conducted its respective business and operations in compliance with, the requirements of all Health Care Laws and Public Health Laws, except for such non-compliance which, individually or in the aggregate, is not reasonably likely to result in a Material Adverse Effect.</w:t>
      </w:r>
    </w:p>
    <w:p>
      <w:pPr>
        <w:spacing w:after="0" w:line="180"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(b)  The Borrower and its Subsidiaries have all Registrations issued or supervised by any Public Health Regulatory Agency or other Governmental Authority required to conduct their respective businesses as currently conducted, except where the failure to have all such Registrations could not reasonably be expected to, individually or in the aggregate, result in Material Regulatory Liabilities. Each of such Registrations is valid and subsisting in full force and effect, except where the failure to be so could not reasonably be expected to, individually or in the aggregate, result in Material Regulatory Liabilities. To the knowledge of the Borrower and its Subsidiaries, none of any Public Health Regulatory Agency or any other Governmental Authority is considering limiting, suspending, or revoking such party’s submission to any Public Health Regulatory Agency or any other Governmental Authority; provided, that, in each case of the foregoing clauses, where such false or misleading information or omissions could not reasonably be expected to, individually or in the aggregate, result in Material Regulatory Liabilities and excluding any material limitations or omissions that were clearly disclosed to the recipient of a listed item. The Borrower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268" w:name="page269"/>
    <w:bookmarkEnd w:id="26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its Subsidiaries have not failed to fulfill and perform their obligations which are due under each Registration held by or licensed to them, and no event has occurred or condition or state of facts exists which would constitute a breach or default under any such Registration, in each case that would reasonably be expected to cause Material Regulatory Liabilities. To the knowledge of the Borrower and its Subsidiaries, any third party that is a manufacturer or contractor for the Borrower and its Subsidiaries is in compliance with all Registrations from any Public Health Regulatory Agency and any other Governmental Authority insofar as they pertain to the manufacture of product components or products or the analysis or generation of data for the Borrower and its Subsidiaries, except where the failure to so be in compliance would not reasonably be expected to, individually or in the aggregate, result in Material Regulatory Liabilities.</w:t>
      </w:r>
    </w:p>
    <w:p>
      <w:pPr>
        <w:spacing w:after="0" w:line="18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(c)  All products developed, manufactured, tested, distributed, marketed, or sold by or on behalf of the Borrower and its Subsidiaries that are subject to the jurisdiction of any Public Health Regulatory Agency or any other Governmental Authority (x) have been and are being developed, tested, manufactured, investigated, distributed, marketed, and sold in compliance with the applicable Public Health Laws or any other applicable Requirement of Law, including, without limitation and to the extent applicable, in material compliance with any pre-market notification or pre-market approval requirements, good manufacturing practices, quality system requirements, labeling requirements, advertising requirements, record keeping requirements and adverse event reporting requirements, and (y) have been and are being tested, investigated, distributed, marketed, and sold in compliance with the applicable Public Health Laws or any other applicable Requirement of Law, except, in each case of clauses (x) and (y), where such noncompliance would not reasonably be expected to, individually or in the aggregate, result in Material Regulatory Liabilities.</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(d)  The Borrower and its Subsidiaries have not received and are not subject to any administrative or regulatory action, warning letter, notice of violation letter, or other similar written notice, complaint or inquiry made by any Public Health Regulatory Agency or any other Governmental Authority asserting that the development, testing, investigation, manufacture, distribution, marketing or sale of the products of any Borrower or any of its Subsidiaries is not in compliance with any applicable Requirement of Law, except those noncompliance that could not reasonably be expected to, individually or in the aggregate, result in Material Regulatory Liabilities. To the extent applicable, (x) the Borrower and its Subsidiaries have made all notifications, submissions, and reports required by any such Governmental Authority, and (y) all such notifications, submissions and reports provided by the Borrower and its Subsidiaries were, to their knowledge, true, complete, and correct in all material respects as of the date of submission to any Public Health Regulatory Agency or any other Governmental Authority, except, where such failure to comply with (x) or (y) could not reasonably be expected to, individually or in the aggregate, result in Material Regulatory Liabilities.</w:t>
      </w:r>
    </w:p>
    <w:p>
      <w:pPr>
        <w:spacing w:after="0" w:line="188"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(e)  No product of the Borrower or its Subsidiaries has been seized, withdrawn, recalled, detained, or subject to a suspension of manufacturing, and, to the knowledge of the Borrower, there are no facts or circumstances reasonably likely to cause (x) the seizure, denial, withdrawal, recall, detention, field notification, field correction, safety alert or suspension of manufacturing relating to any such product; (y) a material adverse change in the labeling of any such product; or (z) a termination, seizure or suspension of marketing of any such product, except, in each case, where such events could not reasonably be expected to, individually or in the aggregate, result in Material Regulatory Liabilities. No proceedings in the United States or any other jurisdiction seeking the withdrawal, recall, suspension, import detention, or seizure of any such product are pending or, to the knowledge the Borrower or its Subsidiaries, threatened against the Borrower and its Subsidiaries, except where such proceeding could not reasonably be expected to, individually or in the aggregate, result in Material Regulatory Liability.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269" w:name="page270"/>
    <w:bookmarkEnd w:id="269"/>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3.23. </w:t>
      </w:r>
      <w:r>
        <w:rPr>
          <w:rFonts w:ascii="Times New Roman" w:cs="Times New Roman" w:eastAsia="Times New Roman" w:hAnsi="Times New Roman"/>
          <w:sz w:val="18"/>
          <w:szCs w:val="18"/>
          <w:u w:val="single" w:color="auto"/>
          <w:color w:val="auto"/>
        </w:rPr>
        <w:t>Deposit Accounts and Securities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sets forth a complete and accurate list as of the Third Amendment Effective Date of all deposit, checking, and other bank accounts, all securities and other accounts maintained with any broker dealer or other securities intermediary, and all other similar accounts maintained by each Loan Party, together with a description thereof (including the bank, broker dealer, or securities intermediary at which each such account is maintained and the account number and the purpose thereof). All such accounts shall be subject to Control Agreements to the extent required by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of this Agreement or the Collateral Agreement.</w:t>
      </w:r>
    </w:p>
    <w:p>
      <w:pPr>
        <w:spacing w:after="0" w:line="183"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Loans will used by the Borrower for the purposes specified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Neither the Borrower nor any Subsidiary has any Liabilities or obligations of any nature (whether known or unknown, accrued, absolute, contingent or otherwise, and whether due or to become due), whether based on strict liability, negligence, breach of warranty (express or implied), other than Liabilities (a) accrued, reflected or reserved against in the Annual Financial Statements dated December 31, 2021 or (b) that are current liabilities incurred in the ordinary course of business of the Borrower and its Subsidiaries since December 31, 2021.</w:t>
      </w:r>
    </w:p>
    <w:p>
      <w:pPr>
        <w:spacing w:after="0" w:line="183"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Eligible Accounts; Borrowing Base</w:t>
      </w:r>
      <w:r>
        <w:rPr>
          <w:rFonts w:ascii="Times New Roman" w:cs="Times New Roman" w:eastAsia="Times New Roman" w:hAnsi="Times New Roman"/>
          <w:sz w:val="18"/>
          <w:szCs w:val="18"/>
          <w:color w:val="auto"/>
        </w:rPr>
        <w:t>. As to each Account that is identified by any Loan Party as an Eligible Account in a Borrowing Base Certificate submitted to the Revolving Agent, (a) such Account is a bona fide existing payment obligation of the applicable Account Debtor created by the rendition of services to such Account Debtor in the ordinary course of a Loan Party’s business, (b) the portion of such Account included in the Borrowing Base and not already excluded in accordance with clause (b) of the definition of Eligible Account, is owed to a Loan Party without any known defenses, set-offs, recoupments, counterclaims, deductions, discounts, credits, chargebacks, freight claims, allowances, or adjustments, and (c) the portion of such Account included in the Borrowing Base not excluded as ineligible by virtue of one or more of the excluding criteria (other than any Revolving Agent-discretionary criteria) set forth in the definition of Eligible Accounts. Each other component of the Borrowing Base in a Borrowing Base Certificate submitted to the Revolving Agent is not excluded as ineligible by virtue of one or more of the excluding criteria set forth in the applicable definition therefor.</w:t>
      </w:r>
    </w:p>
    <w:p>
      <w:pPr>
        <w:spacing w:after="0" w:line="200" w:lineRule="exact"/>
        <w:rPr>
          <w:sz w:val="20"/>
          <w:szCs w:val="20"/>
          <w:color w:val="auto"/>
        </w:rPr>
      </w:pPr>
    </w:p>
    <w:p>
      <w:pPr>
        <w:spacing w:after="0" w:line="20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Precedent to the Borrowing of Effective Date Term Loans</w:t>
      </w:r>
      <w:r>
        <w:rPr>
          <w:rFonts w:ascii="Times New Roman" w:cs="Times New Roman" w:eastAsia="Times New Roman" w:hAnsi="Times New Roman"/>
          <w:sz w:val="18"/>
          <w:szCs w:val="18"/>
          <w:color w:val="auto"/>
        </w:rPr>
        <w:t>. The obligations of the Lenders to make Effective Date Term Loans hereunder shall not become effective until the date on which each of the following conditions is satisfied (or waived):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There shall not have occurred a Material Adverse Effect on the Borrower and its Subsidiaries, taken as a whole, since June 30, 2022.</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(b)  The Administrative Agent shall have received unaudited consolidated balance sheets and related statements of income and cash flows of the Borrower for the fiscal quarter ending June 30, 2022.</w:t>
      </w:r>
    </w:p>
    <w:p>
      <w:pPr>
        <w:spacing w:after="0" w:line="162"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(c)  The Administrative Agent shall have received financial projections for the Borrower and its subsidiaries for the three year period following the Effective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270" w:name="page271"/>
    <w:bookmarkEnd w:id="270"/>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The Administrative Agent shall have received from each party hereto either (i) a counterpart of this Agreement signed on behalf of such party or (ii) written evidence satisfactory to the Administrative Agent (which may include telecopy transmission of a signed signature page of this Agreement) that such party has signed a counterpart of this Agreement.</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(e)  The Administrative Agent shall have received a Borrowing Request in substantially the form attached as Exhibit E, which shall have been delivered in accordance with the requirements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The Administrative Agent shall have received the Confidential Disclosure Letter.</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(g)  The Administrative Agent shall have received a written opinion (addressed to the Administrative Agent and the Lenders and dated the Effective Date) of Cooley LLP, counsel for the Borrower in form reasonably satisfactory to the Administrative Agent, and covering such matters relating to the Loan Parties, the Loan Documents or the Transactions as the Administrative Agent shall reasonably request.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The Administrative Agent shall have received:</w:t>
      </w:r>
    </w:p>
    <w:p>
      <w:pPr>
        <w:spacing w:after="0" w:line="117" w:lineRule="exact"/>
        <w:rPr>
          <w:sz w:val="20"/>
          <w:szCs w:val="20"/>
          <w:color w:val="auto"/>
        </w:rPr>
      </w:pPr>
    </w:p>
    <w:p>
      <w:pPr>
        <w:ind w:left="440" w:right="40" w:firstLine="952"/>
        <w:spacing w:after="0" w:line="266" w:lineRule="auto"/>
        <w:rPr>
          <w:sz w:val="20"/>
          <w:szCs w:val="20"/>
          <w:color w:val="auto"/>
        </w:rPr>
      </w:pPr>
      <w:r>
        <w:rPr>
          <w:rFonts w:ascii="Times New Roman" w:cs="Times New Roman" w:eastAsia="Times New Roman" w:hAnsi="Times New Roman"/>
          <w:sz w:val="18"/>
          <w:szCs w:val="18"/>
          <w:color w:val="auto"/>
        </w:rPr>
        <w:t>(i)  The charter, articles or certificate of organization or incorporation or comparable document of each Loan Party, certified as of a recent date prior to the Effective Date by the Secretary of State (or comparable public official) of such Person’s jurisdiction of incorporation or formation;</w:t>
      </w:r>
    </w:p>
    <w:p>
      <w:pPr>
        <w:spacing w:after="0" w:line="68" w:lineRule="exact"/>
        <w:rPr>
          <w:sz w:val="20"/>
          <w:szCs w:val="20"/>
          <w:color w:val="auto"/>
        </w:rPr>
      </w:pPr>
    </w:p>
    <w:p>
      <w:pPr>
        <w:ind w:left="440" w:right="20" w:firstLine="952"/>
        <w:spacing w:after="0" w:line="282" w:lineRule="auto"/>
        <w:rPr>
          <w:sz w:val="20"/>
          <w:szCs w:val="20"/>
          <w:color w:val="auto"/>
        </w:rPr>
      </w:pPr>
      <w:r>
        <w:rPr>
          <w:rFonts w:ascii="Times New Roman" w:cs="Times New Roman" w:eastAsia="Times New Roman" w:hAnsi="Times New Roman"/>
          <w:sz w:val="18"/>
          <w:szCs w:val="18"/>
          <w:color w:val="auto"/>
        </w:rPr>
        <w:t>(ii)  A certificate of good standing (or comparable certificate) for each Loan Party, certified as of a recent date prior to the Effective Date by the Secretary of State (or comparable public official) of such Person’s jurisdiction of incorporation or formation; and</w:t>
      </w:r>
    </w:p>
    <w:p>
      <w:pPr>
        <w:spacing w:after="0" w:line="54" w:lineRule="exact"/>
        <w:rPr>
          <w:sz w:val="20"/>
          <w:szCs w:val="20"/>
          <w:color w:val="auto"/>
        </w:rPr>
      </w:pPr>
    </w:p>
    <w:p>
      <w:pPr>
        <w:ind w:left="440" w:firstLine="952"/>
        <w:spacing w:after="0" w:line="255" w:lineRule="auto"/>
        <w:rPr>
          <w:sz w:val="20"/>
          <w:szCs w:val="20"/>
          <w:color w:val="auto"/>
        </w:rPr>
      </w:pPr>
      <w:r>
        <w:rPr>
          <w:rFonts w:ascii="Times New Roman" w:cs="Times New Roman" w:eastAsia="Times New Roman" w:hAnsi="Times New Roman"/>
          <w:sz w:val="18"/>
          <w:szCs w:val="18"/>
          <w:color w:val="auto"/>
        </w:rPr>
        <w:t>(iii)  A certificate of the Secretary or an Assistant Secretary (or comparable officer) of each Loan Party, dated the Effective Date, certifying (A) that attached thereto is a true and correct copy of (x) the charter, articles or certificate of organization or incorporation or comparable document and (y) bylaws or other organizational or governing documents of such Person as in effect on the Effective Date; (B) that attached thereto are true and correct copies of resolutions duly adopted by the board of directors or other governing body of such Person and continuing in effect, which authorize the execution, delivery and performance by such Person each Loan Document executed or to be executed by such Person and the consummation of the transactions contemplated thereby; and (C) the incumbency, signatures and authority of the officers of such Person authorized to execute, deliver and perform the Loan Documents to be executed by such Person.</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  The Administrative Agent shall have received a certificate from a Financial Officer of the Borrower confirming of the absence of any material action, suit, investigation or proceeding, pending or threatened, that is reasonably likely to result in a Material Adverse Effect or could materially affect (i) the ability of the Borrower or any Subsidiary to perform its obligations under the Loan Documents or (ii) the rights and remedies of the Lenders and Agents under the Loan Documents.</w:t>
      </w:r>
    </w:p>
    <w:p>
      <w:pPr>
        <w:spacing w:after="0" w:line="180"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(j)  The Administrative Agent shall have received a certificate from a Financial Officer in substantially the form attached as Exhibit J hereto, certifying that the Borrower and the Subsidiaries, on a consolidated basis after giving effect to the Transactions, are solvent.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40"/>
          </w:cols>
          <w:pgMar w:left="440" w:top="270" w:right="519" w:bottom="1440" w:gutter="0" w:footer="0" w:header="0"/>
        </w:sectPr>
      </w:pPr>
    </w:p>
    <w:bookmarkStart w:id="271" w:name="page272"/>
    <w:bookmarkEnd w:id="271"/>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  The Administrative Agent shall have received a certificate from a Financial Officer of the Borrower, confirming satisfaction of the conditions set forth in </w:t>
      </w:r>
      <w:r>
        <w:rPr>
          <w:rFonts w:ascii="Times New Roman" w:cs="Times New Roman" w:eastAsia="Times New Roman" w:hAnsi="Times New Roman"/>
          <w:sz w:val="18"/>
          <w:szCs w:val="18"/>
          <w:u w:val="single" w:color="auto"/>
          <w:color w:val="auto"/>
        </w:rPr>
        <w:t>Sections 4.01(o)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(l)  So long as requested at least ten (10) Business Days prior to the Effective Date, the Lenders and the Administrative Agent shall have received, at least five (5) days prior to the Effective Date, a duly executed IRS Form W-9 (or other applicable tax form) and all documentation and other information required by regulatory authorities concerning the Loan Parties under applicable “know your customer” and anti-money laundering rules and regulations, including, without limitation, the USA Patriot Act.</w:t>
      </w:r>
    </w:p>
    <w:p>
      <w:pPr>
        <w:spacing w:after="0" w:line="18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(m)  Payment of all fees and expenses required to be paid on the Effective Date shall have been paid, to the extent invoiced in reasonable detail with supporting documentation, from the proceeds of the initial funding under this Agreement.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  The Collateral Agent shall have, for the benefit of the Lenders, a first priority security interest (subject to Permitted Encumbrances) in all Collateral in which a lien can be perfected by (i) the filing of a Uniform Commercial Code financing statement, and/or (ii) in the case of Equity Interests or other certificated security of the Borrower and the Subsidiary Loan Parties, possession of such Equity Interests or other certificated securities and the Collateral Agent shall have received (i) the duly executed Perfection Certificate and (ii) the duly executed Collateral Agreement.</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(o)  The representations and warranties of each Loan Party set forth in the Loan Documents shall be true and correct in all material respects (except to the extent any such representation or warranty is qualified by “materially,” “Material Adverse Effect” or a similar term, in which case such representation and warranty shall be true and correct in all respects) on and as of the date of such Borrowing, except to the extent such representations and warranties expressly relate to an earlier date (in which case such representations and warranties shall be true and correct in all material respects (except to the extent any such representation or warranty is qualified by “materially,” “Material Adverse Effect” or a similar term, in which case such representation and warranty shall be true and correct in all respects) as of such earlier date).</w:t>
      </w:r>
    </w:p>
    <w:p>
      <w:pPr>
        <w:spacing w:after="0" w:line="187"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(p)  At the time of and immediately after giving effect to the Borrowing of the Effective Date Term Loans on the Effective Date, no Default or Event of Default shall have occurred and be continuing.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notify the Borrower and the Lenders of the Effective Date, and such notice shall be conclusive and binding.</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Precedent to Borrowings after the Third Amendment Effective Date</w:t>
      </w:r>
      <w:r>
        <w:rPr>
          <w:rFonts w:ascii="Times New Roman" w:cs="Times New Roman" w:eastAsia="Times New Roman" w:hAnsi="Times New Roman"/>
          <w:sz w:val="18"/>
          <w:szCs w:val="18"/>
          <w:color w:val="auto"/>
        </w:rPr>
        <w:t>. The obligations of the Lenders to any Loans hereunder after the Third Amendment Effective Date is subject to the satisfaction (or waiver) of each of the following conditions:</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each Loan Party set forth in the Loan Documents shall be true and correct in all material respects (except to the extent any such representation or warranty is qualified by “materially,” “Material Adverse Effect” or a similar term, in which case such representation and warranty shall be true and correct in all respects) on and as of the date of such Borrowing, except to the extent such representations and warranties expressly relate to an earlier date (in which case such representations and warranties shall be true and correct in all material respects (except to the extent any such representation or warranty is qualified by “materially,” “Material Adverse Effect” or a similar term, in which case such representation and warranty shall be true and correct in all respects) as of such earlier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272" w:name="page273"/>
    <w:bookmarkEnd w:id="272"/>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At the time of and immediately after giving effect to the Borrowing of such Loans, no Default or Event of Default shall have occurred and be continuing.</w:t>
      </w:r>
    </w:p>
    <w:p>
      <w:pPr>
        <w:spacing w:after="0" w:line="162" w:lineRule="exact"/>
        <w:rPr>
          <w:sz w:val="20"/>
          <w:szCs w:val="20"/>
          <w:color w:val="auto"/>
        </w:rPr>
      </w:pPr>
    </w:p>
    <w:p>
      <w:pPr>
        <w:ind w:left="4" w:right="5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Prior to the making of each Loan, the Administrative Agent shall have received a Borrowing Request (in writing) meeting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as applicable.</w:t>
      </w:r>
    </w:p>
    <w:p>
      <w:pPr>
        <w:spacing w:after="0" w:line="162"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Prior to the making of each Revolving Loan, the Revolving Agent shall have received a Borrowing Base Certificate no later than the time that the Borrowing Request with respect thereto is required to be delivered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such later time as the Revolving Agent may agree).</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expenses and other amounts payable under any Loan Document shall have been paid in full, each of the Borrower covenants and agrees with the Lenders that: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(for distribution to each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within (x) one hundred fifty (150) days after the end of the fiscal year ended December 31, 2022 and (y) one hundred twenty</w:t>
      </w:r>
    </w:p>
    <w:p>
      <w:pPr>
        <w:spacing w:after="0" w:line="27" w:lineRule="exact"/>
        <w:rPr>
          <w:sz w:val="20"/>
          <w:szCs w:val="20"/>
          <w:color w:val="auto"/>
        </w:rPr>
      </w:pPr>
    </w:p>
    <w:p>
      <w:pPr>
        <w:ind w:left="4" w:right="80" w:hanging="4"/>
        <w:spacing w:after="0" w:line="251" w:lineRule="auto"/>
        <w:tabs>
          <w:tab w:leader="none" w:pos="43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end of each fiscal year of the Borrower thereafter, in each case, subject to any SEC Extension (if applicable), its audited consolidated balance sheet as of the end of such fiscal year and statements of operations, changes in stockholders’ equity and cash flows for such fiscal year, and the related notes thereto, and setting forth in each case in comparative form the figures for the previous fiscal year, all reported on by an independent public accountant of recognized national standing (without a “going concern” or like qualification or exception (other than a disclosure, an exception or a qualification solely resulting from (1) the impending maturity of any Indebtedness or (2) an actual Default under the Financial Performance Covenants) and without any qualification or exception as to the scope of such audit) to the effect that such consolidated financial statements present fairly in all material respects the financial condition and results of operations of the Borrower and the Subsidiaries on a consolidated basis in accordance with GAAP consistently applied;</w:t>
      </w:r>
    </w:p>
    <w:p>
      <w:pPr>
        <w:spacing w:after="0" w:line="194"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(b)  within sixty (60) days after the end of each fiscal quarter of the Borrower, commencing with the fiscal quarter ended September 30, 2022, in each case, subject to any SEC Extension (if applicable) its consolidated balance sheet as of the end of such fiscal quarter, and statements of operations and changes in stockholders’ equity, in each case for such fiscal quarter, and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the Subsidiaries on a consolidated basis in accordance with GAAP consistently applied, subject to normal year-end audit adjustments and the absence of footnotes;</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4"/>
          </w:cols>
          <w:pgMar w:left="436" w:top="270" w:right="479" w:bottom="1440" w:gutter="0" w:footer="0" w:header="0"/>
        </w:sectPr>
      </w:pPr>
    </w:p>
    <w:bookmarkStart w:id="273" w:name="page274"/>
    <w:bookmarkEnd w:id="273"/>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prior to an IPO, within thirty-five (35) days after the end of each of the first two months of each fiscal quarter of the Borrower, commencing with the month ending August 31, 2022, monthly reports;</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(d)  concurrently with any delivery of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in the case of the first three fiscal quarters of each fiscal year under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a Compliance Certificate signed by a Financial Officer of the Borrower, (i) certifying as to whether a Default or Event of Default has occurred and, if a Default or Event of Default has occurred, specifying the details thereof and any action taken or proposed to be taken with respect thereto and (ii) setting forth reasonably detailed calculations demonstrating compliance with the Financial Performance Covenants;</w:t>
      </w:r>
    </w:p>
    <w:p>
      <w:pPr>
        <w:spacing w:after="0" w:line="180"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(e)  within sixty (60) days after the commencement of each fiscal year of the Borrower, a detailed consolidated budget for such fiscal year (including a projected consolidated balance sheet and consolidated statements of projected operations and cash flows as of the end of and for such fiscal year);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[reserved];</w:t>
      </w:r>
    </w:p>
    <w:p>
      <w:pPr>
        <w:spacing w:after="0" w:line="225"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(g)  promptly after the same become publicly available, copies of all periodic and other reports, proxy statements and other materials filed by the Borrower or any Subsidiary with the SEC or with any national securities exchange,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[reserved]; and</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  promptly following any written request therefor, such other information regarding the operations, business affairs and financial condition of the Borrower, any Subsidiary or any Plan, or compliance with the terms of any Loan Document, as the Administrative Agent or any Lender through the Administrative Agent may reasonably request, in each case subject to the limitations set forth herein.</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satisfied with respect to information of the Borrower or any Subsidiary by furnishing the applicable financial statements of the Borrower (or any direct or indirect parent of the Borrower) Form 10-K, 10-Q or 8-K,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(A) and (B), (i) to the extent such information relates to a parent of the Borrower, such information is accompanied by consolidating information that explains in reasonable detail the differences between the information relating to the Borrower (or such parent), on the one hand, and the information relating to the Borrower on a standalone basis, on the other hand and (ii) to the extent such information is in lieu of information required to be provided under Section 5.01(a), such materials are accompanied by a report and opinion of PricewaterhouseCoopers LLP or such other firm reasonably acceptable to the Administrative Agent or any other independent registered public accounting firm reasonably determined to be of nationally recognized standing, which report and opinion shall be prepared in accordance with generally accepted auditing standards and shall not be subject to any “going concern” or like qualification or exception (other than solely resulting from (1) the impending maturity of any Indebtedness or (2) an Default under the Financial Performance Covenants) or any qualification or exception as to the scope of such audit.</w:t>
      </w:r>
    </w:p>
    <w:p>
      <w:pPr>
        <w:spacing w:after="0" w:line="19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Documents required to be delivered pursuant to Section 5.01(a), (b) or (f) (to the extent any such documents are included in materials otherwise filed with the SEC) may be delivered electronically and if so delivered, shall be deemed to have been delivered on the date on which the Borrower notifies the Administrative Agent that it has filed such documents on the SEC’s EDGAR system (or any successor system adopted by the SEC).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274" w:name="page275"/>
    <w:bookmarkEnd w:id="274"/>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herein, neither Borrower nor any Subsidiary shall be required to deliver, disclose, permit the inspection, examination or making of copies of or excerpts from, or any discussion of, any document, information, or other matter (i) that constitutes a non-financial trade secret or non-financial proprietary information, (ii) in respect of which disclosure to the Administrative Agent (or any Lender (or their respective representatives or contractors)) is prohibited by applicable Requirements of Law, fiduciary duty or binding agreement, (iii) that is subject to attorney-client or similar privilege or constitutes attorney work product or (iv) with respect to which any Loan Party or any Subsidiary owes confidentiality obligations (to the extent not created in contemplation of such Loan Party’s or Subsidiary’s obligations under this Section 5.01) to any third party.</w:t>
      </w:r>
    </w:p>
    <w:p>
      <w:pPr>
        <w:spacing w:after="0" w:line="173"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Administrative Agent (for distribution to each Lender), written notice of the following promptly after obtaining knowledge thereof:</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(a)  the occurrence of any Default or Event of Default, which notice shall specify the nature thereof, the period of existence thereof and what action the applicable Loan Parties propose to take with respect thereto;</w:t>
      </w:r>
    </w:p>
    <w:p>
      <w:pPr>
        <w:spacing w:after="0" w:line="162"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(b)  within five (5) Business Days after an authorized officer of any Loan Party or any of its Subsidiaries obtains knowledge thereof, notice from an authorized officer of the Borrower of (i) the commencement of, or any material development in, any litigation, action, proceeding or labor controversy or proceeding affecting any Loan Party or any Subsidiary of any Loan Party or its respective property (including in respect of Environmental Laws and the Borrower’s and its Subsidiaries’ intellectual property) (A) in which the amount of damages could reasonably be expected to exceed $5,000,000, (B) which is reasonably likely to result in a Material Adverse Effect, or (C) which purports to affect the legality, validity or enforceability of any Loan Document or (ii) the occurrence of any material adverse development with respect to any litigation, action, proceeding or labor controversy described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and, in each case together with a statement of an authorized officer of the Borrower, which notice shall specify the nature thereof, and what actions the applicable Loan Parties propose to take with respect thereto, and, to the extent the Collateral Agent requests, copies of all documentation related thereto;</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the occurrence of any ERISA Event which could reasonably be expected to result in a Material Adverse Effect;</w:t>
      </w:r>
    </w:p>
    <w:p>
      <w:pPr>
        <w:spacing w:after="0" w:line="225" w:lineRule="exact"/>
        <w:rPr>
          <w:sz w:val="20"/>
          <w:szCs w:val="20"/>
          <w:color w:val="auto"/>
        </w:rPr>
      </w:pPr>
    </w:p>
    <w:p>
      <w:pPr>
        <w:ind w:right="80" w:firstLine="991"/>
        <w:spacing w:after="0" w:line="281" w:lineRule="auto"/>
        <w:rPr>
          <w:sz w:val="20"/>
          <w:szCs w:val="20"/>
          <w:color w:val="auto"/>
        </w:rPr>
      </w:pPr>
      <w:r>
        <w:rPr>
          <w:rFonts w:ascii="Times New Roman" w:cs="Times New Roman" w:eastAsia="Times New Roman" w:hAnsi="Times New Roman"/>
          <w:sz w:val="17"/>
          <w:szCs w:val="17"/>
          <w:color w:val="auto"/>
        </w:rPr>
        <w:t>(d)  within five (5) Business Days after any Loan Party obtains knowledge of the occurrence of a material breach or default or notice of termination by any party under, or material amendment entered into by any party to, any document or agreement in respect of Subordinated Indebtedness (including, without limitation, the Google Note), a statement of an authorized officer of the Borrower setting forth details of such material breach or default or notice of termination and the actions taken or to be taken with respect thereto and, if applicable, a copy of such amendment;</w:t>
      </w:r>
    </w:p>
    <w:p>
      <w:pPr>
        <w:spacing w:after="0" w:line="164" w:lineRule="exact"/>
        <w:rPr>
          <w:sz w:val="20"/>
          <w:szCs w:val="20"/>
          <w:color w:val="auto"/>
        </w:rPr>
      </w:pPr>
    </w:p>
    <w:p>
      <w:pPr>
        <w:ind w:right="820" w:firstLine="991"/>
        <w:spacing w:after="0" w:line="282" w:lineRule="auto"/>
        <w:rPr>
          <w:sz w:val="20"/>
          <w:szCs w:val="20"/>
          <w:color w:val="auto"/>
        </w:rPr>
      </w:pPr>
      <w:r>
        <w:rPr>
          <w:rFonts w:ascii="Times New Roman" w:cs="Times New Roman" w:eastAsia="Times New Roman" w:hAnsi="Times New Roman"/>
          <w:sz w:val="18"/>
          <w:szCs w:val="18"/>
          <w:color w:val="auto"/>
        </w:rPr>
        <w:t>(e)  within ten (10) Business Days after, receipt thereof, copies of all “management letters” submitted to any Loan Party by the independent public accountants referred to in Section 5.01 in connection with each audit made by such accountants;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(f)  immediately upon becoming aware thereof, notice (whether involuntary or voluntary) of the bankruptcy, insolvency, reorganization of any Loan Party, or the appointment of any trustee in connection with or anticipation of any such occurrence, or the taking of any step by any Person in furtherance of any such action or occurrence;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275" w:name="page276"/>
    <w:bookmarkEnd w:id="275"/>
    <w:p>
      <w:pPr>
        <w:jc w:val="both"/>
        <w:ind w:left="4" w:right="140"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  promptly upon the receipt thereof, any written notice received by the Borrower or any Subsidiary that the FDA or other comparable Governmental Authority (including any Public Health Regulatory Agency) is (i) limiting, suspending or revoking any Registration of the Borrower or any Subsidiary, (ii) changing the market classification or labeling of the products of the Borrower or any Subsidiary under any such Registration,</w:t>
      </w:r>
    </w:p>
    <w:p>
      <w:pPr>
        <w:spacing w:after="0" w:line="1" w:lineRule="exact"/>
        <w:rPr>
          <w:sz w:val="20"/>
          <w:szCs w:val="20"/>
          <w:color w:val="auto"/>
        </w:rPr>
      </w:pPr>
    </w:p>
    <w:p>
      <w:pPr>
        <w:ind w:left="4" w:right="180" w:hanging="4"/>
        <w:spacing w:after="0" w:line="253" w:lineRule="auto"/>
        <w:tabs>
          <w:tab w:leader="none" w:pos="31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considering any of the foregoing, or (iv) considering or implementing any other such regulatory action either directly or indirectly involving the Borrower or any Subsidiary or their products, except where the regulatory action is focused on the further manufacturing, processing, packaging/repackaging, labeling/relabeling, marketing, use, or distribution of products by customers of the Borrower or any Subsidiary or other downstream purchasers or recipients;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the foregoing clauses (i) through (iv), where such action is not reasonably likely to result in (x) an obligation in excess of $5,000,000, individually or in the aggregate, or (y) a Material Adverse Effect;</w:t>
      </w:r>
    </w:p>
    <w:p>
      <w:pPr>
        <w:spacing w:after="0" w:line="18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(h)  promptly upon the receipt thereof, (i) any FDA Section 305 notice of hearing before report of criminal violation (21 U.S.C. § 335) or other written notice regarding the planned or actual institution of criminal proceedings against the Borrower or any Subsidiary, (ii) any written notice from any Governmental Authority proposing or threatening that any product of the Borrower or any Subsidiary will become the subject of seizure, embargo, withdrawal of marketing authorization, recall, detention, or suspension of manufacturing, (iii) any FDA warning letter, untitled letter, or Form FDA 483 notice of inspectional observations, and/or other similar written notice, complaint or inquiry made by the FDA or any comparable Governmental Authority (including any Public Health Regulatory Agency) asserting that the manufacture, distribution, marketing or sale of the products of the Borrower or any Subsidiary is not in compliance with any applicable Requirement of Law, (iv) any written notice asserting that a product of the Borrower or any Subsidiary has been or is being seized, embargoed, withdrawn, recalled, detained, or subject to a suspension of manufacturing by any Governmental Authority, or (v) any written notice of the commencement, or the threatened commencement, of any proceedings in the United States or any other applicable jurisdiction seeking the withdrawal, recall, suspension, import detention, or seizure of any product of any of the Borrower or any Subsidiary, except, in each case of the foregoing clauses (i) through (v), where such action could not reasonably be expected to result in (x) an obligation in excess of $5,000,000, individually or in the aggregate, or (y) a Material Adverse Effect;</w:t>
      </w:r>
    </w:p>
    <w:p>
      <w:pPr>
        <w:spacing w:after="0" w:line="190"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(i)  concurrently with the delivery of the financial information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information regarding any material amendment to the organizational documents of any Loan Party or changes in accounting or financial reporting practices, fiscal years or fiscal quarters of the Loan Parties, a certificate, certifying to the extent of any change from a prior certification, from an authorized officer of the Borrower notifying the Agents of such amendment and attaching thereto any relevant documentation in connection therewith; and</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(j)   any other development that results in, or is reasonably likely, individually or in the aggregate, to result in, a Material Adverse Effect.</w:t>
      </w:r>
    </w:p>
    <w:p>
      <w:pPr>
        <w:spacing w:after="0" w:line="225" w:lineRule="exact"/>
        <w:rPr>
          <w:sz w:val="20"/>
          <w:szCs w:val="20"/>
          <w:color w:val="auto"/>
        </w:rPr>
      </w:pPr>
    </w:p>
    <w:p>
      <w:pPr>
        <w:ind w:left="4" w:right="400"/>
        <w:spacing w:after="0" w:line="312" w:lineRule="auto"/>
        <w:rPr>
          <w:sz w:val="20"/>
          <w:szCs w:val="20"/>
          <w:color w:val="auto"/>
        </w:rPr>
      </w:pPr>
      <w:r>
        <w:rPr>
          <w:rFonts w:ascii="Times New Roman" w:cs="Times New Roman" w:eastAsia="Times New Roman" w:hAnsi="Times New Roman"/>
          <w:sz w:val="17"/>
          <w:szCs w:val="17"/>
          <w:color w:val="auto"/>
        </w:rPr>
        <w:t xml:space="preserve">Each notice delivered under this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(a)  The Borrower will furnish to the Collateral Agent prompt written notice (but in no event later than ten (10) days following such change) of any change (i) in any Loan Party’s legal name, (ii) in the jurisdiction of incorporation or organization of any Loan Party or (iii) in any Loan Party’s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4"/>
          </w:cols>
          <w:pgMar w:left="436" w:top="270" w:right="459" w:bottom="1440" w:gutter="0" w:footer="0" w:header="0"/>
        </w:sectPr>
      </w:pPr>
    </w:p>
    <w:bookmarkStart w:id="276" w:name="page277"/>
    <w:bookmarkEnd w:id="276"/>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organizational identification number. The Borrower agrees not to effect or permit any change referred to in the preceding sentence unless all filings have been made under the Uniform Commercial Code or otherwise that are required in order for the Collateral Agent to continue at all times following such change to have a valid, legal and perfected security interest in all the Collateral.</w:t>
      </w:r>
    </w:p>
    <w:p>
      <w:pPr>
        <w:spacing w:after="0" w:line="176" w:lineRule="exact"/>
        <w:rPr>
          <w:sz w:val="20"/>
          <w:szCs w:val="20"/>
          <w:color w:val="auto"/>
        </w:rPr>
      </w:pPr>
    </w:p>
    <w:p>
      <w:pPr>
        <w:ind w:right="5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(b)  Each year, at the time of delivery of annual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the Borrower shall deliver to the Collateral Agent a Compliance Certificate executed by a Financial Officer of the Borrower setting forth the information required pursuant to the Perfection Certificate or confirming that there has been no change in such information since the date of the Perfection Certificate delivered on the Effective Date or the date of the most recent certificate delivered pursuant to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Existence; Conduct of Business; Public Health Laws</w:t>
      </w:r>
      <w:r>
        <w:rPr>
          <w:rFonts w:ascii="Times New Roman" w:cs="Times New Roman" w:eastAsia="Times New Roman" w:hAnsi="Times New Roman"/>
          <w:sz w:val="18"/>
          <w:szCs w:val="18"/>
          <w:color w:val="auto"/>
        </w:rPr>
        <w:t xml:space="preserve">. The Borrower will, and will cause each of the Subsidiaries to, do or cause to be done all things necessary to preserve, renew and keep in full force and effect its legal existence and the rights, qualifications, permits, approvals, accreditations, authorizations, licenses, franchises, patents, copyrights, trademarks and trade names material to the conduct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Without limiting the generality of the foregoing, the Borrower will comply, and will cause each other Loan Party to comply, with all applicable Health Care Laws and Public Health Laws relating to the operation of such Person’s business, except where non-compliance is not reasonably likely to result in, individually or in the aggregate, Material Regulatory Liabilities. All products developed, manufactured, tested, investigated, distributed or marketed by or on behalf of the Borrower and its Subsidiaries that are subject to the jurisdiction of the FDA or any comparable Governmental Authority shall be developed, tested, manufactured, investigated, distributed and marketed in compliance with the applicable Public Health Laws and any other applicable Requirement of Law, including, without limitation, pre-market notification, good manufacturing practices, labeling, advertising, record-keeping, and adverse event reporting, except where the failure to comply is not reasonably likely to result, either individually or in the aggregate, in Material Regulatory Liabilities.</w:t>
      </w:r>
    </w:p>
    <w:p>
      <w:pPr>
        <w:spacing w:after="0" w:line="192"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Borrower will, and will cause each of the Subsidiaries to, pay its Tax liabilities, before the same shall become delinquent or in default, except where (a) the validity or amount thereof is being contested in good faith by appropriate proceedings and the Borrower or such Subsidiary has set aside on its books adequate reserves with respect thereto in accordance with GAAP or (b) the failure to make payment pending such contest is not reasonably likely to, individually or in the aggregate, result in a Material Adverse Effect.</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Maintenance and Ownership of Properties</w:t>
      </w:r>
      <w:r>
        <w:rPr>
          <w:rFonts w:ascii="Times New Roman" w:cs="Times New Roman" w:eastAsia="Times New Roman" w:hAnsi="Times New Roman"/>
          <w:sz w:val="18"/>
          <w:szCs w:val="18"/>
          <w:color w:val="auto"/>
        </w:rPr>
        <w:t xml:space="preserve">. The Borrower will, and will cause each of the Subsidiaries to, (a) keep and maintain all tangible property material to the conduct of its business in good working order and condition, ordinary wear and tear and casualty and condemnation excepted and (b) with respect to IP Rights owned by the Borrower and its Subsidiaries, maintain, renew, protect and defend such IP Rights that are material to the conduct of the business of the Borrower and its Subsidiaries,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any Disposition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Borrower will, and will cause each of the Subsidiaries to, maintain, with financially sound and reputable insurance companies (which may include self-insurance), (a) insurance in such amounts (with no greater risk retention) and against such risks as are customarily maintained by companies of established repute engaged in the same or similar businesses operating in the same or similar locations and (b) all insurance required to be maintained pursuant to the Security Documents; each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277" w:name="page278"/>
    <w:bookmarkEnd w:id="277"/>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insurance policy maintained by any Loan Party pursuant to this sentence shall name the Collateral Agent as additional insured or loss payee if permitted by law and the Borrower shall use commercially reasonable efforts to cause each such insurance policy to provide that no cancellation, material reduction in amount or material change in coverage thereof shall be effective until at least thirty (30) days (ten (10) days in the case of non-payment) after receipt by the Collateral Agent of written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 Borrower will furnish to the Lenders, upon written request of the Administrative Agent, information in reasonable detail as to the insurance so maintained. The Borrower will, with respect to each Mortgaged Property, obtain flood insurance in such total amount as the Administrative Agent or the Required Lenders may from time to time reasonably require (but such amount may be no less than that amount required under the National Flood Insurance Program as set forth in the Flood Disaster Protection Act of 1973, as amended from time to time), if at any time the area in which any improvements located on any Mortgaged Property is designated a “flood hazard area” in any Flood Insurance Rate Map published by the Federal Emergency Management Agency (or any successor agency), and otherwise comply with the National Flood Insurance Program as set forth in the Flood Disaster Protection Act of 1973, as amended from time to time.</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Casualty and Condemnation</w:t>
      </w:r>
      <w:r>
        <w:rPr>
          <w:rFonts w:ascii="Times New Roman" w:cs="Times New Roman" w:eastAsia="Times New Roman" w:hAnsi="Times New Roman"/>
          <w:sz w:val="18"/>
          <w:szCs w:val="18"/>
          <w:color w:val="auto"/>
        </w:rPr>
        <w:t>. The Borrower (a)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Security Documents.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Books and Records; Inspection and Audit Rights; Field Exams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Books and Records; Inspection and Audit Rights</w:t>
      </w:r>
      <w:r>
        <w:rPr>
          <w:rFonts w:ascii="Times New Roman" w:cs="Times New Roman" w:eastAsia="Times New Roman" w:hAnsi="Times New Roman"/>
          <w:sz w:val="18"/>
          <w:szCs w:val="18"/>
          <w:color w:val="auto"/>
        </w:rPr>
        <w:t>. The Borrower will, and will cause each of the Subsidiaries to, keep proper books of record and account in which full, true and correct entries are made of all dealings and transactions in relation to its business and activities. The Borrower will, and will cause each of the Subsidiaries to, permit any representatives designated by the Administrative Agent, upon reasonable prior notice, to visit and inspect its properties during normal business hours, to examine and make extracts from its books and records, including any information relating to actual or potential compliance with or liability under Environmental Laws, and to discuss its affairs, finances and condition with its officers and independent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provided the opportunity to participate in any such discussions with its independent accountants), all at such reasonable times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exercise such rights more often than one time during any calendar year absent the continuance of an Event of Default. Notwithstanding anything to the contrary in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none of the Borrower nor any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 (it being understood, in the case of clauses (ii) and (iii) above, that the Borrower shall use its commercially reasonable efforts to communicate any requested information in a way that would not violate the applicable Requirement of Law or agreement or waive the applicable privilege).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278" w:name="page279"/>
    <w:bookmarkEnd w:id="278"/>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Field Exams</w:t>
      </w:r>
      <w:r>
        <w:rPr>
          <w:rFonts w:ascii="Times New Roman" w:cs="Times New Roman" w:eastAsia="Times New Roman" w:hAnsi="Times New Roman"/>
          <w:sz w:val="18"/>
          <w:szCs w:val="18"/>
          <w:color w:val="auto"/>
        </w:rPr>
        <w:t>. Each Loan Party will, and will permit each of its Subsidiaries to, permit representatives of the Revolving Agent to conduct field examinations and audits of Accounts of the Loan Parties and their Subsidiaries (including to evaluate and make physical verifications of the Accounts in any manner and through any medium that the Revolving Agent considers advisable, to verify the amount and age of the Accounts, the identity and credit of the respective Account Debtors and to review the billing practices of the Loan Parties) (collectively, “</w:t>
      </w:r>
      <w:r>
        <w:rPr>
          <w:rFonts w:ascii="Times New Roman" w:cs="Times New Roman" w:eastAsia="Times New Roman" w:hAnsi="Times New Roman"/>
          <w:sz w:val="18"/>
          <w:szCs w:val="18"/>
          <w:u w:val="single" w:color="auto"/>
          <w:color w:val="auto"/>
        </w:rPr>
        <w:t>Field Exams</w:t>
      </w:r>
      <w:r>
        <w:rPr>
          <w:rFonts w:ascii="Times New Roman" w:cs="Times New Roman" w:eastAsia="Times New Roman" w:hAnsi="Times New Roman"/>
          <w:sz w:val="18"/>
          <w:szCs w:val="18"/>
          <w:color w:val="auto"/>
        </w:rPr>
        <w:t xml:space="preserve">”), which shall, be at such reasonable times during normal business hours and unless an Event of Default is continuing, upon reasonable advance notice to the Borrower; provided, that for so long as no Event of Default shall have occurred and be continuing, Borrower shall not be obligated to reimburse Revolving Agent for more than one (1) Field Exam in any twelve month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additional Field Exams required by the Revolving Agent in any given 12-month period shall be performed at the expense of the Revolving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if an Event of Default shall have occurred and be continuing, the Revolving Agent may conduct additional Field Exams at the Borrower’s expense. For the avoidance of doubt, the reimbursement limitations set forth in this clause (b)(ii) shall not apply to Field Exams conducted in connection with a Permitted Acquisition (provided, that unless agreed otherwise with the Borrower, there shall not be more than one such exam per Permitted Acquisition).</w:t>
      </w:r>
    </w:p>
    <w:p>
      <w:pPr>
        <w:spacing w:after="0" w:line="192"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Borrower will, and will cause each of the Subsidiaries to comply with all Requirements of Law, including ERISA, Environmental Laws, Health Care Laws and Public Health Laws applicable to it, its operations and all property owned, operated and leased by any of them, except where the failure to do so, individually or in the aggregate, is not reasonably likely to result in a Material Adverse Effect.</w:t>
      </w:r>
    </w:p>
    <w:p>
      <w:pPr>
        <w:spacing w:after="0" w:line="15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Effective Date Term Loans shall be used by the Borrower, solely (a) for working capital and general corporate purposes, (b) to finance growth initiatives, (c) to pay for operating expenses and (d) to pay the Transaction Costs. The proceeds of the First Amendment Effective Date Term Loans shall be used by the Borrower for (a) working capital and general corporate purposes, (b) to finance growth initiatives, (c) to pay for operating expenses and (d) to pay the costs, fees and expenses in connection with the consummation of the First Amendment. The proceeds of the Second Amendment Effective Date Term Loans shall be used by the Borrower for (a) working capital and general corporate purposes, (b) to finance growth initiatives, (c) to pay for operating expenses and (d) to pay the costs, fees and expenses in connection with the consummation of the Second Amendment. The proceeds of the Third Amendment Effective Date Term Loans shall be used by the Borrower to (x) pay a portion of the consideration for the Third Amendment Effective Date Acquisition, and (y) pay fees, costs and expenses incurred by the Loan Parties in connection with the Third Amendment Effective Date Acquisition and the Third Amendment. The proceeds of the Revolving Loans will be used by the Borrower (x) pay a portion of the consideration for the Third Amendment Effective Date Acquisition, (y) pay fees, costs and expenses incurred in connection with the Third Amendment Effective Date Acquisition and the Third Amendment, and (z) for working capital and general corporate purposes. No part of the proceeds of any Loan will be used, whether directly or indirectly, for any purpose that entails a violation of any of the Regulations of the Board, including Regulations T, U and X.</w:t>
      </w:r>
    </w:p>
    <w:p>
      <w:pPr>
        <w:spacing w:after="0" w:line="187"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Additional Subsidiaries</w:t>
      </w:r>
      <w:r>
        <w:rPr>
          <w:rFonts w:ascii="Times New Roman" w:cs="Times New Roman" w:eastAsia="Times New Roman" w:hAnsi="Times New Roman"/>
          <w:sz w:val="18"/>
          <w:szCs w:val="18"/>
          <w:color w:val="auto"/>
        </w:rPr>
        <w:t xml:space="preserve">. If any additional Subsidiary is formed or acquired after the Effective Date, the Borrower will, within sixty (60) days of such event, notify the Collateral Agent and the Administrative Agent thereof and cause the Collateral and Guarantee Requirement to be satisfied with respect to such Subsidiary (if it is a Subsidiary Loan Party, it being understood that such Loan Party shall not be required to fulfill any requirements not in the Collateral and Guarantee Agreement and is subject to any exclusions and exceptions) and with respect to any Equity Interest in such Subsidiary owned by or on behalf of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may, in its reasonable judgment, grant extensions of time for compliance, or exceptions from compliance, with the provisions of this paragraph by any Loan Party.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279" w:name="page280"/>
    <w:bookmarkEnd w:id="2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(a)  The Borrower will, and will cause each Subsidiary Loan Party to, execute any and all further documents, financing statements, agreements and instruments, and take all such further actions (including the filing and recording of financing statements, fixture filings, mortgages, deeds of trust and other documents), which may be required under any applicable Requirement of Law, or which the Administrative Agent or the Required Lenders may reasonably request, to cause the Collateral and Guarantee Requirement to be and remain satisfied, all at the expense of the Loan Parties.</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If any material assets (including any Material Real Property but excluding any Excluded Assets or any other asset located outside the United States) or improvements thereto or any interest therein are acquired by the Borrower or any Subsidiary Loan Party after the Effective Date (other than assets constituting Collateral under the Collateral Agreement that become subject to the Lien in favor of the Collateral Agent upon acquisition thereof), the Borrower will promptly notify the Administrative Agent and the Lenders thereof and, if requested in writing by the Administrative Agent or the Required Lenders, the Borrower will cause such assets to be subjected to the Lien of the Security Documents securing the Obligations and will take, and cause the Subsidiary Loan Parties to take, such actions as shall be necessary or reasonably requested in writing by the Administrative Agent to grant and perfect such Liens, including actions described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all at the expense of the Loan Parties, all within ninety (90) days of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may, in its reasonable judgment, grant extensions of time for compliance or exceptions with the provisions of this paragraph by any Loan Party. Notwithstanding anything to the contrary in this Agreement or any Security Document, no Loan Party shall be required to pledge or grant security interests in particular assets if, in the reasonable judgment of the Administrative Agent or the Collateral Agent, the costs of creating or perfecting such pledges or security interests in such assets (including any mortgage, stamp, intangibles or other tax) are excessive in relation to the benefits to the Lenders therefrom.</w:t>
      </w:r>
    </w:p>
    <w:p>
      <w:pPr>
        <w:spacing w:after="0" w:line="19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in each case, to the extent that the failure to do so is not reasonably likely to have, individually or in the aggregate, a Material Adverse Effect, the Borrower will comply, and make commercially reasonable efforts to cause all lessees and other Persons operating or occupying its properties to comply with all applicable Environmental Laws and Environmental Permits; obtain and renew all Environmental Permits necessary for its operations and properties; and, in each case to the extent the Borrower or any Subsidiary is required by Environmental Laws, conduct any investigation, study, sampling and testing, and undertake any cleanup, removal, remedial or other action necessary to remove and clean up all Hazardous Materials at, on, under or emanating from any affected property, in accordance with the requirements of all Environmental Laws.</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Annual Lender Meeting</w:t>
      </w:r>
      <w:r>
        <w:rPr>
          <w:rFonts w:ascii="Times New Roman" w:cs="Times New Roman" w:eastAsia="Times New Roman" w:hAnsi="Times New Roman"/>
          <w:sz w:val="18"/>
          <w:szCs w:val="18"/>
          <w:color w:val="auto"/>
        </w:rPr>
        <w:t xml:space="preserve">. The Borrower shall host a meeting (which may be in the form of a conference call) with representatives of the Administrative Agent and the Lenders once during each fiscal year of the Borrower, in each case, following delivery of the financial statements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and upon reasonable prior notice to be held at such time as reasonably designated by the Borrower (in consultation with the Administrative Agent), at which meeting shall be discussed the financial results of the Borrower and the Subsidiaries.</w:t>
      </w:r>
    </w:p>
    <w:p>
      <w:pPr>
        <w:spacing w:after="0" w:line="180"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Post-Closing Covenants</w:t>
      </w:r>
      <w:r>
        <w:rPr>
          <w:rFonts w:ascii="Times New Roman" w:cs="Times New Roman" w:eastAsia="Times New Roman" w:hAnsi="Times New Roman"/>
          <w:sz w:val="18"/>
          <w:szCs w:val="18"/>
          <w:color w:val="auto"/>
        </w:rPr>
        <w:t xml:space="preserve">. The Borrower agrees to deliver, or cause to be delivered, to the Administrative Agent, the items described on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on the Effective Date by the times specified with respect to such items, or such later time as may be agreed to by the Administrative Agent in its sole discretion.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80"/>
          </w:cols>
          <w:pgMar w:left="440" w:top="270" w:right="479" w:bottom="1440" w:gutter="0" w:footer="0" w:header="0"/>
        </w:sectPr>
      </w:pPr>
    </w:p>
    <w:bookmarkStart w:id="280" w:name="page281"/>
    <w:bookmarkEnd w:id="280"/>
    <w:p>
      <w:pPr>
        <w:jc w:val="both"/>
        <w:ind w:left="4" w:right="40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5.17. </w:t>
      </w:r>
      <w:r>
        <w:rPr>
          <w:rFonts w:ascii="Times New Roman" w:cs="Times New Roman" w:eastAsia="Times New Roman" w:hAnsi="Times New Roman"/>
          <w:sz w:val="17"/>
          <w:szCs w:val="17"/>
          <w:u w:val="single" w:color="auto"/>
          <w:color w:val="auto"/>
        </w:rPr>
        <w:t>Borrowing Base and Other Deliverables</w:t>
      </w:r>
      <w:r>
        <w:rPr>
          <w:rFonts w:ascii="Times New Roman" w:cs="Times New Roman" w:eastAsia="Times New Roman" w:hAnsi="Times New Roman"/>
          <w:sz w:val="17"/>
          <w:szCs w:val="17"/>
          <w:color w:val="auto"/>
        </w:rPr>
        <w:t>. The Borrower will deliver to the Revolving Agent each of the financial statements, reports, projections or other items set forth below at the following times in form and substance satisfactory to the Revolving Agent in its discretion:</w:t>
      </w:r>
    </w:p>
    <w:p>
      <w:pPr>
        <w:spacing w:after="0" w:line="140"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Borrowing Base Reporting</w:t>
      </w:r>
      <w:r>
        <w:rPr>
          <w:rFonts w:ascii="Times New Roman" w:cs="Times New Roman" w:eastAsia="Times New Roman" w:hAnsi="Times New Roman"/>
          <w:sz w:val="18"/>
          <w:szCs w:val="18"/>
          <w:color w:val="auto"/>
        </w:rPr>
        <w:t>. As soon as available, but in any event no later than twenty (20) days after the end of each fiscal month, calculated in respect of the immediately preceding month, in each case, unless otherwise waived in writing by the Revolving Agent:</w:t>
      </w:r>
    </w:p>
    <w:p>
      <w:pPr>
        <w:spacing w:after="0" w:line="54"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(i)   an executed Borrowing Base Certificate;</w:t>
      </w:r>
    </w:p>
    <w:p>
      <w:pPr>
        <w:spacing w:after="0" w:line="117" w:lineRule="exact"/>
        <w:rPr>
          <w:sz w:val="20"/>
          <w:szCs w:val="20"/>
          <w:color w:val="auto"/>
        </w:rPr>
      </w:pPr>
    </w:p>
    <w:p>
      <w:pPr>
        <w:jc w:val="both"/>
        <w:ind w:left="444" w:right="80" w:firstLine="952"/>
        <w:spacing w:after="0" w:line="266" w:lineRule="auto"/>
        <w:rPr>
          <w:sz w:val="20"/>
          <w:szCs w:val="20"/>
          <w:color w:val="auto"/>
        </w:rPr>
      </w:pPr>
      <w:r>
        <w:rPr>
          <w:rFonts w:ascii="Times New Roman" w:cs="Times New Roman" w:eastAsia="Times New Roman" w:hAnsi="Times New Roman"/>
          <w:sz w:val="18"/>
          <w:szCs w:val="18"/>
          <w:color w:val="auto"/>
        </w:rPr>
        <w:t>(ii)  a detailed aging of each Loan Party’s Accounts (each, based on and describing the respective invoice and due dates or terms of such invoice and delivered electronically in an acceptable format, if such Loan Party has implemented electronic reporting), along with a detailed calculation of those Accounts that are not Eligible Accounts;</w:t>
      </w:r>
    </w:p>
    <w:p>
      <w:pPr>
        <w:spacing w:after="0" w:line="68" w:lineRule="exact"/>
        <w:rPr>
          <w:sz w:val="20"/>
          <w:szCs w:val="20"/>
          <w:color w:val="auto"/>
        </w:rPr>
      </w:pPr>
    </w:p>
    <w:p>
      <w:pPr>
        <w:jc w:val="both"/>
        <w:ind w:left="444" w:right="180" w:firstLine="952"/>
        <w:spacing w:after="0" w:line="266" w:lineRule="auto"/>
        <w:rPr>
          <w:sz w:val="20"/>
          <w:szCs w:val="20"/>
          <w:color w:val="auto"/>
        </w:rPr>
      </w:pPr>
      <w:r>
        <w:rPr>
          <w:rFonts w:ascii="Times New Roman" w:cs="Times New Roman" w:eastAsia="Times New Roman" w:hAnsi="Times New Roman"/>
          <w:sz w:val="18"/>
          <w:szCs w:val="18"/>
          <w:color w:val="auto"/>
        </w:rPr>
        <w:t>(iii)  a summary aging (including the invoice or due date and, upon the Revolving Agent’s request, with a detailed aging and aged by invoice or due date as so requested), by vendor, of each Loan Party’s accounts payable and any book overdraft (delivered electronically in an acceptable format, if such Loan Party has implemented electronic reporting) and a detailed aging, by vendor, of any held checks; and</w:t>
      </w:r>
    </w:p>
    <w:p>
      <w:pPr>
        <w:spacing w:after="0" w:line="68" w:lineRule="exact"/>
        <w:rPr>
          <w:sz w:val="20"/>
          <w:szCs w:val="20"/>
          <w:color w:val="auto"/>
        </w:rPr>
      </w:pPr>
    </w:p>
    <w:p>
      <w:pPr>
        <w:ind w:left="444" w:right="80" w:firstLine="952"/>
        <w:spacing w:after="0" w:line="282" w:lineRule="auto"/>
        <w:rPr>
          <w:sz w:val="20"/>
          <w:szCs w:val="20"/>
          <w:color w:val="auto"/>
        </w:rPr>
      </w:pPr>
      <w:r>
        <w:rPr>
          <w:rFonts w:ascii="Times New Roman" w:cs="Times New Roman" w:eastAsia="Times New Roman" w:hAnsi="Times New Roman"/>
          <w:sz w:val="18"/>
          <w:szCs w:val="18"/>
          <w:color w:val="auto"/>
        </w:rPr>
        <w:t>(iv)  a reconciliation of reported balances in the foregoing clauses (ii) and (iv) above to each Loan Party’s applicable general ledger account, and to its quarterly financial statements including any book reserves related to each category.</w:t>
      </w:r>
    </w:p>
    <w:p>
      <w:pPr>
        <w:spacing w:after="0" w:line="162"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Updated Borrowing Base Certificate</w:t>
      </w:r>
      <w:r>
        <w:rPr>
          <w:rFonts w:ascii="Times New Roman" w:cs="Times New Roman" w:eastAsia="Times New Roman" w:hAnsi="Times New Roman"/>
          <w:sz w:val="18"/>
          <w:szCs w:val="18"/>
          <w:color w:val="auto"/>
        </w:rPr>
        <w:t>. Within three (3) Business Days of the written request of Required Revolving Lenders (i) after the occurrence and during the continuance of a Specified Event of Default or (ii) any time, the Revolver Usage on such date exceeds the lesser of</w:t>
      </w:r>
    </w:p>
    <w:p>
      <w:pPr>
        <w:ind w:left="4" w:right="260" w:hanging="4"/>
        <w:spacing w:after="0" w:line="260" w:lineRule="auto"/>
        <w:tabs>
          <w:tab w:leader="none" w:pos="21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Commitment and (ii) the Borrowing Base, an updated executed Borrowing Base Certificate reflecting changes in the Eligible Accounts availability since the last Borrowing Base Certificate.</w:t>
      </w:r>
    </w:p>
    <w:p>
      <w:pPr>
        <w:spacing w:after="0" w:line="181"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Qualified Cash Reporting</w:t>
      </w:r>
      <w:r>
        <w:rPr>
          <w:rFonts w:ascii="Times New Roman" w:cs="Times New Roman" w:eastAsia="Times New Roman" w:hAnsi="Times New Roman"/>
          <w:sz w:val="18"/>
          <w:szCs w:val="18"/>
          <w:color w:val="auto"/>
        </w:rPr>
        <w:t>. In connection (and concurrently) with each delivery under this Agreement of a Borrowing Base Certificate to the Revolving Agent, the Borrower will deliver to the Revolving Agent a report showing a snapshot of the cash balances of each Loan Party’s deposit accounts and a reconciliation of Qualified Cash as of the date of the applicable Borrowing Base Certificate.</w:t>
      </w:r>
    </w:p>
    <w:p>
      <w:pPr>
        <w:spacing w:after="0" w:line="176" w:lineRule="exact"/>
        <w:rPr>
          <w:sz w:val="20"/>
          <w:szCs w:val="20"/>
          <w:color w:val="auto"/>
        </w:rPr>
      </w:pPr>
    </w:p>
    <w:p>
      <w:pPr>
        <w:ind w:left="4" w:right="2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Account Roll-Forward</w:t>
      </w:r>
      <w:r>
        <w:rPr>
          <w:rFonts w:ascii="Times New Roman" w:cs="Times New Roman" w:eastAsia="Times New Roman" w:hAnsi="Times New Roman"/>
          <w:sz w:val="18"/>
          <w:szCs w:val="18"/>
          <w:color w:val="auto"/>
        </w:rPr>
        <w:t>. Once per year, promptly following written request from the Revolving Agent, a summary Account roll-forward of each Loan Party’s Accounts owing from Account Debtors owing more than $2,500,000 in the aggregate on Eligible Accounts, with supporting details supplied from sales journals, collection journals, credit registers and any other records, tied to the beginning and ending account receivable balances of each Loan Party’s general ledger (it being understood that such reporting will be consistent with the form provided prior to the Third Amendment Effective Date).</w:t>
      </w:r>
    </w:p>
    <w:p>
      <w:pPr>
        <w:spacing w:after="0" w:line="183"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Field Exam Deliverables</w:t>
      </w:r>
      <w:r>
        <w:rPr>
          <w:rFonts w:ascii="Times New Roman" w:cs="Times New Roman" w:eastAsia="Times New Roman" w:hAnsi="Times New Roman"/>
          <w:sz w:val="18"/>
          <w:szCs w:val="18"/>
          <w:color w:val="auto"/>
        </w:rPr>
        <w:t xml:space="preserve">. Promptly following any request therefor, such additional reporting as requested by the Revolving Agent in its Permitted Discretion arising from its completion of a Field Exam;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delivery of such additional reporting, the Borrower shall continue to deliver such additional reporting concurrently with each delivery under this Agreement of a Borrowing Base Certificate.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4"/>
          </w:cols>
          <w:pgMar w:left="436" w:top="270" w:right="459" w:bottom="1440" w:gutter="0" w:footer="0" w:header="0"/>
        </w:sectPr>
      </w:pPr>
    </w:p>
    <w:bookmarkStart w:id="281" w:name="page282"/>
    <w:bookmarkEnd w:id="281"/>
    <w:p>
      <w:pPr>
        <w:jc w:val="center"/>
        <w:ind w:right="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Until the Commitments have expired or been terminated and the principal of and interest on each Loan and all fees, expenses and other amounts payable under any Loan Document have been paid in full, each of the Borrower and the Subsidiaries covenant and agree with the Lenders that:</w:t>
      </w:r>
    </w:p>
    <w:p>
      <w:pPr>
        <w:spacing w:after="0" w:line="140"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6.01. </w:t>
      </w:r>
      <w:r>
        <w:rPr>
          <w:sz w:val="20"/>
          <w:szCs w:val="20"/>
          <w:color w:val="auto"/>
        </w:rPr>
        <w:tab/>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(a)  the Borrower will not, nor will it permit any Subsidiary to, directly or indirectly create, incur, issue, guarantee or assume or otherwise become directly or indirectly liable for any Indebtedness, contingently or otherwise, except:</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Indebtedness created under the Loan Documents;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Indebtedness consisting of earn-outs, milestones and other similar deferred purchase price obligations;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(iii)   Indebtedness existing on the Effective Date and set forth in </w:t>
      </w:r>
      <w:r>
        <w:rPr>
          <w:rFonts w:ascii="Times New Roman" w:cs="Times New Roman" w:eastAsia="Times New Roman" w:hAnsi="Times New Roman"/>
          <w:sz w:val="18"/>
          <w:szCs w:val="18"/>
          <w:u w:val="single" w:color="auto"/>
          <w:color w:val="auto"/>
        </w:rPr>
        <w:t>Schedule 6.01(iii)</w:t>
      </w:r>
      <w:r>
        <w:rPr>
          <w:rFonts w:ascii="Times New Roman" w:cs="Times New Roman" w:eastAsia="Times New Roman" w:hAnsi="Times New Roman"/>
          <w:sz w:val="18"/>
          <w:szCs w:val="18"/>
          <w:color w:val="auto"/>
        </w:rPr>
        <w:t xml:space="preserve"> and Permitted Refinancings thereof;</w:t>
      </w:r>
    </w:p>
    <w:p>
      <w:pPr>
        <w:spacing w:after="0" w:line="117" w:lineRule="exact"/>
        <w:rPr>
          <w:sz w:val="20"/>
          <w:szCs w:val="20"/>
          <w:color w:val="auto"/>
        </w:rPr>
      </w:pPr>
    </w:p>
    <w:p>
      <w:pPr>
        <w:ind w:left="440" w:right="180" w:firstLine="952"/>
        <w:spacing w:after="0" w:line="282" w:lineRule="auto"/>
        <w:rPr>
          <w:sz w:val="20"/>
          <w:szCs w:val="20"/>
          <w:color w:val="auto"/>
        </w:rPr>
      </w:pPr>
      <w:r>
        <w:rPr>
          <w:rFonts w:ascii="Times New Roman" w:cs="Times New Roman" w:eastAsia="Times New Roman" w:hAnsi="Times New Roman"/>
          <w:sz w:val="18"/>
          <w:szCs w:val="18"/>
          <w:color w:val="auto"/>
        </w:rPr>
        <w:t>(iv)  Indebtedness of the Borrower owed to any Subsidiary Loan Party and of any Subsidiary Loan Party owed to the Borrower or any other Subsidiary Loan Party;</w:t>
      </w:r>
    </w:p>
    <w:p>
      <w:pPr>
        <w:spacing w:after="0" w:line="54" w:lineRule="exact"/>
        <w:rPr>
          <w:sz w:val="20"/>
          <w:szCs w:val="20"/>
          <w:color w:val="auto"/>
        </w:rPr>
      </w:pPr>
    </w:p>
    <w:p>
      <w:pPr>
        <w:ind w:left="440" w:right="20" w:firstLine="952"/>
        <w:spacing w:after="0" w:line="282" w:lineRule="auto"/>
        <w:rPr>
          <w:sz w:val="20"/>
          <w:szCs w:val="20"/>
          <w:color w:val="auto"/>
        </w:rPr>
      </w:pPr>
      <w:r>
        <w:rPr>
          <w:rFonts w:ascii="Times New Roman" w:cs="Times New Roman" w:eastAsia="Times New Roman" w:hAnsi="Times New Roman"/>
          <w:sz w:val="18"/>
          <w:szCs w:val="18"/>
          <w:color w:val="auto"/>
        </w:rPr>
        <w:t xml:space="preserve">(v)  Guarantees by the Borrower of Indebtedness of any Subsidiary Loan Party and of any Subsidiary Loan Party of Indebtedness of the Borrower or any other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Indebtedness so Guaranteed is permitted by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right="100" w:firstLine="952"/>
        <w:spacing w:after="0" w:line="270" w:lineRule="auto"/>
        <w:rPr>
          <w:sz w:val="20"/>
          <w:szCs w:val="20"/>
          <w:color w:val="auto"/>
        </w:rPr>
      </w:pPr>
      <w:r>
        <w:rPr>
          <w:rFonts w:ascii="Times New Roman" w:cs="Times New Roman" w:eastAsia="Times New Roman" w:hAnsi="Times New Roman"/>
          <w:sz w:val="17"/>
          <w:szCs w:val="17"/>
          <w:color w:val="auto"/>
        </w:rPr>
        <w:t xml:space="preserve">(vi)  (A) Indebtedness of the Borrower or any Subsidiary incurred to finance the acquisition, construction or improvement of any fixed or capital assets, including Capital Lease Obligations, and any Indebtedness assumed by the Borrower or any Subsidiary in connection with the acquisition of any such assets or secured by a Lien on any such assets prior to the acquisition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Indebtedness is incurred prior to or within two hundred seventy (270) days after such acquisition or the completion of such construction or improvement and</w:t>
      </w:r>
    </w:p>
    <w:p>
      <w:pPr>
        <w:spacing w:after="0" w:line="3" w:lineRule="exact"/>
        <w:rPr>
          <w:sz w:val="20"/>
          <w:szCs w:val="20"/>
          <w:color w:val="auto"/>
        </w:rPr>
      </w:pPr>
    </w:p>
    <w:p>
      <w:pPr>
        <w:ind w:left="440" w:right="140" w:hanging="4"/>
        <w:spacing w:after="0" w:line="260" w:lineRule="auto"/>
        <w:tabs>
          <w:tab w:leader="none" w:pos="70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Indebtedness permitted by clauses (A) and (B) of this clause (vi) shall not exceed $15,000,000 outstanding at any time; and (B) Permitted Refinancings thereof;</w:t>
      </w:r>
    </w:p>
    <w:p>
      <w:pPr>
        <w:spacing w:after="0" w:line="73" w:lineRule="exact"/>
        <w:rPr>
          <w:sz w:val="20"/>
          <w:szCs w:val="20"/>
          <w:color w:val="auto"/>
        </w:rPr>
      </w:pPr>
    </w:p>
    <w:p>
      <w:pPr>
        <w:ind w:left="440" w:right="80" w:firstLine="952"/>
        <w:spacing w:after="0" w:line="261" w:lineRule="auto"/>
        <w:rPr>
          <w:sz w:val="20"/>
          <w:szCs w:val="20"/>
          <w:color w:val="auto"/>
        </w:rPr>
      </w:pPr>
      <w:r>
        <w:rPr>
          <w:rFonts w:ascii="Times New Roman" w:cs="Times New Roman" w:eastAsia="Times New Roman" w:hAnsi="Times New Roman"/>
          <w:sz w:val="18"/>
          <w:szCs w:val="18"/>
          <w:color w:val="auto"/>
        </w:rPr>
        <w:t xml:space="preserve">(vii)  (A) Indebtedness of any Person that becomes a Subsidiary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Indebtedness exists at the time such Person becomes a Subsidiary and is not created in contemplation of or in connection with such Person becoming a Subsidiary and</w:t>
      </w:r>
    </w:p>
    <w:p>
      <w:pPr>
        <w:ind w:left="440" w:right="160" w:hanging="4"/>
        <w:spacing w:after="0" w:line="260" w:lineRule="auto"/>
        <w:tabs>
          <w:tab w:leader="none" w:pos="72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Refinancings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aggregate amount of Indebtedness under this Section 6.01(a)(vii), shall not exceed $2,500,000;</w:t>
      </w:r>
    </w:p>
    <w:p>
      <w:pPr>
        <w:spacing w:after="0" w:line="73" w:lineRule="exact"/>
        <w:rPr>
          <w:sz w:val="20"/>
          <w:szCs w:val="20"/>
          <w:color w:val="auto"/>
        </w:rPr>
      </w:pPr>
    </w:p>
    <w:p>
      <w:pPr>
        <w:ind w:left="440" w:firstLine="952"/>
        <w:spacing w:after="0" w:line="266" w:lineRule="auto"/>
        <w:rPr>
          <w:sz w:val="20"/>
          <w:szCs w:val="20"/>
          <w:color w:val="auto"/>
        </w:rPr>
      </w:pPr>
      <w:r>
        <w:rPr>
          <w:rFonts w:ascii="Times New Roman" w:cs="Times New Roman" w:eastAsia="Times New Roman" w:hAnsi="Times New Roman"/>
          <w:sz w:val="18"/>
          <w:szCs w:val="18"/>
          <w:color w:val="auto"/>
        </w:rPr>
        <w:t>(viii)  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282" w:name="page283"/>
    <w:bookmarkEnd w:id="282"/>
    <w:p>
      <w:pPr>
        <w:ind w:right="460" w:firstLine="95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(ix)  Indebtedness of the Borrower or any Subsidiary in respect of performance bonds, bid bonds, appeal bonds, surety bonds, performance and completion guarantees and similar obligations, in each case provided in the ordinary course of business;</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(x)   Indebtedness of any Loan Party pursuant to Swap Agreements permitted by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52"/>
        <w:spacing w:after="0" w:line="282" w:lineRule="auto"/>
        <w:rPr>
          <w:sz w:val="20"/>
          <w:szCs w:val="20"/>
          <w:color w:val="auto"/>
        </w:rPr>
      </w:pPr>
      <w:r>
        <w:rPr>
          <w:rFonts w:ascii="Times New Roman" w:cs="Times New Roman" w:eastAsia="Times New Roman" w:hAnsi="Times New Roman"/>
          <w:sz w:val="18"/>
          <w:szCs w:val="18"/>
          <w:color w:val="auto"/>
        </w:rPr>
        <w:t>(xi)  Proposed Subordinated Debt in an aggregate original principal amount not to exceed $75,000,000 at any time during the term of this Agreement;</w:t>
      </w:r>
    </w:p>
    <w:p>
      <w:pPr>
        <w:spacing w:after="0" w:line="54" w:lineRule="exact"/>
        <w:rPr>
          <w:sz w:val="20"/>
          <w:szCs w:val="20"/>
          <w:color w:val="auto"/>
        </w:rPr>
      </w:pPr>
    </w:p>
    <w:p>
      <w:pPr>
        <w:ind w:right="100" w:firstLine="952"/>
        <w:spacing w:after="0" w:line="282" w:lineRule="auto"/>
        <w:rPr>
          <w:sz w:val="20"/>
          <w:szCs w:val="20"/>
          <w:color w:val="auto"/>
        </w:rPr>
      </w:pPr>
      <w:r>
        <w:rPr>
          <w:rFonts w:ascii="Times New Roman" w:cs="Times New Roman" w:eastAsia="Times New Roman" w:hAnsi="Times New Roman"/>
          <w:sz w:val="18"/>
          <w:szCs w:val="18"/>
          <w:color w:val="auto"/>
        </w:rPr>
        <w:t>(xii)  Indebtedness representing deferred compensation to employees of the Borrower and the Subsidiaries incurred in the ordinary course of business;</w:t>
      </w:r>
    </w:p>
    <w:p>
      <w:pPr>
        <w:spacing w:after="0" w:line="54" w:lineRule="exact"/>
        <w:rPr>
          <w:sz w:val="20"/>
          <w:szCs w:val="20"/>
          <w:color w:val="auto"/>
        </w:rPr>
      </w:pPr>
    </w:p>
    <w:p>
      <w:pPr>
        <w:ind w:right="40" w:firstLine="952"/>
        <w:spacing w:after="0" w:line="256" w:lineRule="auto"/>
        <w:rPr>
          <w:sz w:val="20"/>
          <w:szCs w:val="20"/>
          <w:color w:val="auto"/>
        </w:rPr>
      </w:pPr>
      <w:r>
        <w:rPr>
          <w:rFonts w:ascii="Times New Roman" w:cs="Times New Roman" w:eastAsia="Times New Roman" w:hAnsi="Times New Roman"/>
          <w:sz w:val="18"/>
          <w:szCs w:val="18"/>
          <w:color w:val="auto"/>
        </w:rPr>
        <w:t xml:space="preserve">(xiii)  (A) Indebtedness of the Borrower or any Subsidiary Loan Party owed to any non-Loan Party Subsidiary existing on the Effective Date and set forth in </w:t>
      </w:r>
      <w:r>
        <w:rPr>
          <w:rFonts w:ascii="Times New Roman" w:cs="Times New Roman" w:eastAsia="Times New Roman" w:hAnsi="Times New Roman"/>
          <w:sz w:val="18"/>
          <w:szCs w:val="18"/>
          <w:u w:val="single" w:color="auto"/>
          <w:color w:val="auto"/>
        </w:rPr>
        <w:t>Schedule 6.01(xiii)</w:t>
      </w:r>
      <w:r>
        <w:rPr>
          <w:rFonts w:ascii="Times New Roman" w:cs="Times New Roman" w:eastAsia="Times New Roman" w:hAnsi="Times New Roman"/>
          <w:sz w:val="18"/>
          <w:szCs w:val="18"/>
          <w:color w:val="auto"/>
        </w:rPr>
        <w:t xml:space="preserve">, (B) Indebtedness of any non-Loan Party Subsidiary owed to the Borrower or any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Indebtedness under this </w:t>
      </w:r>
      <w:r>
        <w:rPr>
          <w:rFonts w:ascii="Times New Roman" w:cs="Times New Roman" w:eastAsia="Times New Roman" w:hAnsi="Times New Roman"/>
          <w:sz w:val="18"/>
          <w:szCs w:val="18"/>
          <w:u w:val="single" w:color="auto"/>
          <w:color w:val="auto"/>
        </w:rPr>
        <w:t>Section 6.01(a)(xiii)(B)</w:t>
      </w:r>
      <w:r>
        <w:rPr>
          <w:rFonts w:ascii="Times New Roman" w:cs="Times New Roman" w:eastAsia="Times New Roman" w:hAnsi="Times New Roman"/>
          <w:sz w:val="18"/>
          <w:szCs w:val="18"/>
          <w:color w:val="auto"/>
        </w:rPr>
        <w:t xml:space="preserve">, when taken together with Investments made under </w:t>
      </w:r>
      <w:r>
        <w:rPr>
          <w:rFonts w:ascii="Times New Roman" w:cs="Times New Roman" w:eastAsia="Times New Roman" w:hAnsi="Times New Roman"/>
          <w:sz w:val="18"/>
          <w:szCs w:val="18"/>
          <w:u w:val="single" w:color="auto"/>
          <w:color w:val="auto"/>
        </w:rPr>
        <w:t>Section 6.04(a)(xvii)(C)</w:t>
      </w:r>
      <w:r>
        <w:rPr>
          <w:rFonts w:ascii="Times New Roman" w:cs="Times New Roman" w:eastAsia="Times New Roman" w:hAnsi="Times New Roman"/>
          <w:sz w:val="18"/>
          <w:szCs w:val="18"/>
          <w:color w:val="auto"/>
        </w:rPr>
        <w:t xml:space="preserve">, shall not exceed $10,000,000 and (C) Indebtedness of the Borrower or any Subsidiary Loan Party owed to any non-Loan Party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such Indebtedness shall be unsecured and subordinated in right of payment to the payment in full of the Obligations pursuant to subordination terms reasonably satisfactory to the Administrative Agent;</w:t>
      </w:r>
    </w:p>
    <w:p>
      <w:pPr>
        <w:spacing w:after="0" w:line="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(xiv)   Indebtedness of the Borrower or a Subsidiary consisting of the financing of insurance premiums;</w:t>
      </w:r>
    </w:p>
    <w:p>
      <w:pPr>
        <w:spacing w:after="0" w:line="117" w:lineRule="exact"/>
        <w:rPr>
          <w:sz w:val="20"/>
          <w:szCs w:val="20"/>
          <w:color w:val="auto"/>
        </w:rPr>
      </w:pPr>
    </w:p>
    <w:p>
      <w:pPr>
        <w:ind w:right="500" w:firstLine="952"/>
        <w:spacing w:after="0" w:line="282" w:lineRule="auto"/>
        <w:rPr>
          <w:sz w:val="20"/>
          <w:szCs w:val="20"/>
          <w:color w:val="auto"/>
        </w:rPr>
      </w:pPr>
      <w:r>
        <w:rPr>
          <w:rFonts w:ascii="Times New Roman" w:cs="Times New Roman" w:eastAsia="Times New Roman" w:hAnsi="Times New Roman"/>
          <w:sz w:val="18"/>
          <w:szCs w:val="18"/>
          <w:color w:val="auto"/>
        </w:rPr>
        <w:t>(xv)  Indebtedness of the Borrower or a Subsidiary in connection with cash management services (including netting services, automatic clearinghouse arrangements, overdraft protections, employee credit card programs and related or similar services or activities);</w:t>
      </w:r>
    </w:p>
    <w:p>
      <w:pPr>
        <w:spacing w:after="0" w:line="54" w:lineRule="exact"/>
        <w:rPr>
          <w:sz w:val="20"/>
          <w:szCs w:val="20"/>
          <w:color w:val="auto"/>
        </w:rPr>
      </w:pPr>
    </w:p>
    <w:p>
      <w:pPr>
        <w:ind w:right="180" w:firstLine="952"/>
        <w:spacing w:after="0" w:line="282" w:lineRule="auto"/>
        <w:rPr>
          <w:sz w:val="20"/>
          <w:szCs w:val="20"/>
          <w:color w:val="auto"/>
        </w:rPr>
      </w:pPr>
      <w:r>
        <w:rPr>
          <w:rFonts w:ascii="Times New Roman" w:cs="Times New Roman" w:eastAsia="Times New Roman" w:hAnsi="Times New Roman"/>
          <w:sz w:val="18"/>
          <w:szCs w:val="18"/>
          <w:color w:val="auto"/>
        </w:rPr>
        <w:t>(xvi)  letters of credit and reimbursement obligations in respect thereof in favor of suppliers, landlords and other counterparties at any one time outstanding not to exceed $5,000,000 in the aggregate;</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(xvii)   the incurrence of Indebtedness resulting from endorsements of negotiable instruments for collection in the ordinary course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(xviii)   additional Indebtedness in an aggregate principal amount not to exceed $5,000,000 at any time outstanding; </w:t>
      </w:r>
      <w:r>
        <w:rPr>
          <w:rFonts w:ascii="Times New Roman" w:cs="Times New Roman" w:eastAsia="Times New Roman" w:hAnsi="Times New Roman"/>
          <w:sz w:val="18"/>
          <w:szCs w:val="18"/>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-59055</wp:posOffset>
            </wp:positionV>
            <wp:extent cx="19367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97" w:lineRule="exact"/>
        <w:rPr>
          <w:sz w:val="20"/>
          <w:szCs w:val="20"/>
          <w:color w:val="auto"/>
        </w:rPr>
      </w:pPr>
    </w:p>
    <w:p>
      <w:pPr>
        <w:ind w:right="140" w:firstLine="952"/>
        <w:spacing w:after="0" w:line="266" w:lineRule="auto"/>
        <w:rPr>
          <w:sz w:val="20"/>
          <w:szCs w:val="20"/>
          <w:color w:val="auto"/>
        </w:rPr>
      </w:pPr>
      <w:r>
        <w:rPr>
          <w:rFonts w:ascii="Times New Roman" w:cs="Times New Roman" w:eastAsia="Times New Roman" w:hAnsi="Times New Roman"/>
          <w:sz w:val="18"/>
          <w:szCs w:val="18"/>
          <w:color w:val="auto"/>
        </w:rPr>
        <w:t>(xix)  the incurrence of Indebtedness arising from agreements of the Borrower or a Subsidiary providing for indemnification, adjustment of purchase price, holdback, contingency payment obligations or similar obligations, in each case, incurred or assumed in connection with the disposition or acquisition of any business, assets or capital stock of the Borrower or any Subsidiary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4989830</wp:posOffset>
            </wp:positionH>
            <wp:positionV relativeFrom="paragraph">
              <wp:posOffset>-4445</wp:posOffset>
            </wp:positionV>
            <wp:extent cx="22288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8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540"/>
          </w:cols>
          <w:pgMar w:left="880" w:top="270" w:right="479" w:bottom="1440" w:gutter="0" w:footer="0" w:header="0"/>
        </w:sectPr>
      </w:pPr>
    </w:p>
    <w:bookmarkStart w:id="283" w:name="page284"/>
    <w:bookmarkEnd w:id="283"/>
    <w:p>
      <w:pPr>
        <w:ind w:left="440" w:right="200" w:firstLine="948"/>
        <w:spacing w:after="0" w:line="282" w:lineRule="auto"/>
        <w:tabs>
          <w:tab w:leader="none" w:pos="1736" w:val="left"/>
        </w:tabs>
        <w:numPr>
          <w:ilvl w:val="0"/>
          <w:numId w:val="18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w:t>
      </w:r>
      <w:r>
        <w:rPr>
          <w:rFonts w:ascii="Times New Roman" w:cs="Times New Roman" w:eastAsia="Times New Roman" w:hAnsi="Times New Roman"/>
          <w:sz w:val="18"/>
          <w:szCs w:val="18"/>
          <w:u w:val="single" w:color="auto"/>
          <w:color w:val="0000FF"/>
        </w:rPr>
        <w:t>Permitted Convertible Indebtedness in an aggregate principal amount not to exceed $1,000,000,000 at any time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any Permitted Refinancing Indebtedness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-151130</wp:posOffset>
            </wp:positionV>
            <wp:extent cx="598360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wp:posOffset>
            </wp:positionV>
            <wp:extent cx="28886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4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(b)  For purposes of determining compliance with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in the event that an item of Indebtedness (or any portion thereof) at any time, whether at the time of incurrence or upon the application of all or a portion of the proceeds thereof or subsequently, meets the criteria of more than one of the categories of permitted Indebtedness described in </w:t>
      </w:r>
      <w:r>
        <w:rPr>
          <w:rFonts w:ascii="Times New Roman" w:cs="Times New Roman" w:eastAsia="Times New Roman" w:hAnsi="Times New Roman"/>
          <w:sz w:val="18"/>
          <w:szCs w:val="18"/>
          <w:u w:val="single" w:color="auto"/>
          <w:color w:val="auto"/>
        </w:rPr>
        <w:t>Section 6.01(a)(i)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 the Borrower, in its sole discretion, will classify and may subsequently reclassify such item of Indebtedness (or any portion thereof) in any one or more of the types of Indebtedness described in </w:t>
      </w:r>
      <w:r>
        <w:rPr>
          <w:rFonts w:ascii="Times New Roman" w:cs="Times New Roman" w:eastAsia="Times New Roman" w:hAnsi="Times New Roman"/>
          <w:sz w:val="18"/>
          <w:szCs w:val="18"/>
          <w:u w:val="single" w:color="auto"/>
          <w:color w:val="auto"/>
        </w:rPr>
        <w:t>Section 6.01(a)(i)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 and will only be required to include the amount and type of such Indebtedness in such of the above clauses as determined by the Borrower at such time. The Borrower will be entitled to divide and classify an item of Indebtedness in more than one of the types of Indebtedness described in </w:t>
      </w:r>
      <w:r>
        <w:rPr>
          <w:rFonts w:ascii="Times New Roman" w:cs="Times New Roman" w:eastAsia="Times New Roman" w:hAnsi="Times New Roman"/>
          <w:sz w:val="18"/>
          <w:szCs w:val="18"/>
          <w:u w:val="single" w:color="auto"/>
          <w:color w:val="auto"/>
        </w:rPr>
        <w:t>Section 6.01(a)(i)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w:t>
      </w:r>
    </w:p>
    <w:p>
      <w:pPr>
        <w:spacing w:after="0" w:line="18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 The Borrower will not,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Liens created by the Loan Documents;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Permitted Encumbrances;</w:t>
      </w:r>
    </w:p>
    <w:p>
      <w:pPr>
        <w:spacing w:after="0" w:line="117" w:lineRule="exact"/>
        <w:rPr>
          <w:sz w:val="20"/>
          <w:szCs w:val="20"/>
          <w:color w:val="auto"/>
        </w:rPr>
      </w:pPr>
    </w:p>
    <w:p>
      <w:pPr>
        <w:ind w:left="440" w:right="140" w:firstLine="952"/>
        <w:spacing w:after="0" w:line="261" w:lineRule="auto"/>
        <w:rPr>
          <w:sz w:val="20"/>
          <w:szCs w:val="20"/>
          <w:color w:val="auto"/>
        </w:rPr>
      </w:pPr>
      <w:r>
        <w:rPr>
          <w:rFonts w:ascii="Times New Roman" w:cs="Times New Roman" w:eastAsia="Times New Roman" w:hAnsi="Times New Roman"/>
          <w:sz w:val="18"/>
          <w:szCs w:val="18"/>
          <w:color w:val="auto"/>
        </w:rPr>
        <w:t xml:space="preserve">(iii)  any Lien on any property or asset of the Borrower or any Subsidiary existing on the Effective Date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shall not apply to any other property or asset of the Borrower or any Subsidiary (other than improvements, accessions, proceeds, dividends or distributions in respect thereof and assets fixed or appurtenant thereto) and (B) such Lien shall secure only those obligations which it secures on the Effective Date and Permitted Refinancings thereof;</w:t>
      </w:r>
    </w:p>
    <w:p>
      <w:pPr>
        <w:spacing w:after="0" w:line="72" w:lineRule="exact"/>
        <w:rPr>
          <w:sz w:val="20"/>
          <w:szCs w:val="20"/>
          <w:color w:val="auto"/>
        </w:rPr>
      </w:pPr>
    </w:p>
    <w:p>
      <w:pPr>
        <w:ind w:left="440" w:right="20" w:firstLine="952"/>
        <w:spacing w:after="0" w:line="256" w:lineRule="auto"/>
        <w:rPr>
          <w:sz w:val="20"/>
          <w:szCs w:val="20"/>
          <w:color w:val="auto"/>
        </w:rPr>
      </w:pPr>
      <w:r>
        <w:rPr>
          <w:rFonts w:ascii="Times New Roman" w:cs="Times New Roman" w:eastAsia="Times New Roman" w:hAnsi="Times New Roman"/>
          <w:sz w:val="18"/>
          <w:szCs w:val="18"/>
          <w:color w:val="auto"/>
        </w:rPr>
        <w:t xml:space="preserve">(iv)  any Lien existing on any property or asset prior to the acquisition thereof by the Borrower or any Subsidiary or existing on any property or asset or Equity Interests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secures Indebtedness permitted by </w:t>
      </w:r>
      <w:r>
        <w:rPr>
          <w:rFonts w:ascii="Times New Roman" w:cs="Times New Roman" w:eastAsia="Times New Roman" w:hAnsi="Times New Roman"/>
          <w:sz w:val="18"/>
          <w:szCs w:val="18"/>
          <w:u w:val="single" w:color="auto"/>
          <w:color w:val="auto"/>
        </w:rPr>
        <w:t>Section 6.01(a)(vii)</w:t>
      </w:r>
      <w:r>
        <w:rPr>
          <w:rFonts w:ascii="Times New Roman" w:cs="Times New Roman" w:eastAsia="Times New Roman" w:hAnsi="Times New Roman"/>
          <w:sz w:val="18"/>
          <w:szCs w:val="18"/>
          <w:color w:val="auto"/>
        </w:rPr>
        <w:t xml:space="preserve"> and such Lien is not created in contemplation of or in connection with such acquisition or such Person becoming a Subsidiary, as applicable, (B) such Lien shall not apply to any other property or asset of the Borrower or any Subsidiary and (C) such Lien shall secure only those obligations that it secures on the date of such acquisition or the date such Person becomes a Subsidiary, as applicable, and any Permitted Refinancings thereof;</w:t>
      </w:r>
    </w:p>
    <w:p>
      <w:pPr>
        <w:spacing w:after="0" w:line="79" w:lineRule="exact"/>
        <w:rPr>
          <w:sz w:val="20"/>
          <w:szCs w:val="20"/>
          <w:color w:val="auto"/>
        </w:rPr>
      </w:pPr>
    </w:p>
    <w:p>
      <w:pPr>
        <w:ind w:left="440" w:right="240" w:firstLine="952"/>
        <w:spacing w:after="0" w:line="257" w:lineRule="auto"/>
        <w:rPr>
          <w:sz w:val="20"/>
          <w:szCs w:val="20"/>
          <w:color w:val="auto"/>
        </w:rPr>
      </w:pPr>
      <w:r>
        <w:rPr>
          <w:rFonts w:ascii="Times New Roman" w:cs="Times New Roman" w:eastAsia="Times New Roman" w:hAnsi="Times New Roman"/>
          <w:sz w:val="18"/>
          <w:szCs w:val="18"/>
          <w:color w:val="auto"/>
        </w:rPr>
        <w:t xml:space="preserve">(v)  Liens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security interests secure Indebtedness permitted by </w:t>
      </w:r>
      <w:r>
        <w:rPr>
          <w:rFonts w:ascii="Times New Roman" w:cs="Times New Roman" w:eastAsia="Times New Roman" w:hAnsi="Times New Roman"/>
          <w:sz w:val="18"/>
          <w:szCs w:val="18"/>
          <w:u w:val="single" w:color="auto"/>
          <w:color w:val="auto"/>
        </w:rPr>
        <w:t>Sections 6.01(a)(vi)</w:t>
      </w:r>
      <w:r>
        <w:rPr>
          <w:rFonts w:ascii="Times New Roman" w:cs="Times New Roman" w:eastAsia="Times New Roman" w:hAnsi="Times New Roman"/>
          <w:sz w:val="18"/>
          <w:szCs w:val="18"/>
          <w:color w:val="auto"/>
        </w:rPr>
        <w:t>, (B) such security interests and the Indebtedness secured thereby are incurred prior to or within two hundred seventy (270) days after such acquisition or the completion of such construction or improvement and</w:t>
      </w:r>
    </w:p>
    <w:p>
      <w:pPr>
        <w:spacing w:after="0" w:line="1" w:lineRule="exact"/>
        <w:rPr>
          <w:sz w:val="20"/>
          <w:szCs w:val="20"/>
          <w:color w:val="auto"/>
        </w:rPr>
      </w:pPr>
    </w:p>
    <w:p>
      <w:pPr>
        <w:ind w:left="440" w:right="60" w:hanging="4"/>
        <w:spacing w:after="0" w:line="260" w:lineRule="auto"/>
        <w:tabs>
          <w:tab w:leader="none" w:pos="72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interests shall not apply to any other property or assets of the Borrower or any Subsidiary (other than improvements, accessions, proceeds, dividends or distributions in respect thereof and assets fixed or appurtenant thereto);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284" w:name="page285"/>
    <w:bookmarkEnd w:id="284"/>
    <w:p>
      <w:pPr>
        <w:ind w:right="80" w:firstLine="95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  Liens of a collecting bank arising in the ordinary course of business under Section 4-208 of the Uniform Commercial Code in effect in the relevant jurisdiction covering only the items being collected upon;</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(vii)   Liens arising out of sale and leaseback transactions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0" w:firstLine="952"/>
        <w:spacing w:after="0" w:line="282" w:lineRule="auto"/>
        <w:rPr>
          <w:sz w:val="20"/>
          <w:szCs w:val="20"/>
          <w:color w:val="auto"/>
        </w:rPr>
      </w:pPr>
      <w:r>
        <w:rPr>
          <w:rFonts w:ascii="Times New Roman" w:cs="Times New Roman" w:eastAsia="Times New Roman" w:hAnsi="Times New Roman"/>
          <w:sz w:val="18"/>
          <w:szCs w:val="18"/>
          <w:color w:val="auto"/>
        </w:rPr>
        <w:t>(viii)  Liens granted by a Subsidiary that is not a Loan Party in favor of the Borrower or another Loan Party in respect of Indebtedness owed by such Subsidiary;</w:t>
      </w:r>
    </w:p>
    <w:p>
      <w:pPr>
        <w:spacing w:after="0" w:line="54" w:lineRule="exact"/>
        <w:rPr>
          <w:sz w:val="20"/>
          <w:szCs w:val="20"/>
          <w:color w:val="auto"/>
        </w:rPr>
      </w:pPr>
    </w:p>
    <w:p>
      <w:pPr>
        <w:ind w:right="260" w:firstLine="952"/>
        <w:spacing w:after="0" w:line="282" w:lineRule="auto"/>
        <w:rPr>
          <w:sz w:val="20"/>
          <w:szCs w:val="20"/>
          <w:color w:val="auto"/>
        </w:rPr>
      </w:pPr>
      <w:r>
        <w:rPr>
          <w:rFonts w:ascii="Times New Roman" w:cs="Times New Roman" w:eastAsia="Times New Roman" w:hAnsi="Times New Roman"/>
          <w:sz w:val="18"/>
          <w:szCs w:val="18"/>
          <w:color w:val="auto"/>
        </w:rPr>
        <w:t>(ix)  licenses or sublicenses, leases or subleases, granted to others not interfering in any material respect with the business of the Borrower or any Subsidiary;</w:t>
      </w:r>
    </w:p>
    <w:p>
      <w:pPr>
        <w:spacing w:after="0" w:line="54" w:lineRule="exact"/>
        <w:rPr>
          <w:sz w:val="20"/>
          <w:szCs w:val="20"/>
          <w:color w:val="auto"/>
        </w:rPr>
      </w:pPr>
    </w:p>
    <w:p>
      <w:pPr>
        <w:ind w:firstLine="952"/>
        <w:spacing w:after="0" w:line="282" w:lineRule="auto"/>
        <w:rPr>
          <w:sz w:val="20"/>
          <w:szCs w:val="20"/>
          <w:color w:val="auto"/>
        </w:rPr>
      </w:pPr>
      <w:r>
        <w:rPr>
          <w:rFonts w:ascii="Times New Roman" w:cs="Times New Roman" w:eastAsia="Times New Roman" w:hAnsi="Times New Roman"/>
          <w:sz w:val="18"/>
          <w:szCs w:val="18"/>
          <w:color w:val="auto"/>
        </w:rPr>
        <w:t>(x)  Liens encumbering reasonable customary initial deposits and margin deposits and similar Liens attaching to commodity trading accounts or other brokerage accounts incurred in the ordinary course of business and not for speculative purposes;</w:t>
      </w:r>
    </w:p>
    <w:p>
      <w:pPr>
        <w:spacing w:after="0" w:line="54" w:lineRule="exact"/>
        <w:rPr>
          <w:sz w:val="20"/>
          <w:szCs w:val="20"/>
          <w:color w:val="auto"/>
        </w:rPr>
      </w:pPr>
    </w:p>
    <w:p>
      <w:pPr>
        <w:ind w:right="140" w:firstLine="952"/>
        <w:spacing w:after="0" w:line="261" w:lineRule="auto"/>
        <w:rPr>
          <w:sz w:val="20"/>
          <w:szCs w:val="20"/>
          <w:color w:val="auto"/>
        </w:rPr>
      </w:pPr>
      <w:r>
        <w:rPr>
          <w:rFonts w:ascii="Times New Roman" w:cs="Times New Roman" w:eastAsia="Times New Roman" w:hAnsi="Times New Roman"/>
          <w:sz w:val="18"/>
          <w:szCs w:val="18"/>
          <w:color w:val="auto"/>
        </w:rPr>
        <w:t>(xi)  Liens that are contract rights of set-off (i) relating to the establishment of depositary relations with banks not given in connection with the issuance of Indebtedness, (ii) relating to pooled deposit or sweep accounts of the Borrower or any Subsidiary to permit satisfaction of overdraft or similar obligations incurred in the ordinary course of business of the Borrower and the Subsidiaries or (iii) relating to purchase orders and other agreements entered into with customers of the Borrower or any Subsidiary in the ordinary course of business;</w:t>
      </w:r>
    </w:p>
    <w:p>
      <w:pPr>
        <w:spacing w:after="0" w:line="72" w:lineRule="exact"/>
        <w:rPr>
          <w:sz w:val="20"/>
          <w:szCs w:val="20"/>
          <w:color w:val="auto"/>
        </w:rPr>
      </w:pPr>
    </w:p>
    <w:p>
      <w:pPr>
        <w:ind w:right="340" w:firstLine="952"/>
        <w:spacing w:after="0" w:line="282" w:lineRule="auto"/>
        <w:rPr>
          <w:sz w:val="20"/>
          <w:szCs w:val="20"/>
          <w:color w:val="auto"/>
        </w:rPr>
      </w:pPr>
      <w:r>
        <w:rPr>
          <w:rFonts w:ascii="Times New Roman" w:cs="Times New Roman" w:eastAsia="Times New Roman" w:hAnsi="Times New Roman"/>
          <w:sz w:val="18"/>
          <w:szCs w:val="18"/>
          <w:color w:val="auto"/>
        </w:rPr>
        <w:t>(xii)  Liens solely on any cash earned money deposits made by the Borrower or any Subsidiary in connection with any letter of intent or purchase agreement permitted hereunder;</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(xiii)   Liens in favor of a Loan Party securing Indebtedness permitted under </w:t>
      </w:r>
      <w:r>
        <w:rPr>
          <w:rFonts w:ascii="Times New Roman" w:cs="Times New Roman" w:eastAsia="Times New Roman" w:hAnsi="Times New Roman"/>
          <w:sz w:val="18"/>
          <w:szCs w:val="18"/>
          <w:u w:val="single" w:color="auto"/>
          <w:color w:val="auto"/>
        </w:rPr>
        <w:t>Sections 6.01(a)(iv)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(xiv)   Liens on insurance proceeds in favor of insurance companies granted solely to secured financed insurance premiums;</w:t>
      </w:r>
    </w:p>
    <w:p>
      <w:pPr>
        <w:spacing w:after="0" w:line="117" w:lineRule="exact"/>
        <w:rPr>
          <w:sz w:val="20"/>
          <w:szCs w:val="20"/>
          <w:color w:val="auto"/>
        </w:rPr>
      </w:pPr>
    </w:p>
    <w:p>
      <w:pPr>
        <w:ind w:right="380" w:firstLine="952"/>
        <w:spacing w:after="0" w:line="282" w:lineRule="auto"/>
        <w:rPr>
          <w:sz w:val="20"/>
          <w:szCs w:val="20"/>
          <w:color w:val="auto"/>
        </w:rPr>
      </w:pPr>
      <w:r>
        <w:rPr>
          <w:rFonts w:ascii="Times New Roman" w:cs="Times New Roman" w:eastAsia="Times New Roman" w:hAnsi="Times New Roman"/>
          <w:sz w:val="18"/>
          <w:szCs w:val="18"/>
          <w:color w:val="auto"/>
        </w:rPr>
        <w:t xml:space="preserve">(xv)  Liens on assets of the Borrower or the Subsidiaries not otherwise permitted by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so long as the aggregate outstanding principal amount of the obligations secured thereby does not exceed $5,000,000;</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(xvi)   Liens securing Indebtedness permitted under </w:t>
      </w:r>
      <w:r>
        <w:rPr>
          <w:rFonts w:ascii="Times New Roman" w:cs="Times New Roman" w:eastAsia="Times New Roman" w:hAnsi="Times New Roman"/>
          <w:sz w:val="18"/>
          <w:szCs w:val="18"/>
          <w:u w:val="single" w:color="auto"/>
          <w:color w:val="auto"/>
        </w:rPr>
        <w:t>Section 6.01(a)(xiii)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52"/>
        <w:spacing w:after="0" w:line="282" w:lineRule="auto"/>
        <w:rPr>
          <w:sz w:val="20"/>
          <w:szCs w:val="20"/>
          <w:color w:val="auto"/>
        </w:rPr>
      </w:pPr>
      <w:r>
        <w:rPr>
          <w:rFonts w:ascii="Times New Roman" w:cs="Times New Roman" w:eastAsia="Times New Roman" w:hAnsi="Times New Roman"/>
          <w:sz w:val="18"/>
          <w:szCs w:val="18"/>
          <w:color w:val="auto"/>
        </w:rPr>
        <w:t>(xvii)  Liens on Equity Interests of any joint venture (a) securing obligations of such joint venture or (b) pursuant to the relevant joint venture agreement or arrangement;</w:t>
      </w:r>
    </w:p>
    <w:p>
      <w:pPr>
        <w:spacing w:after="0" w:line="54" w:lineRule="exact"/>
        <w:rPr>
          <w:sz w:val="20"/>
          <w:szCs w:val="20"/>
          <w:color w:val="auto"/>
        </w:rPr>
      </w:pPr>
    </w:p>
    <w:p>
      <w:pPr>
        <w:ind w:right="280" w:firstLine="952"/>
        <w:spacing w:after="0" w:line="312" w:lineRule="auto"/>
        <w:rPr>
          <w:sz w:val="20"/>
          <w:szCs w:val="20"/>
          <w:color w:val="auto"/>
        </w:rPr>
      </w:pPr>
      <w:r>
        <w:rPr>
          <w:rFonts w:ascii="Times New Roman" w:cs="Times New Roman" w:eastAsia="Times New Roman" w:hAnsi="Times New Roman"/>
          <w:sz w:val="17"/>
          <w:szCs w:val="17"/>
          <w:color w:val="auto"/>
        </w:rPr>
        <w:t>(xviii)  Liens in favor of a seller solely on any cash earnest money deposits made by the Borrower or any of its Subsidiaries in connection with any letter of intent or purchase agreement with respect to any Permitted Acquisition or other Investment permitted hereunder;</w:t>
      </w:r>
    </w:p>
    <w:p>
      <w:pPr>
        <w:spacing w:after="0" w:line="32" w:lineRule="exact"/>
        <w:rPr>
          <w:sz w:val="20"/>
          <w:szCs w:val="20"/>
          <w:color w:val="auto"/>
        </w:rPr>
      </w:pPr>
    </w:p>
    <w:p>
      <w:pPr>
        <w:ind w:firstLine="952"/>
        <w:spacing w:after="0" w:line="282" w:lineRule="auto"/>
        <w:rPr>
          <w:sz w:val="20"/>
          <w:szCs w:val="20"/>
          <w:color w:val="auto"/>
        </w:rPr>
      </w:pPr>
      <w:r>
        <w:rPr>
          <w:rFonts w:ascii="Times New Roman" w:cs="Times New Roman" w:eastAsia="Times New Roman" w:hAnsi="Times New Roman"/>
          <w:sz w:val="18"/>
          <w:szCs w:val="18"/>
          <w:color w:val="auto"/>
        </w:rPr>
        <w:t>(xix)  Liens arising out of conditional sale, title retention, consignment or similar arrangements for the sale of goods entered into by the Borrower or any of its Subsidiaries in the ordinary course of business; and</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520"/>
          </w:cols>
          <w:pgMar w:left="880" w:top="270" w:right="499" w:bottom="1440" w:gutter="0" w:footer="0" w:header="0"/>
        </w:sectPr>
      </w:pPr>
    </w:p>
    <w:bookmarkStart w:id="285" w:name="page286"/>
    <w:bookmarkEnd w:id="285"/>
    <w:p>
      <w:pPr>
        <w:ind w:left="440" w:right="160" w:firstLine="95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(xx)  Liens securing Indebtedness permitted under </w:t>
      </w:r>
      <w:r>
        <w:rPr>
          <w:rFonts w:ascii="Times New Roman" w:cs="Times New Roman" w:eastAsia="Times New Roman" w:hAnsi="Times New Roman"/>
          <w:sz w:val="18"/>
          <w:szCs w:val="18"/>
          <w:u w:val="single" w:color="auto"/>
          <w:color w:val="auto"/>
        </w:rPr>
        <w:t>Section 6.01(a)(xvi)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notwithstanding the foregoing, any Liens permitted by this clause (xx) shall be limited to liens on deposits of cash collateral in an amount equal to one hundred five percent (105%) of the aggregate outstanding face amount of any letters of credit issued in reliance on </w:t>
      </w:r>
      <w:r>
        <w:rPr>
          <w:rFonts w:ascii="Times New Roman" w:cs="Times New Roman" w:eastAsia="Times New Roman" w:hAnsi="Times New Roman"/>
          <w:sz w:val="18"/>
          <w:szCs w:val="18"/>
          <w:u w:val="single" w:color="auto"/>
          <w:color w:val="auto"/>
        </w:rPr>
        <w:t>Section 6.01(a)(xvi)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(b)  For purposes of determining compliance with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in the event that a Lien (or any portion thereof) at any time, whether at the time of incurrence or upon the application of all or a portion of the proceeds thereof or subsequently, meets the criteria of more than one of the categories of permitted Liens described in </w:t>
      </w:r>
      <w:r>
        <w:rPr>
          <w:rFonts w:ascii="Times New Roman" w:cs="Times New Roman" w:eastAsia="Times New Roman" w:hAnsi="Times New Roman"/>
          <w:sz w:val="18"/>
          <w:szCs w:val="18"/>
          <w:u w:val="single" w:color="auto"/>
          <w:color w:val="auto"/>
        </w:rPr>
        <w:t>Section 6.02(a)(i)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 the Borrower, in its sole discretion, will classify and may subsequently reclassify such Lien (or any portion thereof) in any one or more of the types of Liens described in </w:t>
      </w:r>
      <w:r>
        <w:rPr>
          <w:rFonts w:ascii="Times New Roman" w:cs="Times New Roman" w:eastAsia="Times New Roman" w:hAnsi="Times New Roman"/>
          <w:sz w:val="18"/>
          <w:szCs w:val="18"/>
          <w:u w:val="single" w:color="auto"/>
          <w:color w:val="auto"/>
        </w:rPr>
        <w:t>Section 6.02(a)(i)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 and will only be required to include the amount and type of such Lien in such of the above clauses as determined by the Borrower at such time. The Borrower will be entitled to divide and classify a Lien in more than one of the types of Liens described in </w:t>
      </w:r>
      <w:r>
        <w:rPr>
          <w:rFonts w:ascii="Times New Roman" w:cs="Times New Roman" w:eastAsia="Times New Roman" w:hAnsi="Times New Roman"/>
          <w:sz w:val="18"/>
          <w:szCs w:val="18"/>
          <w:u w:val="single" w:color="auto"/>
          <w:color w:val="auto"/>
        </w:rPr>
        <w:t>Section 6.02(a)(i)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w:t>
      </w:r>
    </w:p>
    <w:p>
      <w:pPr>
        <w:spacing w:after="0" w:line="187"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6.03. </w:t>
      </w:r>
      <w:r>
        <w:rPr>
          <w:sz w:val="20"/>
          <w:szCs w:val="20"/>
          <w:color w:val="auto"/>
        </w:rPr>
        <w:tab/>
      </w:r>
      <w:r>
        <w:rPr>
          <w:rFonts w:ascii="Times New Roman" w:cs="Times New Roman" w:eastAsia="Times New Roman" w:hAnsi="Times New Roman"/>
          <w:sz w:val="18"/>
          <w:szCs w:val="18"/>
          <w:u w:val="single" w:color="auto"/>
          <w:color w:val="auto"/>
        </w:rPr>
        <w:t>Fundamental Changes; Line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The Borrower will not, nor will it permit any Subsidiary to, merge into or consolidate with, or transfer substantially all of its assets to, any other Person, or permit any other Person to merge into or consolidate with it, or liquidate or dissolve, except that if at the time thereof and immediately after giving effect thereto no Default shall have occurred and be continuing, (i) any wholly-owned Subsidiary may merge into the Borrower in a transaction in which the surviving entity is the Borrower, (ii) any Subsidiary may merge with any one or more other Subsidiaries (in each case, other than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when any wholly-owned Subsidiary is merging with another Subsidiary, a wholly-owned Subsidiary shall be the continuing or surviving Person and (y) if any party to such merger is a Subsidiary Loan Party, the continuing or surviving Person is or becomes a Subsidiary Loan Party concurrently with such merger, (iii) any Subsidiary (other than a Subsidiary Loan Party) may liquidate or dissolve if the Borrower determines in good faith that such liquidation or dissolution is in the best interests of the Borrower and is not materially disadvantageous to the Lenders and (iv) any asset sale permitted by </w:t>
      </w:r>
      <w:r>
        <w:rPr>
          <w:rFonts w:ascii="Times New Roman" w:cs="Times New Roman" w:eastAsia="Times New Roman" w:hAnsi="Times New Roman"/>
          <w:sz w:val="18"/>
          <w:szCs w:val="18"/>
          <w:u w:val="single" w:color="auto"/>
          <w:color w:val="auto"/>
        </w:rPr>
        <w:t>Section 6.05(g)</w:t>
      </w:r>
      <w:r>
        <w:rPr>
          <w:rFonts w:ascii="Times New Roman" w:cs="Times New Roman" w:eastAsia="Times New Roman" w:hAnsi="Times New Roman"/>
          <w:sz w:val="18"/>
          <w:szCs w:val="18"/>
          <w:color w:val="auto"/>
        </w:rPr>
        <w:t xml:space="preserve"> may be effected through the merger of a subsidiary of the Borrower with a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referred to in clauses (ii), (iii) or (iv) above involving a Person that is not a wholly-owned Subsidiary immediately prior to such merger shall not be permitted unless also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Borrower will not, and will not permit any Subsidiary to, engage to any material extent in any business other than a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(a) The Borrower will not, nor will it permit any Subsidiary to, purchase or acquire (including pursuant to any merger with any Person that was not a wholly-owned Subsidiary prior to such merger) any Investments, except:</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Permitted Acquisitions;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Permitted Investments;</w:t>
      </w:r>
    </w:p>
    <w:p>
      <w:pPr>
        <w:spacing w:after="0" w:line="117" w:lineRule="exact"/>
        <w:rPr>
          <w:sz w:val="20"/>
          <w:szCs w:val="20"/>
          <w:color w:val="auto"/>
        </w:rPr>
      </w:pPr>
    </w:p>
    <w:p>
      <w:pPr>
        <w:ind w:left="440" w:right="360" w:firstLine="952"/>
        <w:spacing w:after="0" w:line="282" w:lineRule="auto"/>
        <w:rPr>
          <w:sz w:val="20"/>
          <w:szCs w:val="20"/>
          <w:color w:val="auto"/>
        </w:rPr>
      </w:pPr>
      <w:r>
        <w:rPr>
          <w:rFonts w:ascii="Times New Roman" w:cs="Times New Roman" w:eastAsia="Times New Roman" w:hAnsi="Times New Roman"/>
          <w:sz w:val="18"/>
          <w:szCs w:val="18"/>
          <w:color w:val="auto"/>
        </w:rPr>
        <w:t xml:space="preserve">(iii)  Investments existing on the Effective Date and set forth on </w:t>
      </w:r>
      <w:r>
        <w:rPr>
          <w:rFonts w:ascii="Times New Roman" w:cs="Times New Roman" w:eastAsia="Times New Roman" w:hAnsi="Times New Roman"/>
          <w:sz w:val="18"/>
          <w:szCs w:val="18"/>
          <w:u w:val="single" w:color="auto"/>
          <w:color w:val="auto"/>
        </w:rPr>
        <w:t>Schedule 6.04(iii)</w:t>
      </w:r>
      <w:r>
        <w:rPr>
          <w:rFonts w:ascii="Times New Roman" w:cs="Times New Roman" w:eastAsia="Times New Roman" w:hAnsi="Times New Roman"/>
          <w:sz w:val="18"/>
          <w:szCs w:val="18"/>
          <w:color w:val="auto"/>
        </w:rPr>
        <w:t xml:space="preserve"> and any modification, replacement, renewal, reinvestment or extension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286" w:name="page287"/>
    <w:bookmarkEnd w:id="286"/>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(iv)   Investments (including cash payments in respect of earn-outs, milestones and other similar deferred purchase price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an aggregate amount not to exceed, when taken together with the aggregate amount of payments made pursuant to </w:t>
      </w:r>
      <w:r>
        <w:rPr>
          <w:rFonts w:ascii="Times New Roman" w:cs="Times New Roman" w:eastAsia="Times New Roman" w:hAnsi="Times New Roman"/>
          <w:sz w:val="18"/>
          <w:szCs w:val="18"/>
          <w:u w:val="single" w:color="auto"/>
          <w:color w:val="auto"/>
        </w:rPr>
        <w:t>Section 6.08(b)(iii)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$5,000,000 per fiscal year of the Borrower and $25,000,000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effect to any such Investment, no Specified Event of Default has occurred and is continuing or would result therefrom and (y) pro forma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after giving effect thereto shall exceed $50,000,000;</w:t>
      </w:r>
    </w:p>
    <w:p>
      <w:pPr>
        <w:spacing w:after="0" w:line="99" w:lineRule="exact"/>
        <w:rPr>
          <w:sz w:val="20"/>
          <w:szCs w:val="20"/>
          <w:color w:val="auto"/>
        </w:rPr>
      </w:pPr>
    </w:p>
    <w:p>
      <w:pPr>
        <w:ind w:right="40" w:firstLine="952"/>
        <w:spacing w:after="0" w:line="261" w:lineRule="auto"/>
        <w:rPr>
          <w:sz w:val="20"/>
          <w:szCs w:val="20"/>
          <w:color w:val="auto"/>
        </w:rPr>
      </w:pPr>
      <w:r>
        <w:rPr>
          <w:rFonts w:ascii="Times New Roman" w:cs="Times New Roman" w:eastAsia="Times New Roman" w:hAnsi="Times New Roman"/>
          <w:sz w:val="18"/>
          <w:szCs w:val="18"/>
          <w:color w:val="auto"/>
        </w:rPr>
        <w:t xml:space="preserve">(v)  loans or advances made by the Borrower to any Subsidiary Loan Party and made by any Subsidiary Loan Party to the Borrower or any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loans and advances made by a Loan Party shall be evidenced by a promissory note pledged pursuant to the Collateral Agreement; provided, however, that the foregoing pledge requirement with respect to any intercompany indebtedness may be satisfied by delivery of an omnibus or global intercompany note executed by all Loan Parties as payees and all such obligors as payors;</w:t>
      </w:r>
    </w:p>
    <w:p>
      <w:pPr>
        <w:spacing w:after="0" w:line="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(vi)   Guarantees constituting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52"/>
        <w:spacing w:after="0" w:line="266" w:lineRule="auto"/>
        <w:rPr>
          <w:sz w:val="20"/>
          <w:szCs w:val="20"/>
          <w:color w:val="auto"/>
        </w:rPr>
      </w:pPr>
      <w:r>
        <w:rPr>
          <w:rFonts w:ascii="Times New Roman" w:cs="Times New Roman" w:eastAsia="Times New Roman" w:hAnsi="Times New Roman"/>
          <w:sz w:val="18"/>
          <w:szCs w:val="18"/>
          <w:color w:val="auto"/>
        </w:rPr>
        <w:t xml:space="preserve">(vii)  receivables or other trade payables owing to the Borrower or any Subsidiary if created or acquired in the ordinary course of business consistent with past practice and payable or dischargeable in accordance with customary trade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trade terms may include such concessionary trade terms as the Borrower or any such Subsidiary deems reasonable under the circumstances;</w:t>
      </w:r>
    </w:p>
    <w:p>
      <w:pPr>
        <w:spacing w:after="0" w:line="68" w:lineRule="exact"/>
        <w:rPr>
          <w:sz w:val="20"/>
          <w:szCs w:val="20"/>
          <w:color w:val="auto"/>
        </w:rPr>
      </w:pPr>
    </w:p>
    <w:p>
      <w:pPr>
        <w:jc w:val="both"/>
        <w:ind w:right="500" w:firstLine="952"/>
        <w:spacing w:after="0" w:line="266" w:lineRule="auto"/>
        <w:rPr>
          <w:sz w:val="20"/>
          <w:szCs w:val="20"/>
          <w:color w:val="auto"/>
        </w:rPr>
      </w:pPr>
      <w:r>
        <w:rPr>
          <w:rFonts w:ascii="Times New Roman" w:cs="Times New Roman" w:eastAsia="Times New Roman" w:hAnsi="Times New Roman"/>
          <w:sz w:val="18"/>
          <w:szCs w:val="18"/>
          <w:color w:val="auto"/>
        </w:rPr>
        <w:t>(viii)  Investments consisting of Equity Interests, obligations, securities or other property received in settlement of delinquent accounts of and disputes with customers and suppliers in the ordinary course of business and owing to the Borrower or any Subsidiary or in satisfaction of judgments;</w:t>
      </w:r>
    </w:p>
    <w:p>
      <w:pPr>
        <w:spacing w:after="0" w:line="68" w:lineRule="exact"/>
        <w:rPr>
          <w:sz w:val="20"/>
          <w:szCs w:val="20"/>
          <w:color w:val="auto"/>
        </w:rPr>
      </w:pPr>
    </w:p>
    <w:p>
      <w:pPr>
        <w:ind w:right="60" w:firstLine="952"/>
        <w:spacing w:after="0" w:line="282" w:lineRule="auto"/>
        <w:rPr>
          <w:sz w:val="20"/>
          <w:szCs w:val="20"/>
          <w:color w:val="auto"/>
        </w:rPr>
      </w:pPr>
      <w:r>
        <w:rPr>
          <w:rFonts w:ascii="Times New Roman" w:cs="Times New Roman" w:eastAsia="Times New Roman" w:hAnsi="Times New Roman"/>
          <w:sz w:val="18"/>
          <w:szCs w:val="18"/>
          <w:color w:val="auto"/>
        </w:rPr>
        <w:t>(ix)  Investments by the Borrower or any Subsidiary in payroll, travel and similar advances to cover matters that are expected at the time of such advances ultimately to be treated as expenses for accounting purposes and that are made in the ordinary course of business;</w:t>
      </w:r>
    </w:p>
    <w:p>
      <w:pPr>
        <w:spacing w:after="0" w:line="54" w:lineRule="exact"/>
        <w:rPr>
          <w:sz w:val="20"/>
          <w:szCs w:val="20"/>
          <w:color w:val="auto"/>
        </w:rPr>
      </w:pPr>
    </w:p>
    <w:p>
      <w:pPr>
        <w:jc w:val="both"/>
        <w:ind w:right="280" w:firstLine="952"/>
        <w:spacing w:after="0" w:line="266" w:lineRule="auto"/>
        <w:rPr>
          <w:sz w:val="20"/>
          <w:szCs w:val="20"/>
          <w:color w:val="auto"/>
        </w:rPr>
      </w:pPr>
      <w:r>
        <w:rPr>
          <w:rFonts w:ascii="Times New Roman" w:cs="Times New Roman" w:eastAsia="Times New Roman" w:hAnsi="Times New Roman"/>
          <w:sz w:val="18"/>
          <w:szCs w:val="18"/>
          <w:color w:val="auto"/>
        </w:rPr>
        <w:t>(x)  loans or advances by the Borrower or any Subsidiary to employees (A) made for reasonable and customary business-related travel, entertainment, relocation and other ordinary business purposes and (B) otherwise not exceeding $5,000,000 in the aggregate at any time outstanding (determined without regard to any write-downs or write-offs of such loans or advances);</w:t>
      </w:r>
    </w:p>
    <w:p>
      <w:pPr>
        <w:spacing w:after="0" w:line="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(xi)   Investments in the form of Swap Agreements permitted by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Permitted Equity Derivatives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26035</wp:posOffset>
            </wp:positionV>
            <wp:extent cx="15259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97" w:lineRule="exact"/>
        <w:rPr>
          <w:sz w:val="20"/>
          <w:szCs w:val="20"/>
          <w:color w:val="auto"/>
        </w:rPr>
      </w:pPr>
    </w:p>
    <w:p>
      <w:pPr>
        <w:ind w:right="40" w:firstLine="952"/>
        <w:spacing w:after="0" w:line="266" w:lineRule="auto"/>
        <w:rPr>
          <w:sz w:val="20"/>
          <w:szCs w:val="20"/>
          <w:color w:val="auto"/>
        </w:rPr>
      </w:pPr>
      <w:r>
        <w:rPr>
          <w:rFonts w:ascii="Times New Roman" w:cs="Times New Roman" w:eastAsia="Times New Roman" w:hAnsi="Times New Roman"/>
          <w:sz w:val="18"/>
          <w:szCs w:val="18"/>
          <w:color w:val="auto"/>
        </w:rPr>
        <w:t>(xii)  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 or of such consolidation or merger;</w:t>
      </w:r>
    </w:p>
    <w:p>
      <w:pPr>
        <w:spacing w:after="0" w:line="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(xiii)   Investments received in connection with the dispositions of assets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560"/>
          </w:cols>
          <w:pgMar w:left="880" w:top="270" w:right="459" w:bottom="1440" w:gutter="0" w:footer="0" w:header="0"/>
        </w:sectPr>
      </w:pPr>
    </w:p>
    <w:bookmarkStart w:id="287" w:name="page288"/>
    <w:bookmarkEnd w:id="287"/>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(xiv)   Investments constituting deposits described in clauses (c) and (d) of the definition of the term “Permitted Encumbrances”;</w:t>
      </w:r>
    </w:p>
    <w:p>
      <w:pPr>
        <w:spacing w:after="0" w:line="117" w:lineRule="exact"/>
        <w:rPr>
          <w:sz w:val="20"/>
          <w:szCs w:val="20"/>
          <w:color w:val="auto"/>
        </w:rPr>
      </w:pPr>
    </w:p>
    <w:p>
      <w:pPr>
        <w:ind w:left="440" w:right="20" w:firstLine="952"/>
        <w:spacing w:after="0" w:line="261" w:lineRule="auto"/>
        <w:rPr>
          <w:sz w:val="20"/>
          <w:szCs w:val="20"/>
          <w:color w:val="auto"/>
        </w:rPr>
      </w:pPr>
      <w:r>
        <w:rPr>
          <w:rFonts w:ascii="Times New Roman" w:cs="Times New Roman" w:eastAsia="Times New Roman" w:hAnsi="Times New Roman"/>
          <w:sz w:val="18"/>
          <w:szCs w:val="18"/>
          <w:color w:val="auto"/>
        </w:rPr>
        <w:t xml:space="preserve">(xv)  other Investments (including in respect of earn-outs, milestones and other similar deferred purchase price obligations) in an aggregate amount not to exceed the Available Basket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$100,000,000;</w:t>
      </w:r>
    </w:p>
    <w:p>
      <w:pPr>
        <w:spacing w:after="0" w:line="72" w:lineRule="exact"/>
        <w:rPr>
          <w:sz w:val="20"/>
          <w:szCs w:val="20"/>
          <w:color w:val="auto"/>
        </w:rPr>
      </w:pPr>
    </w:p>
    <w:p>
      <w:pPr>
        <w:ind w:left="440" w:right="80" w:firstLine="952"/>
        <w:spacing w:after="0" w:line="282" w:lineRule="auto"/>
        <w:rPr>
          <w:sz w:val="20"/>
          <w:szCs w:val="20"/>
          <w:color w:val="auto"/>
        </w:rPr>
      </w:pPr>
      <w:r>
        <w:rPr>
          <w:rFonts w:ascii="Times New Roman" w:cs="Times New Roman" w:eastAsia="Times New Roman" w:hAnsi="Times New Roman"/>
          <w:sz w:val="18"/>
          <w:szCs w:val="18"/>
          <w:color w:val="auto"/>
        </w:rPr>
        <w:t>(xvi)  Guarantees by the Borrower or any Subsidiary of leases (other than Capital Lease Obligations) or of other obligations that do not constitute Indebtedness, in each case entered into in the ordinary course of business;</w:t>
      </w:r>
    </w:p>
    <w:p>
      <w:pPr>
        <w:spacing w:after="0" w:line="54" w:lineRule="exact"/>
        <w:rPr>
          <w:sz w:val="20"/>
          <w:szCs w:val="20"/>
          <w:color w:val="auto"/>
        </w:rPr>
      </w:pPr>
    </w:p>
    <w:p>
      <w:pPr>
        <w:ind w:left="440" w:right="500" w:firstLine="952"/>
        <w:spacing w:after="0" w:line="258" w:lineRule="auto"/>
        <w:rPr>
          <w:sz w:val="20"/>
          <w:szCs w:val="20"/>
          <w:color w:val="auto"/>
        </w:rPr>
      </w:pPr>
      <w:r>
        <w:rPr>
          <w:rFonts w:ascii="Times New Roman" w:cs="Times New Roman" w:eastAsia="Times New Roman" w:hAnsi="Times New Roman"/>
          <w:sz w:val="18"/>
          <w:szCs w:val="18"/>
          <w:color w:val="auto"/>
        </w:rPr>
        <w:t xml:space="preserve">(xvii)  (A) Investments from Loan Parties to non-Loan Party Subsidiaries existing on the Effective Date and set forth on </w:t>
      </w:r>
      <w:r>
        <w:rPr>
          <w:rFonts w:ascii="Times New Roman" w:cs="Times New Roman" w:eastAsia="Times New Roman" w:hAnsi="Times New Roman"/>
          <w:sz w:val="18"/>
          <w:szCs w:val="18"/>
          <w:u w:val="single" w:color="auto"/>
          <w:color w:val="auto"/>
        </w:rPr>
        <w:t>Schedule 6.04(xvii)</w:t>
      </w:r>
      <w:r>
        <w:rPr>
          <w:rFonts w:ascii="Times New Roman" w:cs="Times New Roman" w:eastAsia="Times New Roman" w:hAnsi="Times New Roman"/>
          <w:sz w:val="18"/>
          <w:szCs w:val="18"/>
          <w:color w:val="auto"/>
        </w:rPr>
        <w:t xml:space="preserve"> and any modification, replacement, renewal, reinvestment or extension thereof; (B) Investments from non-Loan Party Subsidiaries to Loan Parties and (C) Investments from Loan Parties to non-Loan Party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Investments under this </w:t>
      </w:r>
      <w:r>
        <w:rPr>
          <w:rFonts w:ascii="Times New Roman" w:cs="Times New Roman" w:eastAsia="Times New Roman" w:hAnsi="Times New Roman"/>
          <w:sz w:val="18"/>
          <w:szCs w:val="18"/>
          <w:u w:val="single" w:color="auto"/>
          <w:color w:val="auto"/>
        </w:rPr>
        <w:t>Section 6.04(a)(xvii)(C)</w:t>
      </w:r>
      <w:r>
        <w:rPr>
          <w:rFonts w:ascii="Times New Roman" w:cs="Times New Roman" w:eastAsia="Times New Roman" w:hAnsi="Times New Roman"/>
          <w:sz w:val="18"/>
          <w:szCs w:val="18"/>
          <w:color w:val="auto"/>
        </w:rPr>
        <w:t xml:space="preserve">, when taken together with any Indebtedness under </w:t>
      </w:r>
      <w:r>
        <w:rPr>
          <w:rFonts w:ascii="Times New Roman" w:cs="Times New Roman" w:eastAsia="Times New Roman" w:hAnsi="Times New Roman"/>
          <w:sz w:val="18"/>
          <w:szCs w:val="18"/>
          <w:u w:val="single" w:color="auto"/>
          <w:color w:val="auto"/>
        </w:rPr>
        <w:t>Section 6.01(a)(xiii)(B)</w:t>
      </w:r>
      <w:r>
        <w:rPr>
          <w:rFonts w:ascii="Times New Roman" w:cs="Times New Roman" w:eastAsia="Times New Roman" w:hAnsi="Times New Roman"/>
          <w:sz w:val="18"/>
          <w:szCs w:val="18"/>
          <w:color w:val="auto"/>
        </w:rPr>
        <w:t>, shall not exceed $10,000,000;</w:t>
      </w:r>
    </w:p>
    <w:p>
      <w:pPr>
        <w:spacing w:after="0" w:line="75" w:lineRule="exact"/>
        <w:rPr>
          <w:sz w:val="20"/>
          <w:szCs w:val="20"/>
          <w:color w:val="auto"/>
        </w:rPr>
      </w:pPr>
    </w:p>
    <w:p>
      <w:pPr>
        <w:ind w:left="440" w:right="40" w:firstLine="952"/>
        <w:spacing w:after="0" w:line="266" w:lineRule="auto"/>
        <w:rPr>
          <w:sz w:val="20"/>
          <w:szCs w:val="20"/>
          <w:color w:val="auto"/>
        </w:rPr>
      </w:pPr>
      <w:r>
        <w:rPr>
          <w:rFonts w:ascii="Times New Roman" w:cs="Times New Roman" w:eastAsia="Times New Roman" w:hAnsi="Times New Roman"/>
          <w:sz w:val="18"/>
          <w:szCs w:val="18"/>
          <w:color w:val="auto"/>
        </w:rPr>
        <w:t xml:space="preserve">(xviii)  other Investments in respect of earn-outs, milestones and other similar deferred purchase price obligations in an aggregate amount not to exceed $4,000,000 in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and immediately after giving effect to any such Investment, no Specified Event of Default has occurred and is continuing or would result therefrom;</w:t>
      </w:r>
    </w:p>
    <w:p>
      <w:pPr>
        <w:spacing w:after="0" w:line="68" w:lineRule="exact"/>
        <w:rPr>
          <w:sz w:val="20"/>
          <w:szCs w:val="20"/>
          <w:color w:val="auto"/>
        </w:rPr>
      </w:pPr>
    </w:p>
    <w:p>
      <w:pPr>
        <w:ind w:left="440" w:right="300" w:firstLine="952"/>
        <w:spacing w:after="0" w:line="282" w:lineRule="auto"/>
        <w:rPr>
          <w:sz w:val="20"/>
          <w:szCs w:val="20"/>
          <w:color w:val="auto"/>
        </w:rPr>
      </w:pPr>
      <w:r>
        <w:rPr>
          <w:rFonts w:ascii="Times New Roman" w:cs="Times New Roman" w:eastAsia="Times New Roman" w:hAnsi="Times New Roman"/>
          <w:sz w:val="18"/>
          <w:szCs w:val="18"/>
          <w:color w:val="auto"/>
        </w:rPr>
        <w:t>(xix)  the licensing of intellectual property on arms’-length terms pursuant to joint marketing or joint venture arrangements with other Persons in the ordinary course of business which do not materially interfere with the business of the Borrower and the Subsidiaries;</w:t>
      </w:r>
    </w:p>
    <w:p>
      <w:pPr>
        <w:spacing w:after="0" w:line="54" w:lineRule="exact"/>
        <w:rPr>
          <w:sz w:val="20"/>
          <w:szCs w:val="20"/>
          <w:color w:val="auto"/>
        </w:rPr>
      </w:pPr>
    </w:p>
    <w:p>
      <w:pPr>
        <w:ind w:left="440" w:right="640" w:firstLine="952"/>
        <w:spacing w:after="0" w:line="282" w:lineRule="auto"/>
        <w:rPr>
          <w:sz w:val="20"/>
          <w:szCs w:val="20"/>
          <w:color w:val="auto"/>
        </w:rPr>
      </w:pPr>
      <w:r>
        <w:rPr>
          <w:rFonts w:ascii="Times New Roman" w:cs="Times New Roman" w:eastAsia="Times New Roman" w:hAnsi="Times New Roman"/>
          <w:sz w:val="18"/>
          <w:szCs w:val="18"/>
          <w:color w:val="auto"/>
        </w:rPr>
        <w:t>(xx)  Investments in the form of prepayments of expenses, so long as such expenses were incurred in the ordinary course of business and are paid in accordance with customary trade terms of the Borrower or any of its Subsidiaries; and</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(xxi)   the Third Amendment Effective Date Acquisition.</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(b)  For purposes of determining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the event that an Investment (or any portion thereof) at any time meets the criteria of more than one of the categories of permitted Investments described in </w:t>
      </w:r>
      <w:r>
        <w:rPr>
          <w:rFonts w:ascii="Times New Roman" w:cs="Times New Roman" w:eastAsia="Times New Roman" w:hAnsi="Times New Roman"/>
          <w:sz w:val="18"/>
          <w:szCs w:val="18"/>
          <w:u w:val="single" w:color="auto"/>
          <w:color w:val="auto"/>
        </w:rPr>
        <w:t>Section 6.04(a)(i)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above, the Borrower, in its sole discretion, will classify and may subsequently reclassify such Investment (or any portion thereof) in any one or more of the types of Investments described in </w:t>
      </w:r>
      <w:r>
        <w:rPr>
          <w:rFonts w:ascii="Times New Roman" w:cs="Times New Roman" w:eastAsia="Times New Roman" w:hAnsi="Times New Roman"/>
          <w:sz w:val="18"/>
          <w:szCs w:val="18"/>
          <w:u w:val="single" w:color="auto"/>
          <w:color w:val="auto"/>
        </w:rPr>
        <w:t>Section 6.04(a)(i)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above and will only be required to include the amount and type of such Investment in such of the above clauses as determined by the Borrower at such time. The Borrower will be entitled to divide and classify an Investment in more than one of the types of Investments described in </w:t>
      </w:r>
      <w:r>
        <w:rPr>
          <w:rFonts w:ascii="Times New Roman" w:cs="Times New Roman" w:eastAsia="Times New Roman" w:hAnsi="Times New Roman"/>
          <w:sz w:val="18"/>
          <w:szCs w:val="18"/>
          <w:u w:val="single" w:color="auto"/>
          <w:color w:val="auto"/>
        </w:rPr>
        <w:t>Section 6.04(a)(i)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above. For purposes of covenant compliance, the amount of any Investment shall be the amount actually invested,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any return of capital, without adjustment for subsequent increases or decreases in the value of such Investment.</w:t>
      </w:r>
    </w:p>
    <w:p>
      <w:pPr>
        <w:spacing w:after="0" w:line="18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The Borrower will not, nor will it permit any Subsidiary to, sell, transfer, lease or otherwise dispose of any asset, including any Equity Interest owned by it, nor will the Borrower permit any Subsidiary to issue any additional Equity Interest in such Subsidiary (other than to the Borrower or another Subsidiary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except: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288" w:name="page289"/>
    <w:bookmarkEnd w:id="288"/>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Dispositions of (i) inventory in the ordinary course of business, (ii) used, obsolete, worn out or surplus equipment or property in the ordinary course of business; and (iii) property no longer used or useful, or economically practicable or commercially desirable to maintain, in the conduct of the business of the Borrower and any Subsidiary (including by ceasing to enforce or allowing the lapse, abandonment or invalidation of or discontinuing the use or maintenance of or putting into the public domain any intellectual property that is, in the reasonable judgment of the Borrower, no longer used or useful, or economically practicable or commercially desirable to maintain, or in respect of which the Borrower determines in its reasonable business judgment that such action or inaction is desirable, in each case pursuant to this clause (iii), which has a Fair Market Value, individually or in the aggregate, in an amount not to exceed $5,000,000 for the period of four consecutive fiscal quarters of the Borrower most recently ended for which financial statements have been delivered (calculated at the time of such Disposition));</w:t>
      </w:r>
    </w:p>
    <w:p>
      <w:pPr>
        <w:spacing w:after="0" w:line="192"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Dispositions to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sales, transfers or dispositions from a Loan Party to a Subsidiary that is not a Loan Party or from the Borrower or a Subsidiary shall constitute Investments subject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Dispositions of accounts receivable in connection with the compromise, settlement or collection thereof consistent with past practice;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(d)   to the extent constituting Dispositions, transactions permitted by </w:t>
      </w:r>
      <w:r>
        <w:rPr>
          <w:rFonts w:ascii="Times New Roman" w:cs="Times New Roman" w:eastAsia="Times New Roman" w:hAnsi="Times New Roman"/>
          <w:sz w:val="18"/>
          <w:szCs w:val="18"/>
          <w:u w:val="single" w:color="auto"/>
          <w:color w:val="auto"/>
        </w:rPr>
        <w:t>Sections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(e)  Dispositions of Investments in joint ventures to the extent required by, or made pursuant to customary buy/sell arrangements between, the joint venture parties set forth in joint venture arrangements and similar binding arrangements;</w:t>
      </w:r>
    </w:p>
    <w:p>
      <w:pPr>
        <w:spacing w:after="0" w:line="162" w:lineRule="exact"/>
        <w:rPr>
          <w:sz w:val="20"/>
          <w:szCs w:val="20"/>
          <w:color w:val="auto"/>
        </w:rPr>
      </w:pPr>
    </w:p>
    <w:p>
      <w:pPr>
        <w:ind w:right="920" w:firstLine="991"/>
        <w:spacing w:after="0" w:line="282" w:lineRule="auto"/>
        <w:rPr>
          <w:sz w:val="20"/>
          <w:szCs w:val="20"/>
          <w:color w:val="auto"/>
        </w:rPr>
      </w:pPr>
      <w:r>
        <w:rPr>
          <w:rFonts w:ascii="Times New Roman" w:cs="Times New Roman" w:eastAsia="Times New Roman" w:hAnsi="Times New Roman"/>
          <w:sz w:val="18"/>
          <w:szCs w:val="18"/>
          <w:color w:val="auto"/>
        </w:rPr>
        <w:t>(f)  Dispositions resulting from any casualty or other insured damage to, or any taking under power of eminent domain or by condemnation or similar proceeding of, any property or asset of the Borrower or any Subsidiary;</w:t>
      </w:r>
    </w:p>
    <w:p>
      <w:pPr>
        <w:spacing w:after="0" w:line="162" w:lineRule="exact"/>
        <w:rPr>
          <w:sz w:val="20"/>
          <w:szCs w:val="20"/>
          <w:color w:val="auto"/>
        </w:rPr>
      </w:pPr>
    </w:p>
    <w:p>
      <w:pPr>
        <w:ind w:right="60" w:firstLine="991"/>
        <w:spacing w:after="0" w:line="289" w:lineRule="auto"/>
        <w:rPr>
          <w:sz w:val="20"/>
          <w:szCs w:val="20"/>
          <w:color w:val="auto"/>
        </w:rPr>
      </w:pPr>
      <w:r>
        <w:rPr>
          <w:rFonts w:ascii="Times New Roman" w:cs="Times New Roman" w:eastAsia="Times New Roman" w:hAnsi="Times New Roman"/>
          <w:sz w:val="17"/>
          <w:szCs w:val="17"/>
          <w:color w:val="auto"/>
        </w:rPr>
        <w:t xml:space="preserve">(g)  Dispositions of assets that are not permitted by any other paragraph of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Fair Market Value represented by such assets during any period of four consecutive fiscal quarters is not greater than $10,000,000 for the period of four consecutive fiscal quarters of the Borrower most recently ended for which financial statements have been delivered (calculated at the time of such Disposition);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exchanges of property for similar replacement property for fair value;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the sale or other Disposition of Permitted Investments;</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(l)  to the extent allowable under Section 1031 of the Code (or comparable or successor provision), any exchange of like property (excluding any boot thereon permitted by such provision) for use in any business conducted by the Borrower or any of the Subsidiaries that is not in contravention of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60"/>
          </w:cols>
          <w:pgMar w:left="440" w:top="270" w:right="499" w:bottom="1440" w:gutter="0" w:footer="0" w:header="0"/>
        </w:sectPr>
      </w:pPr>
    </w:p>
    <w:bookmarkStart w:id="289" w:name="page290"/>
    <w:bookmarkEnd w:id="28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the non-exclusive licensing or sublicensing of intellectual property in the ordinary course of business or in accordance with industry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(o)   the unwinding of Swap Agreements permitted by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and Permitted Equity Derivatives</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26035</wp:posOffset>
            </wp:positionV>
            <wp:extent cx="155130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-7620</wp:posOffset>
            </wp:positionV>
            <wp:extent cx="15544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   the compromise, settlement, release or surrender of a contract, tort or other litigation claim, arbitration or other disputes.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sales, transfers, leases and other dispositions permitted by clause (g) above shall be made for Fair Market Value and for at least 75% cash consideration (it being understood that the following shall constitute cash consideration: real estate, equipment or other operating assets used or useful in a Permitted Business received by the Borrower or the Subsidiaries as consideration (excluding stock, notes or other securities)) and after giving effect to such sales, transfers, leases and other dispositions permitted hereby the Borrower shall be in compliance with the Financial Performance Covenants on a pro forma basis.</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The Borrower will not, nor will it permit any Subsidiary to, enter into any arrangement, directly or indirectly, whereby it shall sell or transfer any property, real or personal, used or useful in the business of the Borrower or its Subsidiaries, whether now owned or hereafter acquired, and thereafter enter into any agreement (either directly or through any other Subsidiary) to rent or lease such property or other property that it intends to use for substantially the same purpose or purposes as the property sold or transferred, except for sale and leaseback transactions approved by the Required Lenders in their sole discretion.</w:t>
      </w:r>
    </w:p>
    <w:p>
      <w:pPr>
        <w:spacing w:after="0" w:line="183"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6.07. </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6.08. </w:t>
      </w:r>
      <w:r>
        <w:rPr>
          <w:sz w:val="20"/>
          <w:szCs w:val="20"/>
          <w:color w:val="auto"/>
        </w:rPr>
        <w:tab/>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Borrower will not, nor will it permit any Subsidiary to, declare or make, any Restricted Payment, except:</w:t>
      </w:r>
    </w:p>
    <w:p>
      <w:pPr>
        <w:spacing w:after="0" w:line="117" w:lineRule="exact"/>
        <w:rPr>
          <w:sz w:val="20"/>
          <w:szCs w:val="20"/>
          <w:color w:val="auto"/>
        </w:rPr>
      </w:pPr>
    </w:p>
    <w:p>
      <w:pPr>
        <w:ind w:left="440" w:firstLine="952"/>
        <w:spacing w:after="0" w:line="282" w:lineRule="auto"/>
        <w:rPr>
          <w:sz w:val="20"/>
          <w:szCs w:val="20"/>
          <w:color w:val="auto"/>
        </w:rPr>
      </w:pPr>
      <w:r>
        <w:rPr>
          <w:rFonts w:ascii="Times New Roman" w:cs="Times New Roman" w:eastAsia="Times New Roman" w:hAnsi="Times New Roman"/>
          <w:sz w:val="18"/>
          <w:szCs w:val="18"/>
          <w:color w:val="auto"/>
        </w:rPr>
        <w:t>(i)  the Borrower may declare and pay dividends with respect to its common stock payable solely in additional shares of its common stock, and, with respect to its preferred stock, payable solely in additional shares of such preferred stock or in shares of its common stock;</w:t>
      </w:r>
    </w:p>
    <w:p>
      <w:pPr>
        <w:spacing w:after="0" w:line="54" w:lineRule="exact"/>
        <w:rPr>
          <w:sz w:val="20"/>
          <w:szCs w:val="20"/>
          <w:color w:val="auto"/>
        </w:rPr>
      </w:pPr>
    </w:p>
    <w:p>
      <w:pPr>
        <w:ind w:left="440" w:right="20" w:firstLine="952"/>
        <w:spacing w:after="0" w:line="282" w:lineRule="auto"/>
        <w:rPr>
          <w:sz w:val="20"/>
          <w:szCs w:val="20"/>
          <w:color w:val="auto"/>
        </w:rPr>
      </w:pPr>
      <w:r>
        <w:rPr>
          <w:rFonts w:ascii="Times New Roman" w:cs="Times New Roman" w:eastAsia="Times New Roman" w:hAnsi="Times New Roman"/>
          <w:sz w:val="18"/>
          <w:szCs w:val="18"/>
          <w:color w:val="auto"/>
        </w:rPr>
        <w:t>(ii)  Subsidiaries may declare and pay distributions ratably with respect to their capital stock, membership or partnership interests or other similar Equity Interests;</w:t>
      </w:r>
    </w:p>
    <w:p>
      <w:pPr>
        <w:spacing w:after="0" w:line="54" w:lineRule="exact"/>
        <w:rPr>
          <w:sz w:val="20"/>
          <w:szCs w:val="20"/>
          <w:color w:val="auto"/>
        </w:rPr>
      </w:pPr>
    </w:p>
    <w:p>
      <w:pPr>
        <w:ind w:left="440" w:firstLine="952"/>
        <w:spacing w:after="0" w:line="261"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color w:val="FF0000"/>
          <w:strike w:val="1"/>
        </w:rPr>
        <w:t>[reserved];</w:t>
      </w:r>
      <w:r>
        <w:rPr>
          <w:rFonts w:ascii="Times New Roman" w:cs="Times New Roman" w:eastAsia="Times New Roman" w:hAnsi="Times New Roman"/>
          <w:sz w:val="18"/>
          <w:szCs w:val="18"/>
          <w:u w:val="single" w:color="auto"/>
          <w:color w:val="0000FF"/>
        </w:rPr>
        <w:t>the purchase of any Permitted Equity Derivatives in connection with the issuance of any Permitted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Indebtedness (and the replacement of any such Permitted Equity Derivatives); so long as the purchase price for such Permitted Equity Derivatives, net of any proceeds relating to any concurrent sale or termination of any Permitted Equity Derivatives, in respect of any such Permitted Convertible Indebtedness does not exceed the net cash proceeds from such issuance of Permitted Convertible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-414020</wp:posOffset>
            </wp:positionV>
            <wp:extent cx="50749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0749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-276860</wp:posOffset>
            </wp:positionV>
            <wp:extent cx="670369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-139700</wp:posOffset>
            </wp:positionV>
            <wp:extent cx="61804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56489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290" w:name="page291"/>
    <w:bookmarkEnd w:id="290"/>
    <w:p>
      <w:pPr>
        <w:ind w:left="440" w:firstLine="95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(iv)  the Borrower and the Subsidiaries may (A) purchase or pay cash in lieu of fractional shares of its Equity Interests arising out of stock dividends, splits, or business combinations or in connection with issuance of Qualified Equity Interests of the Borrower pursuant to mergers, consolidations or other acquisitions permitted by this Agreement, (B) pay cash in lieu of fractional shares upon the exercise of warrants, options or other securities convertible into or exercisable for Qualified Equity Interests of the Borrower, and (C) make payments in connection with the retention of Qualified Equity Interests in payment of withholding Taxes in connection with equity-based compensation plans to the extent that net share settlement arrangements are deemed to be repurchases;</w:t>
      </w:r>
    </w:p>
    <w:p>
      <w:pPr>
        <w:spacing w:after="0" w:line="79" w:lineRule="exact"/>
        <w:rPr>
          <w:sz w:val="20"/>
          <w:szCs w:val="20"/>
          <w:color w:val="auto"/>
        </w:rPr>
      </w:pPr>
    </w:p>
    <w:p>
      <w:pPr>
        <w:ind w:left="440" w:firstLine="952"/>
        <w:spacing w:after="0" w:line="256" w:lineRule="auto"/>
        <w:rPr>
          <w:sz w:val="20"/>
          <w:szCs w:val="20"/>
          <w:color w:val="auto"/>
        </w:rPr>
      </w:pPr>
      <w:r>
        <w:rPr>
          <w:rFonts w:ascii="Times New Roman" w:cs="Times New Roman" w:eastAsia="Times New Roman" w:hAnsi="Times New Roman"/>
          <w:sz w:val="18"/>
          <w:szCs w:val="18"/>
          <w:color w:val="auto"/>
        </w:rPr>
        <w:t xml:space="preserve">(v)  the Borrower may make Restricted Payments to the direct or indirect equity holders of the Borrower to the extent tax liabilities are attributable to the ownership or operations of the Borrower, its direct or indirect Subsidiaries and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amount of such Restricted Payments shall not exceed the tax liabilities that the Borrower and the direct or indirect Subsidiaries would be required to pay in respect of Federal, state and local taxes were the Borrower and the direct or indirect Subsidiaries to pay such Taxes as stand-alone taxpayers less any tax payable directly by the Borrower or any direct or indirect Subsidiary and (B) all Restricted Payments made to the direct or indirect equity holders of the Borrower pursuant to this clause (v) are used by such Person solely for the purposes specified herein;</w:t>
      </w:r>
    </w:p>
    <w:p>
      <w:pPr>
        <w:spacing w:after="0" w:line="79" w:lineRule="exact"/>
        <w:rPr>
          <w:sz w:val="20"/>
          <w:szCs w:val="20"/>
          <w:color w:val="auto"/>
        </w:rPr>
      </w:pPr>
    </w:p>
    <w:p>
      <w:pPr>
        <w:ind w:left="440" w:right="20" w:firstLine="952"/>
        <w:spacing w:after="0" w:line="258" w:lineRule="auto"/>
        <w:rPr>
          <w:sz w:val="20"/>
          <w:szCs w:val="20"/>
          <w:color w:val="auto"/>
        </w:rPr>
      </w:pPr>
      <w:r>
        <w:rPr>
          <w:rFonts w:ascii="Times New Roman" w:cs="Times New Roman" w:eastAsia="Times New Roman" w:hAnsi="Times New Roman"/>
          <w:sz w:val="18"/>
          <w:szCs w:val="18"/>
          <w:color w:val="auto"/>
        </w:rPr>
        <w:t xml:space="preserve">(vi)  the Borrower may make Restricted Payments in the form of cash payments in respect of its preferred Equity Interests and other dividends, distributions and repurchases in respect of its Equity Interests in an aggregate amount not to exceed (x) $6,000,000 in any fiscal year of the Borrower in respect of dividends on preferred Equity Interests and (y) $1,000,000 in any fiscal year of the Borrower in respect of stock repurchases and other Restricted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and immediately after giving effect to such Restricted Payment, no Specified Event of Default has occurred and is continuing or would result therefrom;</w:t>
      </w:r>
    </w:p>
    <w:p>
      <w:pPr>
        <w:spacing w:after="0" w:line="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(vii)   the Borrower and the Subsidiaries may make additional Restricted Payments in an aggregate amount not exceeding</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$5,000,000 throughout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such Restricted Payment no Default or Event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of Default has occurred and is continuing; </w:t>
      </w:r>
      <w:r>
        <w:rPr>
          <w:rFonts w:ascii="Times New Roman" w:cs="Times New Roman" w:eastAsia="Times New Roman" w:hAnsi="Times New Roman"/>
          <w:sz w:val="18"/>
          <w:szCs w:val="18"/>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-70485</wp:posOffset>
            </wp:positionV>
            <wp:extent cx="1936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79" w:lineRule="exact"/>
        <w:rPr>
          <w:sz w:val="20"/>
          <w:szCs w:val="20"/>
          <w:color w:val="auto"/>
        </w:rPr>
      </w:pPr>
    </w:p>
    <w:p>
      <w:pPr>
        <w:ind w:left="440" w:right="160" w:firstLine="952"/>
        <w:spacing w:after="0" w:line="266" w:lineRule="auto"/>
        <w:rPr>
          <w:sz w:val="20"/>
          <w:szCs w:val="20"/>
          <w:color w:val="auto"/>
        </w:rPr>
      </w:pPr>
      <w:r>
        <w:rPr>
          <w:rFonts w:ascii="Times New Roman" w:cs="Times New Roman" w:eastAsia="Times New Roman" w:hAnsi="Times New Roman"/>
          <w:sz w:val="18"/>
          <w:szCs w:val="18"/>
          <w:color w:val="auto"/>
        </w:rPr>
        <w:t>(viii)  the Borrower may purchase, redeem, retire or otherwise acquire for value of Equity Interests (and any related stock appreciation rights, plans, equity incentive or achievement plans or any similar plans) in a person being acquired in any Permitted Acquisition in connection with such Permitted Acquisition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-4445</wp:posOffset>
            </wp:positionV>
            <wp:extent cx="22288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48" w:lineRule="exact"/>
        <w:rPr>
          <w:sz w:val="20"/>
          <w:szCs w:val="20"/>
          <w:color w:val="auto"/>
        </w:rPr>
      </w:pPr>
    </w:p>
    <w:p>
      <w:pPr>
        <w:ind w:left="440" w:right="720" w:firstLine="952"/>
        <w:spacing w:after="0" w:line="282" w:lineRule="auto"/>
        <w:rPr>
          <w:sz w:val="20"/>
          <w:szCs w:val="20"/>
          <w:color w:val="auto"/>
        </w:rPr>
      </w:pPr>
      <w:r>
        <w:rPr>
          <w:rFonts w:ascii="Times New Roman" w:cs="Times New Roman" w:eastAsia="Times New Roman" w:hAnsi="Times New Roman"/>
          <w:sz w:val="18"/>
          <w:szCs w:val="18"/>
          <w:u w:val="single" w:color="auto"/>
          <w:color w:val="0000FF"/>
        </w:rPr>
        <w:t>(ix)  the settlement or termination of any Permitted Equity Derivatives; provided, that the entry into such Permitted Equity Derivative was not prohibited by the terms of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-151130</wp:posOffset>
            </wp:positionV>
            <wp:extent cx="564896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64896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wp:posOffset>
            </wp:positionV>
            <wp:extent cx="41833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14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The Borrower will not nor will it permit any Subsidiary to, make, directly or indirectly, any payment or other distribution (whether in cash, securities or other property) of or in respect of principal of or interest on, or any payment or other distribution (whether in cash, securities or other property), including any sinking fund or similar deposit, on account of the purchase, redemption, retirement, acquisition, cancellation or termination of, any </w:t>
      </w:r>
      <w:r>
        <w:rPr>
          <w:rFonts w:ascii="Times New Roman" w:cs="Times New Roman" w:eastAsia="Times New Roman" w:hAnsi="Times New Roman"/>
          <w:sz w:val="18"/>
          <w:szCs w:val="18"/>
          <w:u w:val="single" w:color="auto"/>
          <w:color w:val="0000FF"/>
        </w:rPr>
        <w:t>Permitted Convertible Indebtedness or</w:t>
      </w:r>
      <w:r>
        <w:rPr>
          <w:rFonts w:ascii="Times New Roman" w:cs="Times New Roman" w:eastAsia="Times New Roman" w:hAnsi="Times New Roman"/>
          <w:sz w:val="18"/>
          <w:szCs w:val="18"/>
          <w:color w:val="auto"/>
        </w:rPr>
        <w:t xml:space="preserve"> Subordinated Indebtedness (other than intercompany loans among Subsidiary Loan Parties and the Borrower),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-137160</wp:posOffset>
            </wp:positionV>
            <wp:extent cx="17830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291" w:name="page292"/>
    <w:bookmarkEnd w:id="291"/>
    <w:p>
      <w:pPr>
        <w:ind w:left="440" w:right="40" w:firstLine="95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payment of regularly scheduled interest </w:t>
      </w:r>
      <w:r>
        <w:rPr>
          <w:rFonts w:ascii="Times New Roman" w:cs="Times New Roman" w:eastAsia="Times New Roman" w:hAnsi="Times New Roman"/>
          <w:sz w:val="18"/>
          <w:szCs w:val="18"/>
          <w:u w:val="single" w:color="auto"/>
          <w:color w:val="0000FF"/>
        </w:rPr>
        <w:t>(including any additional and/or special interest in connection with any 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Convertible Indebtedness)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principal payments as and when due in respect of such Indebtedness, other than as prohibited by any subordination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-278765</wp:posOffset>
            </wp:positionV>
            <wp:extent cx="37293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7293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-141605</wp:posOffset>
            </wp:positionV>
            <wp:extent cx="120015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48" w:lineRule="exact"/>
        <w:rPr>
          <w:sz w:val="20"/>
          <w:szCs w:val="20"/>
          <w:color w:val="auto"/>
        </w:rPr>
      </w:pPr>
    </w:p>
    <w:p>
      <w:pPr>
        <w:ind w:left="440" w:right="320" w:firstLine="952"/>
        <w:spacing w:after="0" w:line="261" w:lineRule="auto"/>
        <w:rPr>
          <w:sz w:val="20"/>
          <w:szCs w:val="20"/>
          <w:color w:val="auto"/>
        </w:rPr>
      </w:pPr>
      <w:r>
        <w:rPr>
          <w:rFonts w:ascii="Times New Roman" w:cs="Times New Roman" w:eastAsia="Times New Roman" w:hAnsi="Times New Roman"/>
          <w:sz w:val="18"/>
          <w:szCs w:val="18"/>
          <w:color w:val="auto"/>
        </w:rPr>
        <w:t>(ii)  prepayments in respect of the Google Note, earn-outs, milestone and other similar deferred purchase price obligations in an aggregate amount not to exceed the Available Basket Amount; provided that (x) before and immediately after giving effect to any such prepayment, no Specified Event of Default has occurred and is continuing or would result therefrom and (y) pro forma Liquidity after giving effect thereto shall exceed $100,000,000;</w:t>
      </w:r>
    </w:p>
    <w:p>
      <w:pPr>
        <w:spacing w:after="0" w:line="72" w:lineRule="exact"/>
        <w:rPr>
          <w:sz w:val="20"/>
          <w:szCs w:val="20"/>
          <w:color w:val="auto"/>
        </w:rPr>
      </w:pPr>
    </w:p>
    <w:p>
      <w:pPr>
        <w:ind w:left="440" w:right="80" w:firstLine="952"/>
        <w:spacing w:after="0" w:line="258" w:lineRule="auto"/>
        <w:rPr>
          <w:sz w:val="20"/>
          <w:szCs w:val="20"/>
          <w:color w:val="auto"/>
        </w:rPr>
      </w:pPr>
      <w:r>
        <w:rPr>
          <w:rFonts w:ascii="Times New Roman" w:cs="Times New Roman" w:eastAsia="Times New Roman" w:hAnsi="Times New Roman"/>
          <w:sz w:val="18"/>
          <w:szCs w:val="18"/>
          <w:color w:val="auto"/>
        </w:rPr>
        <w:t xml:space="preserve">(iii)  the cash payments in respect of any earn-out, milestone and other similar deferred purchase price obligations in an aggregate amount not to exceed, when taken together with the aggregate amount of Investments made pursuant to Section 6.04(a)(iv), $5,000,000 per fiscal year and $25,000,000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$50,000,000;</w:t>
      </w:r>
    </w:p>
    <w:p>
      <w:pPr>
        <w:spacing w:after="0" w:line="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(iv)   the refinancing thereof with any Indebtedness (to the extent such Indebtedness constitutes a Permitted Refinancing); </w:t>
      </w:r>
      <w:r>
        <w:rPr>
          <w:rFonts w:ascii="Times New Roman" w:cs="Times New Roman" w:eastAsia="Times New Roman" w:hAnsi="Times New Roman"/>
          <w:sz w:val="18"/>
          <w:szCs w:val="18"/>
          <w:color w:val="FF0000"/>
          <w:strike w:val="1"/>
        </w:rPr>
        <w:t>and</w:t>
      </w:r>
    </w:p>
    <w:p>
      <w:pPr>
        <w:spacing w:after="0" w:line="117" w:lineRule="exact"/>
        <w:rPr>
          <w:sz w:val="20"/>
          <w:szCs w:val="20"/>
          <w:color w:val="auto"/>
        </w:rPr>
      </w:pPr>
    </w:p>
    <w:p>
      <w:pPr>
        <w:ind w:left="440" w:right="640" w:firstLine="952"/>
        <w:spacing w:after="0" w:line="282" w:lineRule="auto"/>
        <w:rPr>
          <w:sz w:val="20"/>
          <w:szCs w:val="20"/>
          <w:color w:val="auto"/>
        </w:rPr>
      </w:pPr>
      <w:r>
        <w:rPr>
          <w:rFonts w:ascii="Times New Roman" w:cs="Times New Roman" w:eastAsia="Times New Roman" w:hAnsi="Times New Roman"/>
          <w:sz w:val="18"/>
          <w:szCs w:val="18"/>
          <w:color w:val="auto"/>
        </w:rPr>
        <w:t>(v)  the conversion or exchange of any such Indebtedness into, or redemption, repurchase, prepayment, defeasance or other retirement of any such Indebtedness with, Borrower’s Equity Interests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cash for any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-13970</wp:posOffset>
            </wp:positionV>
            <wp:extent cx="16459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4" w:lineRule="exact"/>
        <w:rPr>
          <w:sz w:val="20"/>
          <w:szCs w:val="20"/>
          <w:color w:val="auto"/>
        </w:rPr>
      </w:pPr>
    </w:p>
    <w:p>
      <w:pPr>
        <w:ind w:left="440" w:right="620" w:firstLine="952"/>
        <w:spacing w:after="0" w:line="282" w:lineRule="auto"/>
        <w:rPr>
          <w:sz w:val="20"/>
          <w:szCs w:val="20"/>
          <w:color w:val="auto"/>
        </w:rPr>
      </w:pPr>
      <w:r>
        <w:rPr>
          <w:rFonts w:ascii="Times New Roman" w:cs="Times New Roman" w:eastAsia="Times New Roman" w:hAnsi="Times New Roman"/>
          <w:sz w:val="18"/>
          <w:szCs w:val="18"/>
          <w:u w:val="single" w:color="auto"/>
          <w:color w:val="0000FF"/>
        </w:rPr>
        <w:t>(vi)  cash settlement upon any conversion of Permitted Convertible Indebtedness in accordance with the terms thereof in an aggregate amount not to exceed the principal amount thereof (and cash for any fractional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-151130</wp:posOffset>
            </wp:positionV>
            <wp:extent cx="57003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wp:posOffset>
            </wp:positionV>
            <wp:extent cx="46374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34" w:lineRule="exact"/>
        <w:rPr>
          <w:sz w:val="20"/>
          <w:szCs w:val="20"/>
          <w:color w:val="auto"/>
        </w:rPr>
      </w:pPr>
    </w:p>
    <w:p>
      <w:pPr>
        <w:ind w:left="440" w:right="40" w:firstLine="952"/>
        <w:spacing w:after="0" w:line="266" w:lineRule="auto"/>
        <w:rPr>
          <w:sz w:val="20"/>
          <w:szCs w:val="20"/>
          <w:color w:val="auto"/>
        </w:rPr>
      </w:pPr>
      <w:r>
        <w:rPr>
          <w:rFonts w:ascii="Times New Roman" w:cs="Times New Roman" w:eastAsia="Times New Roman" w:hAnsi="Times New Roman"/>
          <w:sz w:val="18"/>
          <w:szCs w:val="18"/>
          <w:u w:val="single" w:color="auto"/>
          <w:color w:val="0000FF"/>
        </w:rPr>
        <w:t>(vii)  exchanges, purchases, redemptions and other payments of any Permitted Convertible Indebtedness, subject to Borrower being in pro forma compliance with the Financial Performance Covenants for the most recently ended period for which financial statements have been (or were required to be)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-278765</wp:posOffset>
            </wp:positionV>
            <wp:extent cx="606933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-141605</wp:posOffset>
            </wp:positionV>
            <wp:extent cx="65919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-4445</wp:posOffset>
            </wp:positionV>
            <wp:extent cx="28714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156"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6.09.  </w:t>
      </w: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The Borrower will not, nor will it permit any Subsidiary to, sell, lease or otherwise transfer any property or assets to, or purchase, lease or otherwise acquire any property or assets from, or otherwise engage in any other transactions with, any of its Affiliates, involving aggregate payments or consideration in excess of $2,500,000 for any individual transaction or series of related transactions, except:</w:t>
      </w:r>
    </w:p>
    <w:p>
      <w:pPr>
        <w:spacing w:after="0" w:line="158"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(a)  transactions that are at prices and on terms and conditions not less favorable to the Borrower or such Subsidiary than could be obtained on an arm’s-length basis from unrelated third parties;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(b)  (i) transactions between or among the Borrower and the Subsidiary Loan Parties, (ii) transactions between or among Subsidiaries that are not Subsidiary Loan Parties and (iii) transactions between or among the Borrower and the Subsidiary consistent with past practice and made in the ordinary course;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any transaction permitted under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80"/>
          </w:cols>
          <w:pgMar w:left="440" w:top="270" w:right="479" w:bottom="1440" w:gutter="0" w:footer="0" w:header="0"/>
        </w:sectPr>
      </w:pPr>
    </w:p>
    <w:bookmarkStart w:id="292" w:name="page293"/>
    <w:bookmarkEnd w:id="29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(h)  any lease or sublease entered into between the Borrower or any Subsidiary, as lessee or sublessee, and any of the Affiliates (as of the Effective Date) of the Borrower or entity controlled by such Affiliates, as lessor or sublessor, which is approved in good faith by a majority of the disinterested members of the Board of Directors of the Borrower;</w:t>
      </w:r>
    </w:p>
    <w:p>
      <w:pPr>
        <w:spacing w:after="0" w:line="17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(i)  payments to or from, and transactions with, any joint venture in the ordinary course of business (including any cash management activities related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[reserved];</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(k)  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any Subsidiary in the ordinary course of business;</w:t>
      </w:r>
    </w:p>
    <w:p>
      <w:pPr>
        <w:spacing w:after="0" w:line="176"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(l)  any issuances of securities or other payments, awards or grants in cash, securities or otherwise pursuant to, or the funding of, employment agreements, stock options and stock ownership plans approved by the Borrower’s Board of Directors;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(m)  transactions pursuant to agreements existing on the Effective Date and set forth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and any amendments thereto to the extent such amendments are not materially less favorable to the Borrower or such Subsidiary Loan Party than those provided for in the original agreements;</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(n)  employment and severance arrangements entered into in the ordinary course of business and approved by the Borrower’s Board of Directors between the Borrower or any Subsidiary and any employee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all payments made or to be made in connection with the Transactions, including the payment of the Transaction Costs;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[reserved]; 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   any customary management services agreements or similar agreements between the Borrower or any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  Subject to clauses (b) and (c) below, the Borrower will not, nor will it permit any Subsidiary to, directly or indirectly, enter into, incur or permit to exist any agreement or other arrangement that prohibits, restricts or imposes any condition upon (i) the ability of the Borrower or any Subsidiary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80"/>
          </w:cols>
          <w:pgMar w:left="440" w:top="270" w:right="479" w:bottom="1440" w:gutter="0" w:footer="0" w:header="0"/>
        </w:sectPr>
      </w:pPr>
    </w:p>
    <w:bookmarkStart w:id="293" w:name="page294"/>
    <w:bookmarkEnd w:id="293"/>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create, incur or permit to exist any Lien upon any of its property or assets or (ii) the ability of any Subsidiary to pay dividends or other distributions with respect to any shares of its capital stock or to make or repay loans or advances to the Borrower or any Subsidiary or to Guarantee Indebtedness of the Borrower or any other Subsidiary.</w:t>
      </w:r>
    </w:p>
    <w:p>
      <w:pPr>
        <w:spacing w:after="0" w:line="176"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(b)  Section 6.10(a) shall not apply to restrictions and conditions (i) imposed by law or by any Loan Document, (ii) existing on the Effective Date and identified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xml:space="preserve"> (but shall apply to any extension or renewal of, or any amendment or modification expanding the scope of, any such restriction or condition unless such amendment is not otherwise prohibited by Section 6.11), (iii) contained in agreements relating to the sale of a Subsidiary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restrictions and conditions apply only to the Subsidiary that is to be sold and such sale is permitted hereunder, (iv) imposed by any customary provisions restricting assignment of any agreement entered into the ordinary course of business, (v) imposed by any instrument or agreement governing Indebtedness of a Subsidiary acquired by the Borrower or any of the Subsidiaries as in effect at the time of such acquisition (except to the extent such Indebtedness was incurred in connection with or in contemplation of such acquisition), which encumbrance or restriction is not applicable to any Person, or the properties or assets of any such Person, other than the Person or any of its Subsidiaries, so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was permitted by Section 6.01 to be incurred), (vi) imposed by any instrument or agreement governing Indebtedness of the Borrower or any Subsidiary that is incurred or issued subsequent to the Effective Date and is permitted pursuant to Section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restrictions in such Indebtedness are not materially more restrictive in the aggregate than the restrictions contained in this Agreement), or</w:t>
      </w:r>
    </w:p>
    <w:p>
      <w:pPr>
        <w:spacing w:after="0" w:line="4" w:lineRule="exact"/>
        <w:rPr>
          <w:sz w:val="20"/>
          <w:szCs w:val="20"/>
          <w:color w:val="auto"/>
        </w:rPr>
      </w:pPr>
    </w:p>
    <w:p>
      <w:pPr>
        <w:ind w:left="4" w:right="340" w:hanging="4"/>
        <w:spacing w:after="0" w:line="255" w:lineRule="auto"/>
        <w:tabs>
          <w:tab w:leader="none" w:pos="35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shareholders agreements, joint venture agreements, organization constitutive documents or similar binding agreements relating to any joint venture or non-wholly-owned Subsidiary and other similar agreements applicable to joint ventures and non-wholly-owned Subsidiaries and applicable solely to such joint venture or non-wholly-owned Subsidiary and the Equity Interests issued thereby.</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   Section 6.10(a)(i) shall not apply to restrictions or conditions imposed by customary provisions in leases restricting the assignment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The Borrower will not, nor will it permit any Subsidiary to, amend, modify or waive any of its rights under (a) any documentation governing any Subordinated Indebtedness (other than on terms that would be permitted in a Permitted Refinancing thereof or as permitted in accordance with any intercreditor agreement), (b) the Google Note (in an manner that would be adverse in any material respect to the interests of the Lenders (including, without limitation, modifications or amendments that advance the maturity date thereof to a date sooner that one hundred thirty-five (135) days after the Maturity Date)) or (c) its certificate of incorporation, by-laws or other organizational documents (to the extent such amendment, modification or waiver would be materially adverse to the Lenders).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Financial Performance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312"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Minimum Liquidity</w:t>
      </w:r>
      <w:r>
        <w:rPr>
          <w:rFonts w:ascii="Times New Roman" w:cs="Times New Roman" w:eastAsia="Times New Roman" w:hAnsi="Times New Roman"/>
          <w:sz w:val="17"/>
          <w:szCs w:val="17"/>
          <w:color w:val="auto"/>
        </w:rPr>
        <w:t>. As of the last day of each month, commencing with the month ending December 31, 2022, the Borrower shall not permit Liquidity, calculated as the average daily balance for the month then ended, to be less than $25,000,000 (the “</w:t>
      </w:r>
      <w:r>
        <w:rPr>
          <w:rFonts w:ascii="Times New Roman" w:cs="Times New Roman" w:eastAsia="Times New Roman" w:hAnsi="Times New Roman"/>
          <w:sz w:val="17"/>
          <w:szCs w:val="17"/>
          <w:u w:val="single" w:color="auto"/>
          <w:color w:val="auto"/>
        </w:rPr>
        <w:t>Minimum Liquidity Amount</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Minimum Revenue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right="360" w:firstLine="401"/>
        <w:spacing w:after="0" w:line="282" w:lineRule="auto"/>
        <w:rPr>
          <w:sz w:val="20"/>
          <w:szCs w:val="20"/>
          <w:color w:val="auto"/>
        </w:rPr>
      </w:pPr>
      <w:r>
        <w:rPr>
          <w:rFonts w:ascii="Times New Roman" w:cs="Times New Roman" w:eastAsia="Times New Roman" w:hAnsi="Times New Roman"/>
          <w:sz w:val="18"/>
          <w:szCs w:val="18"/>
          <w:color w:val="auto"/>
        </w:rPr>
        <w:t>(i)  As of the last day of each fiscal quarter, commencing with the fiscal quarter ending December 31, 2022 and ending with the fiscal quarter ending December 31, 2024,</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4"/>
          </w:cols>
          <w:pgMar w:left="436" w:top="270" w:right="459" w:bottom="1440" w:gutter="0" w:footer="0" w:header="0"/>
        </w:sectPr>
      </w:pPr>
    </w:p>
    <w:bookmarkStart w:id="294" w:name="page295"/>
    <w:bookmarkEnd w:id="294"/>
    <w:p>
      <w:pPr>
        <w:ind w:left="98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not permit consolidated Revenues of the Borrower and its Subsidiaries for the trailing twelve month period ending on the last day of such fiscal quarter to be less than the amount set forth below of each applicable period:</w:t>
      </w:r>
    </w:p>
    <w:p>
      <w:pPr>
        <w:spacing w:after="0" w:line="182" w:lineRule="exact"/>
        <w:rPr>
          <w:sz w:val="20"/>
          <w:szCs w:val="20"/>
          <w:color w:val="auto"/>
        </w:rPr>
      </w:pPr>
    </w:p>
    <w:tbl>
      <w:tblPr>
        <w:tblLayout w:type="fixed"/>
        <w:tblInd w:w="1764" w:type="dxa"/>
        <w:tblCellMar>
          <w:top w:w="0" w:type="dxa"/>
          <w:left w:w="0" w:type="dxa"/>
          <w:bottom w:w="0" w:type="dxa"/>
          <w:right w:w="0" w:type="dxa"/>
        </w:tblCellMar>
      </w:tblPr>
      <w:tr>
        <w:trPr>
          <w:trHeight w:val="193"/>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Quarter End</w:t>
            </w:r>
          </w:p>
        </w:tc>
        <w:tc>
          <w:tcPr>
            <w:tcW w:w="2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Minimum Consolidated Revenues</w:t>
            </w: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31, 2022</w:t>
            </w:r>
          </w:p>
        </w:tc>
        <w:tc>
          <w:tcPr>
            <w:tcW w:w="19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7"/>
              </w:rPr>
              <w:t>226,500,000.00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248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253,100,000.00</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248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283,500,000.00</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248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312,900,000.00</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48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342,700,000.00</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248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371,600,000.00</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248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408,300,000.00</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48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443,000,000.00</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48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459,100,000.00</w:t>
            </w:r>
          </w:p>
        </w:tc>
      </w:tr>
    </w:tbl>
    <w:p>
      <w:pPr>
        <w:spacing w:after="0" w:line="90" w:lineRule="exact"/>
        <w:rPr>
          <w:sz w:val="20"/>
          <w:szCs w:val="20"/>
          <w:color w:val="auto"/>
        </w:rPr>
      </w:pPr>
    </w:p>
    <w:p>
      <w:pPr>
        <w:ind w:left="984" w:firstLine="401"/>
        <w:spacing w:after="0" w:line="261" w:lineRule="auto"/>
        <w:rPr>
          <w:sz w:val="20"/>
          <w:szCs w:val="20"/>
          <w:color w:val="auto"/>
        </w:rPr>
      </w:pPr>
      <w:r>
        <w:rPr>
          <w:rFonts w:ascii="Times New Roman" w:cs="Times New Roman" w:eastAsia="Times New Roman" w:hAnsi="Times New Roman"/>
          <w:sz w:val="18"/>
          <w:szCs w:val="18"/>
          <w:color w:val="auto"/>
        </w:rPr>
        <w:t>(ii)  After the fiscal quarter ending December 31, 2024, as of the last day of the fiscal quarters ending March 31, 2025, June 30, 2025, September 30, 2025 and December 31, 2025, the Borrower shall not permit consolidated Revenues of the Borrower and its Subsidiaries to be less than (x) $1,000,000,000 for the immediate trailing twelve month period ending on the last day of such fiscal quarter or (y) $1,000,000,000 on a pro forma basis.</w:t>
      </w:r>
    </w:p>
    <w:p>
      <w:pPr>
        <w:spacing w:after="0" w:line="72" w:lineRule="exact"/>
        <w:rPr>
          <w:sz w:val="20"/>
          <w:szCs w:val="20"/>
          <w:color w:val="auto"/>
        </w:rPr>
      </w:pPr>
    </w:p>
    <w:p>
      <w:pPr>
        <w:ind w:left="984" w:right="220" w:firstLine="401"/>
        <w:spacing w:after="0" w:line="289" w:lineRule="auto"/>
        <w:rPr>
          <w:sz w:val="20"/>
          <w:szCs w:val="20"/>
          <w:color w:val="auto"/>
        </w:rPr>
      </w:pPr>
      <w:r>
        <w:rPr>
          <w:rFonts w:ascii="Times New Roman" w:cs="Times New Roman" w:eastAsia="Times New Roman" w:hAnsi="Times New Roman"/>
          <w:sz w:val="17"/>
          <w:szCs w:val="17"/>
          <w:color w:val="auto"/>
        </w:rPr>
        <w:t>(iii)  After the fiscal quarter ending December 31, 2025, as of the last day of the fiscal quarters ending March 31, 2026, June 30, 2026, September 30, 2026 and December 31, 2026, the Borrower shall not permit consolidated revenues of the Borrower and its Subsidiaries to be less than $1,100,000,000 for the immediate trailing twelve month period ending on the last day of such fiscal quarter.</w:t>
      </w:r>
    </w:p>
    <w:p>
      <w:pPr>
        <w:spacing w:after="0" w:line="158"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Maximum First Lien Leverage Ratio</w:t>
      </w:r>
      <w:r>
        <w:rPr>
          <w:rFonts w:ascii="Times New Roman" w:cs="Times New Roman" w:eastAsia="Times New Roman" w:hAnsi="Times New Roman"/>
          <w:sz w:val="18"/>
          <w:szCs w:val="18"/>
          <w:color w:val="auto"/>
        </w:rPr>
        <w:t>. As of the last day of each fiscal quarter, commencing with the fiscal quarter ending March 31, 2027, the First Lien Leverage Ratio shall not exceed 7.50 to 1.00.</w:t>
      </w:r>
    </w:p>
    <w:p>
      <w:pPr>
        <w:spacing w:after="0" w:line="162" w:lineRule="exact"/>
        <w:rPr>
          <w:sz w:val="20"/>
          <w:szCs w:val="20"/>
          <w:color w:val="auto"/>
        </w:rPr>
      </w:pPr>
    </w:p>
    <w:p>
      <w:pPr>
        <w:ind w:left="4" w:right="2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Accounting; Fiscal Year</w:t>
      </w:r>
      <w:r>
        <w:rPr>
          <w:rFonts w:ascii="Times New Roman" w:cs="Times New Roman" w:eastAsia="Times New Roman" w:hAnsi="Times New Roman"/>
          <w:sz w:val="17"/>
          <w:szCs w:val="17"/>
          <w:color w:val="auto"/>
        </w:rPr>
        <w:t>. The Borrower will not, and will not permit any of its Subsidiaries to, make any significant change in accounting treatment or reporting practices, except as permitted by GAAP, and will not change its fiscal year-end to a date other than December 31.</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The Borrower will not, and will not permit any of its Subsidiaries to, enter into any Swap Agreement, except</w:t>
      </w:r>
    </w:p>
    <w:p>
      <w:pPr>
        <w:spacing w:after="0" w:line="27" w:lineRule="exact"/>
        <w:rPr>
          <w:sz w:val="20"/>
          <w:szCs w:val="20"/>
          <w:color w:val="auto"/>
        </w:rPr>
      </w:pPr>
    </w:p>
    <w:p>
      <w:pPr>
        <w:ind w:left="4" w:right="140" w:hanging="4"/>
        <w:spacing w:after="0" w:line="260" w:lineRule="auto"/>
        <w:tabs>
          <w:tab w:leader="none" w:pos="24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 Agreements entered into to hedge or mitigate risks to which the Borrower or such Subsidiary has actual exposure (other than those in respect of Equity Interests)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and (b) Swap Agreements entered into in order to effectively cap, collar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-1270</wp:posOffset>
            </wp:positionV>
            <wp:extent cx="260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64"/>
          </w:cols>
          <w:pgMar w:left="436" w:top="270" w:right="499" w:bottom="1440" w:gutter="0" w:footer="0" w:header="0"/>
        </w:sectPr>
      </w:pPr>
    </w:p>
    <w:bookmarkStart w:id="295" w:name="page296"/>
    <w:bookmarkEnd w:id="295"/>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rates (from fixed to floating rates, from one floating rate to another floating rate or otherwise) with respect to any interest-bearing liability or investment of the Borrower or such Subsidiary, in each case, for bona fide hedging purposes and not for speculation.</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Changes in Name</w:t>
      </w:r>
      <w:r>
        <w:rPr>
          <w:rFonts w:ascii="Times New Roman" w:cs="Times New Roman" w:eastAsia="Times New Roman" w:hAnsi="Times New Roman"/>
          <w:sz w:val="18"/>
          <w:szCs w:val="18"/>
          <w:color w:val="auto"/>
        </w:rPr>
        <w:t xml:space="preserve">. The Borrower shall not, and shall not permit any of its Subsidiaries to, change its legal name except as permitted by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OFAC; Patriot Act</w:t>
      </w:r>
      <w:r>
        <w:rPr>
          <w:rFonts w:ascii="Times New Roman" w:cs="Times New Roman" w:eastAsia="Times New Roman" w:hAnsi="Times New Roman"/>
          <w:sz w:val="18"/>
          <w:szCs w:val="18"/>
          <w:color w:val="auto"/>
        </w:rPr>
        <w:t xml:space="preserve">. The Borrower shall not, and shall not permit any of its Subsidiaries to, fail to comply with the laws, regulations and executive orders referred to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Issuance or Repurchase of Equity Interests</w:t>
      </w:r>
      <w:r>
        <w:rPr>
          <w:rFonts w:ascii="Times New Roman" w:cs="Times New Roman" w:eastAsia="Times New Roman" w:hAnsi="Times New Roman"/>
          <w:sz w:val="18"/>
          <w:szCs w:val="18"/>
          <w:color w:val="auto"/>
        </w:rPr>
        <w:t>. The Borrower shall not, and shall not permit any of its Subsidiaries to, issue any Disqualified Equity Interests.</w:t>
      </w:r>
    </w:p>
    <w:p>
      <w:pPr>
        <w:spacing w:after="0" w:line="162"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xml:space="preserve">. The Borrower will not, and will not permit any of its Subsidiaries to, make Capital Expenditures in any fiscal year in an aggregate amount exceeding (i) $25,000,000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additional amount with the prior written consent of the Administrative Agent (such consent not to be unreasonably withheld, conditioned or delayed)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50% of the Available Basket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Capital Expenditure made in reliance on the foregoing clause (ii) shall be subject to the following conditions: (x) before and immediately after giving effect to any such Capital Expenditure, no Specified Event of Default has occurred and is continuing or would result therefrom and (y) pro forma Liquidity after giving effect thereto shall exceed $100,000,000;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unused amount under the foregoing clause (i) of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shall carry forward to the immediately following fiscal year (such amount, the “</w:t>
      </w:r>
      <w:r>
        <w:rPr>
          <w:rFonts w:ascii="Times New Roman" w:cs="Times New Roman" w:eastAsia="Times New Roman" w:hAnsi="Times New Roman"/>
          <w:sz w:val="18"/>
          <w:szCs w:val="18"/>
          <w:u w:val="single" w:color="auto"/>
          <w:color w:val="auto"/>
        </w:rPr>
        <w:t>Capital Expenditure Carryover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Capital Expenditures made in a particular fiscal year of the Borrower shall first be deemed to have been made with the portion of the Capital Expenditures permitted for such fiscal year before the Capital Expenditure Carryover Amount is applied to such fiscal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(any such event,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  the Borrower shall fail to pay any principal of any Loan when and as the same shall become due and payable, whether at the due date thereof or at a date fixed for prepayment thereof or otherwise;</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the Borrower shall fail to pay any interest on any Loan or any fee (including any Make-Whole/Prepayment Fee Amount) or any other amount (other than an amount referred to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payable under this Agreement or any other Loan Document, when and as the same shall become due and payable, and such failure shall continue unremedied for a period of five (5) Business Days;</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(c)  any representation or warranty made or deemed made by or on behalf of the Borrower or any Subsidiary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(except to the extent any such representation or warranty is qualified by “materially,” “Material Adverse Effect” or a similar term, in which case such representation or warranty shall prove to have been incorrect in any respect) when made or deemed made;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296" w:name="page297"/>
    <w:bookmarkEnd w:id="296"/>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the Borrower shall fail to observe or perform any covenant, condition or agreement contained in </w:t>
      </w:r>
      <w:r>
        <w:rPr>
          <w:rFonts w:ascii="Times New Roman" w:cs="Times New Roman" w:eastAsia="Times New Roman" w:hAnsi="Times New Roman"/>
          <w:sz w:val="18"/>
          <w:szCs w:val="18"/>
          <w:u w:val="single" w:color="auto"/>
          <w:color w:val="auto"/>
        </w:rPr>
        <w:t>Sections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(with respect to the existence of the Borrower),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(it being understood and agreed that (x) any breach of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is subject to cure as provided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and (y) any breach of </w:t>
      </w:r>
      <w:r>
        <w:rPr>
          <w:rFonts w:ascii="Times New Roman" w:cs="Times New Roman" w:eastAsia="Times New Roman" w:hAnsi="Times New Roman"/>
          <w:sz w:val="18"/>
          <w:szCs w:val="18"/>
          <w:u w:val="single" w:color="auto"/>
          <w:color w:val="auto"/>
        </w:rPr>
        <w:t>Section 6.12(c)</w:t>
      </w:r>
      <w:r>
        <w:rPr>
          <w:rFonts w:ascii="Times New Roman" w:cs="Times New Roman" w:eastAsia="Times New Roman" w:hAnsi="Times New Roman"/>
          <w:sz w:val="18"/>
          <w:szCs w:val="18"/>
          <w:color w:val="auto"/>
        </w:rPr>
        <w:t xml:space="preserve"> is subject to cure as provided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(e)  the Borrower shall fail to observe or perform any covenant, condition or agreement contained in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such failure shall continue unremedied for a period of ten (10) days;</w:t>
      </w:r>
    </w:p>
    <w:p>
      <w:pPr>
        <w:spacing w:after="0" w:line="162"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(f)  the Borrower or any Subsidiary Loan Party shall fail to observe or perform any covenant, condition or agreement contained in any Loan Document (other than those specified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and such failure shall continue unremedied for a period of thirty (30) days after notice thereof from the Administrative Agent to the Borrower (which notice will be given at the request of any Lender);</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(g)  the Borrower or any Subsidiary shall fail to make any payment (whether of principal or interest and regardless of amount) in respect of any Material Indebtedness, when and as the same shall become due and payable (after giving effect to any applicable grace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paragraph (g) shall not apply to any Indebtedness if the sole remedy of the holder thereof in the event of such non-payment is to elect to convert such Indebtedness into Qualified Equity Interests (and cash in lieu of fractional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this paragraph (g) shall not apply to any such failure that (x) is remedied by the Borrower or any applicable Subsidiary or (y) waived (including in the form of amendment) by the requisite holders of the applicable item of Material Indebtedness in either case, prior to acceleration of all the Loans pursuant to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(h)  any event or condition (other than, with respect to Indebtedness consisting of Swap Agreements, termination events or equivalent events pursuant to the terms of such Swap Agreements and not as a result of any default thereunder by any Loan Party) occurs that results in any Material Indebtedness becoming due prior to its scheduled maturity or that enables or permits (with all applicable grace periods having expired and all required notices have been given)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(h) shall not apply to (i) secured Indebtedness that becomes due as a result of the voluntary sale or transfer of the property or assets (to the extent not prohibited under this Agreement) securing such Indebtedness; (ii) termination events or similar events occurring under any Swap Agreement that constitutes Material Indebtedness (it being understood that paragraph (g)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will apply to any failure to make any payment required as a result of any such termination or similar event)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(iii) any Indebtedness if the sole remedy of the holder thereof following such event or condition is to elect to convert such Indebtedness into Qualified Equity Interests (and cash in lieu of fractional shares) </w:t>
      </w:r>
      <w:r>
        <w:rPr>
          <w:rFonts w:ascii="Times New Roman" w:cs="Times New Roman" w:eastAsia="Times New Roman" w:hAnsi="Times New Roman"/>
          <w:sz w:val="18"/>
          <w:szCs w:val="18"/>
          <w:u w:val="single" w:color="auto"/>
          <w:color w:val="0000FF"/>
        </w:rPr>
        <w:t>or as otherwise permitted under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Agreement, (iv) or any conversion or exchange of any Permitted Convertible Indebtedness and any conversion or exchange trigger that results in such Permitted Convertible Indebtedness becoming convertible or exchangeable, as applicable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further that this paragraph (h) shall not apply to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such failure that (x) is remedied by the Borrower or any applicable Subsidiary or (y) waived (including in the form of amendment) by the requisite holders of the applicable item of Material Indebtedness in either case, prior to acceleration of all the Loans pursuant to this </w:t>
      </w:r>
      <w:r>
        <w:rPr>
          <w:rFonts w:ascii="Times New Roman" w:cs="Times New Roman" w:eastAsia="Times New Roman" w:hAnsi="Times New Roman"/>
          <w:sz w:val="18"/>
          <w:szCs w:val="18"/>
          <w:u w:val="single" w:color="auto"/>
          <w:color w:val="000000"/>
        </w:rPr>
        <w:t>Section 7.01</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-539750</wp:posOffset>
            </wp:positionV>
            <wp:extent cx="163766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6376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-402590</wp:posOffset>
            </wp:positionV>
            <wp:extent cx="68580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-265430</wp:posOffset>
            </wp:positionV>
            <wp:extent cx="408051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297" w:name="page298"/>
    <w:bookmarkEnd w:id="297"/>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an involuntary proceeding shall be commenced or an involuntary petition shall be filed seeking (i) liquidation, reorganization or other relief in respect of a Loan Party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 Loan Party or any Subsidiary or for a substantial part of its assets, and, in any such case, such proceeding or petition shall continue undismissed or unstayed for sixty (60) days or an order or decree approving or ordering any of the foregoing shall be entered;</w:t>
      </w:r>
    </w:p>
    <w:p>
      <w:pPr>
        <w:spacing w:after="0" w:line="183"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(j)  a Loan Party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(iii) apply for or consent to the appointment of a receiver, trustee, custodian, sequestrator, conservator or similar official for a Loan Party or any Subsidiary or for a substantial part of its assets, (iv) file an answer admitting the material allegations of a petition filed against it in any such proceeding, (v) make a general assignment for the benefit of creditors or (vi) take any formal action for the purpose of effecting any of the foregoing;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the Borrower or any Subsidiary shall become unable, admit in writing its inability or fail generally to pay its debts as they become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(l)  one or more judgments for the payment of money (to the extent not paid or covered by insurance provided by a carrier that has a credit rating of at least “A” by A.M. Best Company, Inc. and has not denied or disputed coverage) in an aggregate amount in excess of $10,000,000 shall be rendered against a Loan Party, or any combination thereof and the same shall remain unpaid or undischarged for a period of thirty (30) consecutive days during which execution shall not be effectively stayed, or any action shall be legally taken by a judgment creditor to attach or levy upon any assets of the Borrower or any Subsidiary to enforce any such judgment;</w:t>
      </w:r>
    </w:p>
    <w:p>
      <w:pPr>
        <w:spacing w:after="0" w:line="18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(m)  an ERISA Event shall have occurred that, in the opinion of the Required Lenders, when taken together with all other ERISA Events that have occurred, could reasonably be expected to result in liability of the Borrower and the Subsidiaries in an aggregate amount exceeding $10,000,000 for all periods;</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(n)  any Lien purported to be created under any Security Document for any reason (other than pursuant to the terms thereof including as a result of a transaction permitted under this Agreement) shall cease to be, or shall be asserted by any Loan Party not to be, a valid and perfected (if and to the extent required to be perfected under the Loan Documents) Lien on any material portion of the Collateral with the priority required by the applicable Security Document, except (i) as a result of the sale or other disposition of the applicable Collateral in a transaction permitted under the Loan Documents or (ii) as a result of the Administrative Agent’s failure to maintain possession of any stock certificates, promissory notes or other instruments delivered to it under the Collateral Agreement;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any Loan Document shall for any reason be asserted by any Loan Party not to be a legal, valid and binding obligation of any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(p)  the Guarantees of the Obligations by the Borrower and the Subsidiary Loan Parties pursuant to the Collateral Agreement shall cease to be in full force and effect (other than in accordance with the terms of the Loan Documents) or shall be asserted by the Borrower or any Subsidiary Loan Party not to be in effect or not to be legal, valid and binding obligations;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298" w:name="page299"/>
    <w:bookmarkEnd w:id="298"/>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  any Subordinated Indebtedness or any Guarantees thereof shall cease, for any reason, to be validly subordinated to the Obligations or the obligations of the Borrower and the Subsidiary Loan Parties in respect of their Guarantees under the Collateral Agreement, as applicable, or any Loan Party or the holders of at least 25% in aggregate principal amount of any Subordinated Indebtedness shall so assert;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(r)   a Change of Control shall occur;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   any Material Regulatory Liability shall occur;</w:t>
      </w:r>
    </w:p>
    <w:p>
      <w:pPr>
        <w:spacing w:after="0" w:line="225"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(t)  any Registration shall be terminated, forfeited or revoked or shall fail to be renewed for any reason other than Borrower’s reasonable determination, in consultation with the Administrative Agent, that such Registration is no longer required for its ongoing operations, or shall be modified in a manner materially adverse to the Borrower and its Subsidiaries;</w:t>
      </w:r>
    </w:p>
    <w:p>
      <w:pPr>
        <w:spacing w:after="0" w:line="176" w:lineRule="exact"/>
        <w:rPr>
          <w:sz w:val="20"/>
          <w:szCs w:val="20"/>
          <w:color w:val="auto"/>
        </w:rPr>
      </w:pPr>
    </w:p>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(u)  any writ, judgment, warrant of attachment, execution or similar process shall be issued or levied against a substantial or material part of a Loan Party’s properties, and such writ, judgment, warrant of attachment, execution or similar process shall not be released, vacated or fully bonded within thirty (30) days after commencement, filing or levy; </w:t>
      </w:r>
      <w:r>
        <w:rPr>
          <w:rFonts w:ascii="Times New Roman" w:cs="Times New Roman" w:eastAsia="Times New Roman" w:hAnsi="Times New Roman"/>
          <w:sz w:val="18"/>
          <w:szCs w:val="18"/>
          <w:color w:val="FF0000"/>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-90170</wp:posOffset>
            </wp:positionV>
            <wp:extent cx="1238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56"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(v)  a Loan Party shall be enjoined, restrained or in any way prevented by any Governmental Authority from conducting any material part of its business for a material period of time; a Loan Party shall suffer the loss, revocation or termination of any material license, permit, lease or agreement necessary to its business; or any material property of a Loan Party shall be taken or impaired through condemnation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5824855</wp:posOffset>
            </wp:positionH>
            <wp:positionV relativeFrom="paragraph">
              <wp:posOffset>-38735</wp:posOffset>
            </wp:positionV>
            <wp:extent cx="2857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-4445</wp:posOffset>
            </wp:positionV>
            <wp:extent cx="15430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5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   any “event of default” shall have occurred and be continuing under any Permitted Convertible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52292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205"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Section 7.01(h) or (i)), and at any time thereafter during the continuance of such event, the Administrative Agent (i) may, and at the request of the Required Revolving Lenders or the Required Lenders shall, terminate the Revolving Commitments in whole or in part, and thereupon such Revolving Commitments so reduced shall terminate immediately, and</w:t>
      </w:r>
    </w:p>
    <w:p>
      <w:pPr>
        <w:spacing w:after="0" w:line="1" w:lineRule="exact"/>
        <w:rPr>
          <w:sz w:val="20"/>
          <w:szCs w:val="20"/>
          <w:color w:val="auto"/>
        </w:rPr>
      </w:pPr>
    </w:p>
    <w:p>
      <w:pPr>
        <w:ind w:left="4" w:right="40" w:hanging="4"/>
        <w:spacing w:after="0" w:line="251" w:lineRule="auto"/>
        <w:tabs>
          <w:tab w:leader="none" w:pos="26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and at the direction of the Required Lenders shall, declare the Commitments (if not theretofore terminated) and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(including any Make-Whole/Prepayment Fee Amount),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18"/>
          <w:szCs w:val="18"/>
          <w:u w:val="single" w:color="auto"/>
          <w:color w:val="auto"/>
        </w:rPr>
        <w:t>Sections 7.01(i)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the Commitments (if not theretofore terminated)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actions may not be taken in the case of an Event of Default pursuant to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as a result of non-compliance with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until the ability to exercise the Revenue Cure Right under </w:t>
      </w:r>
      <w:r>
        <w:rPr>
          <w:rFonts w:ascii="Times New Roman" w:cs="Times New Roman" w:eastAsia="Times New Roman" w:hAnsi="Times New Roman"/>
          <w:sz w:val="18"/>
          <w:szCs w:val="18"/>
          <w:u w:val="single" w:color="auto"/>
          <w:color w:val="auto"/>
        </w:rPr>
        <w:t>Section 7.02(a)</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4"/>
          </w:cols>
          <w:pgMar w:left="436" w:top="270" w:right="459" w:bottom="1440" w:gutter="0" w:footer="0" w:header="0"/>
        </w:sectPr>
      </w:pPr>
    </w:p>
    <w:bookmarkStart w:id="299" w:name="page300"/>
    <w:bookmarkEnd w:id="299"/>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has expired (but may be taken as soon as the ability to exercise the Revenue Cure Right has expired or to the extent that the Borrower has confirmed in writing that it does not intend to provide the Revenue Cure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foregoing actions may not be taken in the case of an Event of Default pursuant to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as a result of non-compliance with </w:t>
      </w:r>
      <w:r>
        <w:rPr>
          <w:rFonts w:ascii="Times New Roman" w:cs="Times New Roman" w:eastAsia="Times New Roman" w:hAnsi="Times New Roman"/>
          <w:sz w:val="18"/>
          <w:szCs w:val="18"/>
          <w:u w:val="single" w:color="auto"/>
          <w:color w:val="auto"/>
        </w:rPr>
        <w:t>Section 6.12(c)</w:t>
      </w:r>
      <w:r>
        <w:rPr>
          <w:rFonts w:ascii="Times New Roman" w:cs="Times New Roman" w:eastAsia="Times New Roman" w:hAnsi="Times New Roman"/>
          <w:sz w:val="18"/>
          <w:szCs w:val="18"/>
          <w:color w:val="auto"/>
        </w:rPr>
        <w:t xml:space="preserve">, until the ability to exercise the Leverage Cure Right under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has expired (but may be taken as soon as the ability to exercise the Leverage Cure Right has expired or to the extent that the Borrower has confirmed in writing that it does not intend to provide the Leverage Cure Amount).</w:t>
      </w:r>
    </w:p>
    <w:p>
      <w:pPr>
        <w:spacing w:after="0" w:line="183"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7.02. </w:t>
      </w:r>
      <w:r>
        <w:rPr>
          <w:sz w:val="20"/>
          <w:szCs w:val="20"/>
          <w:color w:val="auto"/>
        </w:rPr>
        <w:tab/>
      </w:r>
      <w:r>
        <w:rPr>
          <w:rFonts w:ascii="Times New Roman" w:cs="Times New Roman" w:eastAsia="Times New Roman" w:hAnsi="Times New Roman"/>
          <w:sz w:val="18"/>
          <w:szCs w:val="18"/>
          <w:u w:val="single" w:color="auto"/>
          <w:color w:val="auto"/>
        </w:rPr>
        <w:t>Right to Cure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Minimum Revenue Financial Performance Covenant</w:t>
      </w:r>
      <w:r>
        <w:rPr>
          <w:rFonts w:ascii="Times New Roman" w:cs="Times New Roman" w:eastAsia="Times New Roman" w:hAnsi="Times New Roman"/>
          <w:sz w:val="17"/>
          <w:szCs w:val="17"/>
          <w:color w:val="auto"/>
        </w:rPr>
        <w:t xml:space="preserve">. Notwithstanding anything to the contrary contained in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in the event that the Borrower fails to comply with the requirements of </w:t>
      </w:r>
      <w:r>
        <w:rPr>
          <w:rFonts w:ascii="Times New Roman" w:cs="Times New Roman" w:eastAsia="Times New Roman" w:hAnsi="Times New Roman"/>
          <w:sz w:val="17"/>
          <w:szCs w:val="17"/>
          <w:u w:val="single" w:color="auto"/>
          <w:color w:val="auto"/>
        </w:rPr>
        <w:t>Section 6.12(b)</w:t>
      </w:r>
      <w:r>
        <w:rPr>
          <w:rFonts w:ascii="Times New Roman" w:cs="Times New Roman" w:eastAsia="Times New Roman" w:hAnsi="Times New Roman"/>
          <w:sz w:val="17"/>
          <w:szCs w:val="17"/>
          <w:color w:val="auto"/>
        </w:rPr>
        <w:t xml:space="preserve"> as of the end of any relevant fiscal quarter, the Borrower shall have the right (the “</w:t>
      </w:r>
      <w:r>
        <w:rPr>
          <w:rFonts w:ascii="Times New Roman" w:cs="Times New Roman" w:eastAsia="Times New Roman" w:hAnsi="Times New Roman"/>
          <w:sz w:val="17"/>
          <w:szCs w:val="17"/>
          <w:u w:val="single" w:color="auto"/>
          <w:color w:val="auto"/>
        </w:rPr>
        <w:t>Revenue Cure Right</w:t>
      </w:r>
      <w:r>
        <w:rPr>
          <w:rFonts w:ascii="Times New Roman" w:cs="Times New Roman" w:eastAsia="Times New Roman" w:hAnsi="Times New Roman"/>
          <w:sz w:val="17"/>
          <w:szCs w:val="17"/>
          <w:color w:val="auto"/>
        </w:rPr>
        <w:t xml:space="preserve">”) (at any time during such fiscal quarter or thereafter until the date that is ten (10) Business Days after the date on which the financial statements for such quarter were required to have been delivered in accordance with </w:t>
      </w:r>
      <w:r>
        <w:rPr>
          <w:rFonts w:ascii="Times New Roman" w:cs="Times New Roman" w:eastAsia="Times New Roman" w:hAnsi="Times New Roman"/>
          <w:sz w:val="17"/>
          <w:szCs w:val="17"/>
          <w:u w:val="single" w:color="auto"/>
          <w:color w:val="auto"/>
        </w:rPr>
        <w:t>Section 5.01(b)</w:t>
      </w:r>
      <w:r>
        <w:rPr>
          <w:rFonts w:ascii="Times New Roman" w:cs="Times New Roman" w:eastAsia="Times New Roman" w:hAnsi="Times New Roman"/>
          <w:sz w:val="17"/>
          <w:szCs w:val="17"/>
          <w:color w:val="auto"/>
        </w:rPr>
        <w:t>), to issue Equity Interests for cash or otherwise receive cash contributions to its equity for such Equity Interests (the “</w:t>
      </w:r>
      <w:r>
        <w:rPr>
          <w:rFonts w:ascii="Times New Roman" w:cs="Times New Roman" w:eastAsia="Times New Roman" w:hAnsi="Times New Roman"/>
          <w:sz w:val="17"/>
          <w:szCs w:val="17"/>
          <w:u w:val="single" w:color="auto"/>
          <w:color w:val="auto"/>
        </w:rPr>
        <w:t>Revenue Cure Amount</w:t>
      </w:r>
      <w:r>
        <w:rPr>
          <w:rFonts w:ascii="Times New Roman" w:cs="Times New Roman" w:eastAsia="Times New Roman" w:hAnsi="Times New Roman"/>
          <w:sz w:val="17"/>
          <w:szCs w:val="17"/>
          <w:color w:val="auto"/>
        </w:rPr>
        <w:t xml:space="preserve">”), the proceeds of which shall be required to prepay outstanding Loans in accordance with </w:t>
      </w:r>
      <w:r>
        <w:rPr>
          <w:rFonts w:ascii="Times New Roman" w:cs="Times New Roman" w:eastAsia="Times New Roman" w:hAnsi="Times New Roman"/>
          <w:sz w:val="17"/>
          <w:szCs w:val="17"/>
          <w:u w:val="single" w:color="auto"/>
          <w:color w:val="auto"/>
        </w:rPr>
        <w:t>Section 2.11(d)</w:t>
      </w:r>
      <w:r>
        <w:rPr>
          <w:rFonts w:ascii="Times New Roman" w:cs="Times New Roman" w:eastAsia="Times New Roman" w:hAnsi="Times New Roman"/>
          <w:sz w:val="17"/>
          <w:szCs w:val="17"/>
          <w:color w:val="auto"/>
        </w:rPr>
        <w:t xml:space="preserve">, and thereupon the Borrower’s compliance with </w:t>
      </w:r>
      <w:r>
        <w:rPr>
          <w:rFonts w:ascii="Times New Roman" w:cs="Times New Roman" w:eastAsia="Times New Roman" w:hAnsi="Times New Roman"/>
          <w:sz w:val="17"/>
          <w:szCs w:val="17"/>
          <w:u w:val="single" w:color="auto"/>
          <w:color w:val="auto"/>
        </w:rPr>
        <w:t>Section 6.12(b)</w:t>
      </w:r>
      <w:r>
        <w:rPr>
          <w:rFonts w:ascii="Times New Roman" w:cs="Times New Roman" w:eastAsia="Times New Roman" w:hAnsi="Times New Roman"/>
          <w:sz w:val="17"/>
          <w:szCs w:val="17"/>
          <w:color w:val="auto"/>
        </w:rPr>
        <w:t xml:space="preserve"> shall be recalculated giving effect to the following pro forma adjustments: (i) Revenue shall be increased, solely for the purposes of determining compliance with</w:t>
      </w:r>
    </w:p>
    <w:p>
      <w:pPr>
        <w:spacing w:after="0" w:line="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including determining compliance with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as of the end of such fiscal quarter and applicable subsequent periods that include such fiscal quarter by an amount equal to the Revenue Cure Amount and (ii) if, after giving effect to the foregoing recalculations, the requirements of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shall be satisfied, then the requirements of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shall be deemed satisfied as of the end of the relevant fiscal quarter with the same effect as though there had been no failure to comply therewith at such date, and the applicable breach or default of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that had occurred shall be deemed cured for the purposes of this Agreement. Notwithstanding anything herein to the contrary, (I) during the term of this Agreement, the Revenue Cure Right shall not be exercised more than two (2) times, (II) the Revenue Cure Right shall not be exercised in consecutive fiscal quarters, (III) in each four (4) fiscal quarter period there shall be a period of at least two (2) fiscal quarters in which the Revenue Cure Right is not exercised, (IV) the Revenue Cure Amount shall be no greater than the amount required for purposes of complying with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for the applicable fiscal quarter and (V) no Event of Default may arise under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until the earlier of (x)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day on which the relevant financial statements are required to be delivered (unless the Revenue Cure Right has been exercised two (2) times in the applicable four (4) consecutive fiscal quarter period), and then only to the extent the Revenue Cure Amount has not been received on or prior to such date and (y) the date (if any) on which the Borrower delivers notice to the Administrative Agent that the Revenue Cure Right with respect to such breach will not be exercised.</w:t>
      </w:r>
    </w:p>
    <w:p>
      <w:pPr>
        <w:spacing w:after="0" w:line="200" w:lineRule="exact"/>
        <w:rPr>
          <w:sz w:val="20"/>
          <w:szCs w:val="20"/>
          <w:color w:val="auto"/>
        </w:rPr>
      </w:pPr>
    </w:p>
    <w:p>
      <w:pPr>
        <w:ind w:right="2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Maximum First Lien Leverage Ratio</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in the event that the Borrower fails to comply with the requirements of </w:t>
      </w:r>
      <w:r>
        <w:rPr>
          <w:rFonts w:ascii="Times New Roman" w:cs="Times New Roman" w:eastAsia="Times New Roman" w:hAnsi="Times New Roman"/>
          <w:sz w:val="18"/>
          <w:szCs w:val="18"/>
          <w:u w:val="single" w:color="auto"/>
          <w:color w:val="auto"/>
        </w:rPr>
        <w:t>Section 6.12(c)</w:t>
      </w:r>
      <w:r>
        <w:rPr>
          <w:rFonts w:ascii="Times New Roman" w:cs="Times New Roman" w:eastAsia="Times New Roman" w:hAnsi="Times New Roman"/>
          <w:sz w:val="18"/>
          <w:szCs w:val="18"/>
          <w:color w:val="auto"/>
        </w:rPr>
        <w:t xml:space="preserve"> as of the end of any relevant fiscal quarter, the Borrower shall have the right (the “</w:t>
      </w:r>
      <w:r>
        <w:rPr>
          <w:rFonts w:ascii="Times New Roman" w:cs="Times New Roman" w:eastAsia="Times New Roman" w:hAnsi="Times New Roman"/>
          <w:sz w:val="18"/>
          <w:szCs w:val="18"/>
          <w:u w:val="single" w:color="auto"/>
          <w:color w:val="auto"/>
        </w:rPr>
        <w:t>Leverage Cure Right</w:t>
      </w:r>
      <w:r>
        <w:rPr>
          <w:rFonts w:ascii="Times New Roman" w:cs="Times New Roman" w:eastAsia="Times New Roman" w:hAnsi="Times New Roman"/>
          <w:sz w:val="18"/>
          <w:szCs w:val="18"/>
          <w:color w:val="auto"/>
        </w:rPr>
        <w:t xml:space="preserve">”) (at any time during such fiscal quarter or thereafter until the date that is ten (10) Business Days after the date on which the financial statements for such quarter were required to have been delivered in accordance with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to issue Equity Interests for cash or otherwise receive cash contributions to its equity for such Equity Interests (the “</w:t>
      </w:r>
      <w:r>
        <w:rPr>
          <w:rFonts w:ascii="Times New Roman" w:cs="Times New Roman" w:eastAsia="Times New Roman" w:hAnsi="Times New Roman"/>
          <w:sz w:val="18"/>
          <w:szCs w:val="18"/>
          <w:u w:val="single" w:color="auto"/>
          <w:color w:val="auto"/>
        </w:rPr>
        <w:t>Leverage Cure Amount</w:t>
      </w:r>
      <w:r>
        <w:rPr>
          <w:rFonts w:ascii="Times New Roman" w:cs="Times New Roman" w:eastAsia="Times New Roman" w:hAnsi="Times New Roman"/>
          <w:sz w:val="18"/>
          <w:szCs w:val="18"/>
          <w:color w:val="auto"/>
        </w:rPr>
        <w:t xml:space="preserve">”), the proceeds of which shall be required to prepay outstanding Loans in accordance with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and thereupon the Borrower’s compliance with </w:t>
      </w:r>
      <w:r>
        <w:rPr>
          <w:rFonts w:ascii="Times New Roman" w:cs="Times New Roman" w:eastAsia="Times New Roman" w:hAnsi="Times New Roman"/>
          <w:sz w:val="18"/>
          <w:szCs w:val="18"/>
          <w:u w:val="single" w:color="auto"/>
          <w:color w:val="auto"/>
        </w:rPr>
        <w:t>Section 6.12(c)</w:t>
      </w:r>
      <w:r>
        <w:rPr>
          <w:rFonts w:ascii="Times New Roman" w:cs="Times New Roman" w:eastAsia="Times New Roman" w:hAnsi="Times New Roman"/>
          <w:sz w:val="18"/>
          <w:szCs w:val="18"/>
          <w:color w:val="auto"/>
        </w:rPr>
        <w:t xml:space="preserve"> shall be recalculated giving effect to the following pro forma adjustments: (i) an amount equal to the Leverage Cure Amount shall be included in the calculation of Consolidated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70" w:right="459" w:bottom="1440" w:gutter="0" w:footer="0" w:header="0"/>
        </w:sectPr>
      </w:pPr>
    </w:p>
    <w:bookmarkStart w:id="300" w:name="page301"/>
    <w:bookmarkEnd w:id="300"/>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Adjusted EBITDA solely for purposes of determining compliance with </w:t>
      </w:r>
      <w:r>
        <w:rPr>
          <w:rFonts w:ascii="Times New Roman" w:cs="Times New Roman" w:eastAsia="Times New Roman" w:hAnsi="Times New Roman"/>
          <w:sz w:val="18"/>
          <w:szCs w:val="18"/>
          <w:u w:val="single" w:color="auto"/>
          <w:color w:val="auto"/>
        </w:rPr>
        <w:t>Section 6.12(c)</w:t>
      </w:r>
      <w:r>
        <w:rPr>
          <w:rFonts w:ascii="Times New Roman" w:cs="Times New Roman" w:eastAsia="Times New Roman" w:hAnsi="Times New Roman"/>
          <w:sz w:val="18"/>
          <w:szCs w:val="18"/>
          <w:color w:val="auto"/>
        </w:rPr>
        <w:t xml:space="preserve">, including determining compliance with </w:t>
      </w:r>
      <w:r>
        <w:rPr>
          <w:rFonts w:ascii="Times New Roman" w:cs="Times New Roman" w:eastAsia="Times New Roman" w:hAnsi="Times New Roman"/>
          <w:sz w:val="18"/>
          <w:szCs w:val="18"/>
          <w:u w:val="single" w:color="auto"/>
          <w:color w:val="auto"/>
        </w:rPr>
        <w:t>Section 6.12(c)</w:t>
      </w:r>
      <w:r>
        <w:rPr>
          <w:rFonts w:ascii="Times New Roman" w:cs="Times New Roman" w:eastAsia="Times New Roman" w:hAnsi="Times New Roman"/>
          <w:sz w:val="18"/>
          <w:szCs w:val="18"/>
          <w:color w:val="auto"/>
        </w:rPr>
        <w:t xml:space="preserve"> as of the end of such fiscal quarter and applicable subsequent periods that include such fiscal quarter by an amount equal to the Leverage Cure Amount and (ii) if, after giving effect to the foregoing recalculations, the requirements of </w:t>
      </w:r>
      <w:r>
        <w:rPr>
          <w:rFonts w:ascii="Times New Roman" w:cs="Times New Roman" w:eastAsia="Times New Roman" w:hAnsi="Times New Roman"/>
          <w:sz w:val="18"/>
          <w:szCs w:val="18"/>
          <w:u w:val="single" w:color="auto"/>
          <w:color w:val="auto"/>
        </w:rPr>
        <w:t>Section 6.12(c)</w:t>
      </w:r>
      <w:r>
        <w:rPr>
          <w:rFonts w:ascii="Times New Roman" w:cs="Times New Roman" w:eastAsia="Times New Roman" w:hAnsi="Times New Roman"/>
          <w:sz w:val="18"/>
          <w:szCs w:val="18"/>
          <w:color w:val="auto"/>
        </w:rPr>
        <w:t xml:space="preserve"> shall be satisfied, then the requirements of </w:t>
      </w:r>
      <w:r>
        <w:rPr>
          <w:rFonts w:ascii="Times New Roman" w:cs="Times New Roman" w:eastAsia="Times New Roman" w:hAnsi="Times New Roman"/>
          <w:sz w:val="18"/>
          <w:szCs w:val="18"/>
          <w:u w:val="single" w:color="auto"/>
          <w:color w:val="auto"/>
        </w:rPr>
        <w:t>Section 6.12(c)</w:t>
      </w:r>
      <w:r>
        <w:rPr>
          <w:rFonts w:ascii="Times New Roman" w:cs="Times New Roman" w:eastAsia="Times New Roman" w:hAnsi="Times New Roman"/>
          <w:sz w:val="18"/>
          <w:szCs w:val="18"/>
          <w:color w:val="auto"/>
        </w:rPr>
        <w:t xml:space="preserve"> shall be deemed satisfied as of the end of the relevant fiscal quarter with the same effect as though there had been no failure to comply therewith at such date, and the applicable breach or default of </w:t>
      </w:r>
      <w:r>
        <w:rPr>
          <w:rFonts w:ascii="Times New Roman" w:cs="Times New Roman" w:eastAsia="Times New Roman" w:hAnsi="Times New Roman"/>
          <w:sz w:val="18"/>
          <w:szCs w:val="18"/>
          <w:u w:val="single" w:color="auto"/>
          <w:color w:val="auto"/>
        </w:rPr>
        <w:t>Section 6.12(c)</w:t>
      </w:r>
      <w:r>
        <w:rPr>
          <w:rFonts w:ascii="Times New Roman" w:cs="Times New Roman" w:eastAsia="Times New Roman" w:hAnsi="Times New Roman"/>
          <w:sz w:val="18"/>
          <w:szCs w:val="18"/>
          <w:color w:val="auto"/>
        </w:rPr>
        <w:t xml:space="preserve"> that had occurred shall be deemed cured for the purposes of this Agreement. Notwithstanding anything herein to the contrary, (I) during the term of this Agreement, the Leverage Cure Right shall not be exercised more than two (2) times, (II) the Leverage Cure Right shall not be exercised in consecutive fiscal quarters, (III) in each four (4) fiscal quarter period there shall be a period of at least two</w:t>
      </w:r>
    </w:p>
    <w:p>
      <w:pPr>
        <w:spacing w:after="0" w:line="3" w:lineRule="exact"/>
        <w:rPr>
          <w:sz w:val="20"/>
          <w:szCs w:val="20"/>
          <w:color w:val="auto"/>
        </w:rPr>
      </w:pPr>
    </w:p>
    <w:p>
      <w:pPr>
        <w:ind w:left="4" w:right="220" w:hanging="4"/>
        <w:spacing w:after="0" w:line="265" w:lineRule="auto"/>
        <w:tabs>
          <w:tab w:leader="none" w:pos="259"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fiscal quarters in which the Leverage Cure Right is not exercised, (IV) the Leverage Cure Amount shall be no greater than the amount required for purposes of complying with </w:t>
      </w:r>
      <w:r>
        <w:rPr>
          <w:rFonts w:ascii="Times New Roman" w:cs="Times New Roman" w:eastAsia="Times New Roman" w:hAnsi="Times New Roman"/>
          <w:sz w:val="17"/>
          <w:szCs w:val="17"/>
          <w:u w:val="single" w:color="auto"/>
          <w:color w:val="auto"/>
        </w:rPr>
        <w:t>Section 6.12(c)</w:t>
      </w:r>
      <w:r>
        <w:rPr>
          <w:rFonts w:ascii="Times New Roman" w:cs="Times New Roman" w:eastAsia="Times New Roman" w:hAnsi="Times New Roman"/>
          <w:sz w:val="17"/>
          <w:szCs w:val="17"/>
          <w:color w:val="auto"/>
        </w:rPr>
        <w:t xml:space="preserve"> for the applicable fiscal quarter, (V) the Leverage Cure Amount will be disregarded for purposes of the calculation of Consolidated Adjusted EBITDA for all other purposes and (VI) no Event of Default may arise under </w:t>
      </w:r>
      <w:r>
        <w:rPr>
          <w:rFonts w:ascii="Times New Roman" w:cs="Times New Roman" w:eastAsia="Times New Roman" w:hAnsi="Times New Roman"/>
          <w:sz w:val="17"/>
          <w:szCs w:val="17"/>
          <w:u w:val="single" w:color="auto"/>
          <w:color w:val="auto"/>
        </w:rPr>
        <w:t>Section 6.12(c)</w:t>
      </w:r>
      <w:r>
        <w:rPr>
          <w:rFonts w:ascii="Times New Roman" w:cs="Times New Roman" w:eastAsia="Times New Roman" w:hAnsi="Times New Roman"/>
          <w:sz w:val="17"/>
          <w:szCs w:val="17"/>
          <w:color w:val="auto"/>
        </w:rPr>
        <w:t xml:space="preserve"> until the earlier of</w:t>
      </w:r>
    </w:p>
    <w:p>
      <w:pPr>
        <w:ind w:left="4" w:right="100"/>
        <w:spacing w:after="0" w:line="22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day on which the relevant financial statements are required to be delivered (unless the Leverage Cure Right has been exercised two (2) times in the applicable four (4) consecutive fiscal quarter period), and then only to the extent the Leverage Cure Amount has not been received on or prior to such date and (y) the date (if any) on which the Borrower delivers notice to the Administrative Agent that the Leverage Cure Right with respect to such breach will not be exercised.</w:t>
      </w:r>
    </w:p>
    <w:p>
      <w:pPr>
        <w:spacing w:after="0" w:line="200" w:lineRule="exact"/>
        <w:rPr>
          <w:sz w:val="20"/>
          <w:szCs w:val="20"/>
          <w:color w:val="auto"/>
        </w:rPr>
      </w:pPr>
    </w:p>
    <w:p>
      <w:pPr>
        <w:spacing w:after="0" w:line="2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Agents</w:t>
      </w:r>
    </w:p>
    <w:p>
      <w:pPr>
        <w:spacing w:after="0" w:line="225" w:lineRule="exact"/>
        <w:rPr>
          <w:sz w:val="20"/>
          <w:szCs w:val="20"/>
          <w:color w:val="auto"/>
        </w:rPr>
      </w:pPr>
    </w:p>
    <w:p>
      <w:pPr>
        <w:ind w:left="444"/>
        <w:spacing w:after="0"/>
        <w:tabs>
          <w:tab w:leader="none" w:pos="1804" w:val="left"/>
        </w:tabs>
        <w:rPr>
          <w:sz w:val="20"/>
          <w:szCs w:val="20"/>
          <w:color w:val="auto"/>
        </w:rPr>
      </w:pPr>
      <w:r>
        <w:rPr>
          <w:rFonts w:ascii="Times New Roman" w:cs="Times New Roman" w:eastAsia="Times New Roman" w:hAnsi="Times New Roman"/>
          <w:sz w:val="18"/>
          <w:szCs w:val="18"/>
          <w:color w:val="auto"/>
        </w:rPr>
        <w:t>SECTION 8.01. </w:t>
      </w:r>
      <w:r>
        <w:rPr>
          <w:sz w:val="20"/>
          <w:szCs w:val="20"/>
          <w:color w:val="auto"/>
        </w:rPr>
        <w:tab/>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Administrative Agent and Collateral Agent</w:t>
      </w:r>
      <w:r>
        <w:rPr>
          <w:rFonts w:ascii="Times New Roman" w:cs="Times New Roman" w:eastAsia="Times New Roman" w:hAnsi="Times New Roman"/>
          <w:sz w:val="18"/>
          <w:szCs w:val="18"/>
          <w:color w:val="auto"/>
        </w:rPr>
        <w:t xml:space="preserve">. Each Lender hereby irrevocably designates and appoints Ares (together with any successor Administrative Agent or Collateral Agent, as applicable, pursuant to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as the Administrative Agent and the Collateral Agent of such Lender under this Agreement and the other Loan Documents (and Ares hereby accepts such appointment), and each such Lender irrevocably authorizes Ares, in its capacity as the Administrative Agent and the Collateral Agent, as applicable, to take such action on its behalf under the provisions of this Agreement and the other Loan Documents and to exercise such powers and perform such duties as are expressly delegated to the Administrative Agent and the Collateral Agent, as applicable, by the terms of this Agreement and the other Loan Documents, together with such other powers as are reasonably incidental thereto. The Lenders hereby authorize the Administrative Agent to enter into any intercreditor agreement or arrangement permitted under this Agreement and any such intercreditor agreement or arrangement is binding upon the Lenders. Notwithstanding any provision to the contrary elsewhere in this Agreement, each of the Administrative Agent and the Collateral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or the Collateral Agent, as applicable.</w:t>
      </w:r>
    </w:p>
    <w:p>
      <w:pPr>
        <w:spacing w:after="0" w:line="190"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Revolving Agent</w:t>
      </w:r>
      <w:r>
        <w:rPr>
          <w:rFonts w:ascii="Times New Roman" w:cs="Times New Roman" w:eastAsia="Times New Roman" w:hAnsi="Times New Roman"/>
          <w:sz w:val="18"/>
          <w:szCs w:val="18"/>
          <w:color w:val="auto"/>
        </w:rPr>
        <w:t xml:space="preserve">. Each Revolving Lender hereby irrevocably designates and appoints ACF (together with any successor Revolving Agent pursuant to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as the Revolving Agent of such Revolving Lender under this Agreement and the other Loan Documents, and each such Revolving Lender irrevocably authorizes ACF, in its capacity as the Revolving Agent, to take such action on its behalf under the provisions of this Agreement and the other Loan Documents and to exercise such</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24"/>
          </w:cols>
          <w:pgMar w:left="436" w:top="270" w:right="439" w:bottom="1440" w:gutter="0" w:footer="0" w:header="0"/>
        </w:sectPr>
      </w:pPr>
    </w:p>
    <w:bookmarkStart w:id="301" w:name="page302"/>
    <w:bookmarkEnd w:id="301"/>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powers and perform such duties as are expressly delegated to the Revolving Agent by the terms of this Agreement and the other Loan Documents, together with such other powers as are reasonably incidental thereto. Notwithstanding any provision to the contrary elsewhere in this Agreement, the Revolving Agent shall not have any duties or responsibilities, except those expressly set forth herein, or any fiduciary relationship with any Revolving Lender, and no implied covenants, functions, responsibilities, duties, obligations or liabilities shall be read into this Agreement or any other Loan Document or otherwise exist against the Revolving Agent.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xml:space="preserve">. Each of the Administrative Agent, the Collateral Agent and the Revolving Agent may execute any of its duties under this Agreement and the other Loan Documents and exercise its respective rights and powers hereunder or under any other Loan Document by or through agents, sub-agents or attorneys-in-fact and shall be entitled to advice of counsel concerning all matters pertaining to such duties. Each of the Administrative Agent, the Collateral Agent and the Revolving Agent shall not be responsible for the negligence or misconduct of any of its respective agents, sub-agents or attorneys in-fact selected by it with reasonable care. Each of the Administrative Agent, the Collateral Agent and the Revolving Agent and its respective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apply to any such sub-agent of the Administrative Agent, the Collateral Agent and the Revolving Agent, as applicable, and to the Related Parties of the applicable Agent and any such sub-agent, and shall apply to each of the Administrative Agent’s, the Collateral Agent’s and the Revolving Agent’s, as applicable, respective activities in connection with the syndication of the credit facilities provided for herein as well as activities as Administrative Agent, the Collateral Agent and the Revolving Agent, as applicable.</w:t>
      </w:r>
    </w:p>
    <w:p>
      <w:pPr>
        <w:spacing w:after="0" w:line="194"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8.03.  </w:t>
      </w:r>
      <w:r>
        <w:rPr>
          <w:rFonts w:ascii="Times New Roman" w:cs="Times New Roman" w:eastAsia="Times New Roman" w:hAnsi="Times New Roman"/>
          <w:sz w:val="17"/>
          <w:szCs w:val="17"/>
          <w:u w:val="single" w:color="auto"/>
          <w:color w:val="auto"/>
        </w:rPr>
        <w:t>Exculpatory Provisions</w:t>
      </w:r>
      <w:r>
        <w:rPr>
          <w:rFonts w:ascii="Times New Roman" w:cs="Times New Roman" w:eastAsia="Times New Roman" w:hAnsi="Times New Roman"/>
          <w:sz w:val="17"/>
          <w:szCs w:val="17"/>
          <w:color w:val="auto"/>
        </w:rPr>
        <w:t xml:space="preserve">. Neither any Agent nor any of their respective officers, directors, employees, agents, advisors,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 The Administrative Agent does not warrant, nor accept responsibility, nor shall the Administrative Agent have any liability with respect to the administration, submission or any other matter related to the rates in the definition of “SOFR,” or “Term SOFR” or with respect to any comparable or successor rate thereto including, without limitation, whether the composition or characteristics of any such alternative, successor or replacement reference rate, as it may or may not be adjusted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will be similar to, or produce the same value or economic equivalence of, Term SOFR.</w:t>
      </w:r>
    </w:p>
    <w:p>
      <w:pPr>
        <w:spacing w:after="0" w:line="184"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 Each Agent shall be entitled to rely, and shall be fully protected in relying, upon any instrument, writing, resolution, notice, consent, certificate, affidavit, letter, telecopy or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70" w:right="459" w:bottom="1440" w:gutter="0" w:footer="0" w:header="0"/>
        </w:sectPr>
      </w:pPr>
    </w:p>
    <w:bookmarkStart w:id="302" w:name="page303"/>
    <w:bookmarkEnd w:id="302"/>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by the Administrative Agent. The Administrative Agent and the Revolving Agent, as applicable, may deem and treat the payee of any Note, as applicable, as the owner thereof for all purposes unless a written notice of assignment, negotiation or transfer thereof shall have been filed with the Administrative Agent or the Revolving Agent. Each of the Administrative Agent, the Collateral Agent and the Revolving Agent shall be fully justified in failing or refusing to take any action under this Agreement or any other Loan Document unless it shall first receive such advice or concurrence of the Required Lenders (and with respect to the Revolving Agent, the Required Revolving Lenders), or, if so specified by this Agreement, all Lenders, as it deems appropriate or it shall first be indemnified to its satisfaction by such Lenders against any and all liability and expense that may be incurred by it by reason of taking or continuing to take any such action. Each of the Administrative Agent, the Collateral Agent and the Revolving Agent shall in all cases be fully protected in acting, or in refraining from acting, under this Agreement and the other Loan Documents in accordance with a request of the Required Lenders (and with respect to the Revolving Agent, the Required Revolving Lenders), or, if so specified by this Agreement, all Lenders, and such request and any action taken or failure to act pursuant thereto shall be binding upon all the Lenders and all future holders of the Loans.</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Revolving Agent and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Revolving Agent and the Lenders.</w:t>
      </w:r>
    </w:p>
    <w:p>
      <w:pPr>
        <w:spacing w:after="0" w:line="19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Non-Reliance on Agents and Other Lenders</w:t>
      </w:r>
      <w:r>
        <w:rPr>
          <w:rFonts w:ascii="Times New Roman" w:cs="Times New Roman" w:eastAsia="Times New Roman" w:hAnsi="Times New Roman"/>
          <w:sz w:val="18"/>
          <w:szCs w:val="18"/>
          <w:color w:val="auto"/>
        </w:rPr>
        <w:t>. Each Lender (and with respect to the Revolving Agent, each Revolving Lender) expressly acknowledges that neither the Agents nor any of their respective officers, directors, employees, agents, advisors,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(and with respect to the Revolving Agent, each Revolving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(and with respect to the Revolving Agent, each Revolving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respective officers, directors, employees, agents, advisors, attorneys-in-fact or affiliates.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303" w:name="page304"/>
    <w:bookmarkEnd w:id="303"/>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Lenders agree to indemnify each Agent and its respective officers, directors, employees, affiliates, agents, advisors and controlling persons (each, an “</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xml:space="preserve">”) (to the extent not reimbursed by the Borrower and without limiting the obligation of the Borrower to do so), ratably according to their respective Aggregate Exposure Percentages in effect on the date on which indemnification is sought under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shall survive the termination of this Agreement, the termination of the Commitments and the payment of the Obligations and all other amounts payable hereunder.</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Individual Capacity of each Agent</w:t>
      </w:r>
      <w:r>
        <w:rPr>
          <w:rFonts w:ascii="Times New Roman" w:cs="Times New Roman" w:eastAsia="Times New Roman" w:hAnsi="Times New Roman"/>
          <w:sz w:val="18"/>
          <w:szCs w:val="18"/>
          <w:color w:val="auto"/>
        </w:rPr>
        <w:t>. Each Agent and its affiliates may make loans to, accept deposits from and generally engage in any kind of business with any Loan Party as though such Agent were not an Agent. With respect to its Commitments or Loans, as applicable, made or renewed by it, each Agent shall have the same rights and powers under this Agreement and the other Loan Documents as any Lender (or, with respect the Revolving Agent, the Revolving Lenders) and may exercise the same as though it were not an Agent, and the terms “Lender” and “Lenders” (or, with respect the Revolving Agent, the terms “Revolving Lender” and “Revolving Lenders”) shall include each Agent in its individual capacity.</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Successor Agents</w:t>
      </w:r>
      <w:r>
        <w:rPr>
          <w:rFonts w:ascii="Times New Roman" w:cs="Times New Roman" w:eastAsia="Times New Roman" w:hAnsi="Times New Roman"/>
          <w:sz w:val="18"/>
          <w:szCs w:val="18"/>
          <w:color w:val="auto"/>
        </w:rPr>
        <w:t xml:space="preserve">. Any Agent may resign upon ten (10) days’ notice to the Lenders (or, with respect to the Revolving Agent, the Revolving Lenders) and the Borrower. If any Agent delivers such notice, then the Required Lenders shall appoint from among the Lenders a successor administrative agent or successor collateral agent, as applicable, for the Lenders and theRequired Revolving Lenders shall appoint from among the Revolving Lenders a successor revolving agent for the Required Lenders, which successor agent shall (unless an Event of Default under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7.01(j)</w:t>
      </w:r>
      <w:r>
        <w:rPr>
          <w:rFonts w:ascii="Times New Roman" w:cs="Times New Roman" w:eastAsia="Times New Roman" w:hAnsi="Times New Roman"/>
          <w:sz w:val="18"/>
          <w:szCs w:val="18"/>
          <w:color w:val="auto"/>
        </w:rPr>
        <w:t xml:space="preserve">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the Collateral Agent or the Revolving Agent, as applicable, and the term “Administrative Agent,” “Collateral Agent” or “Revolving Agent” shall mean such successor agent effective upon such appointment and approval, and the former Administrative Agent’s, Collateral Agent’s or Revolving Agent’s, as applicable, rights, powers and duties as Administrative Agent, the Collateral Agent or the Revolving Agent, as applicable, shall be terminated, without any other or further act or deed on the part of such former Administrative Agent, Collateral Agent or Revolving Agent, as applicable, or any of the parties to this Agreement or any holders of the Commitments or the Loans. If no successor agent has accepted appointment as Administrative Agent, Collateral Agent or Revolving Agent, as applicable, by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304" w:name="page305"/>
    <w:bookmarkEnd w:id="30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date that is ten (10) days following a retiring Administrative Agent’s, Collateral Agent’s or Revolving Agent’s, as applicable, notice of resignation, the retiring Administrative Agent’s, Collateral Agent’s or Revolving Agent’s, as applicable, resignation shall nevertheless thereupon become effective, and (x) the Lenders shall assume and perform all of the duties of the Administrative Agent and the Collateral Agent hereunder until such time, if any, as the Required Lenders appoint a successor agent as provided for above, and (y) the Revolving Lenders shall assume and perform all of the duties of the Revolving Agent hereunder until such time, if any, as the Required Revolving Lenders appoint a successor agent as provided for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successor agent receiving payments from the Loan Parties shall be a “U.S. person” and a “financial institution” within the meaning of Treasury Regulations Section 1.1441-1. After any retiring Administrative Agent’s resignation as Administrative Agent,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continue to inure to its benefit.</w:t>
      </w:r>
    </w:p>
    <w:p>
      <w:pPr>
        <w:spacing w:after="0" w:line="192"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8.10. </w:t>
      </w:r>
      <w:r>
        <w:rPr>
          <w:sz w:val="20"/>
          <w:szCs w:val="20"/>
          <w:color w:val="auto"/>
        </w:rPr>
        <w:tab/>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(a)  If the Administrative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and held in trust for the benefit of the Administrative Agent, and such Lender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A notice of the Administrative Agent to any Payment Recipient under this clause (a) shall be conclusive, absent manifest error.</w:t>
      </w:r>
    </w:p>
    <w:p>
      <w:pPr>
        <w:spacing w:after="0" w:line="187"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(b)  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81" w:lineRule="exact"/>
        <w:rPr>
          <w:sz w:val="20"/>
          <w:szCs w:val="20"/>
          <w:color w:val="auto"/>
        </w:rPr>
      </w:pPr>
    </w:p>
    <w:p>
      <w:pPr>
        <w:ind w:left="440" w:right="300" w:firstLine="952"/>
        <w:spacing w:after="0" w:line="266" w:lineRule="auto"/>
        <w:rPr>
          <w:sz w:val="20"/>
          <w:szCs w:val="20"/>
          <w:color w:val="auto"/>
        </w:rPr>
      </w:pPr>
      <w:r>
        <w:rPr>
          <w:rFonts w:ascii="Times New Roman" w:cs="Times New Roman" w:eastAsia="Times New Roman" w:hAnsi="Times New Roman"/>
          <w:sz w:val="18"/>
          <w:szCs w:val="18"/>
          <w:color w:val="auto"/>
        </w:rPr>
        <w:t>(i)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70" w:right="459" w:bottom="1440" w:gutter="0" w:footer="0" w:header="0"/>
        </w:sectPr>
      </w:pPr>
    </w:p>
    <w:bookmarkStart w:id="305" w:name="page306"/>
    <w:bookmarkEnd w:id="305"/>
    <w:p>
      <w:pPr>
        <w:ind w:left="440" w:right="80" w:firstLine="95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(ii)  such Lender shall use commercially reasonable efforts to (and shall use commercially reasonable efforts to cause any other recipient that receives funds on its respective behalf to) promptly (and, in all events, within one (1)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8.10(b)</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0" w:firstLine="952"/>
        <w:spacing w:after="0" w:line="282" w:lineRule="auto"/>
        <w:rPr>
          <w:sz w:val="20"/>
          <w:szCs w:val="20"/>
          <w:color w:val="auto"/>
        </w:rPr>
      </w:pPr>
      <w:r>
        <w:rPr>
          <w:rFonts w:ascii="Times New Roman" w:cs="Times New Roman" w:eastAsia="Times New Roman" w:hAnsi="Times New Roman"/>
          <w:sz w:val="18"/>
          <w:szCs w:val="18"/>
          <w:color w:val="auto"/>
        </w:rPr>
        <w:t xml:space="preserve">(iii)  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8.10(b)</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8.10(a)</w:t>
      </w:r>
      <w:r>
        <w:rPr>
          <w:rFonts w:ascii="Times New Roman" w:cs="Times New Roman" w:eastAsia="Times New Roman" w:hAnsi="Times New Roman"/>
          <w:sz w:val="18"/>
          <w:szCs w:val="18"/>
          <w:color w:val="auto"/>
        </w:rPr>
        <w:t xml:space="preserve"> or on whether or not an Erroneous Payment has been made.</w:t>
      </w:r>
    </w:p>
    <w:p>
      <w:pPr>
        <w:spacing w:after="0" w:line="162"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(c)  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clause (a) of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(d)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and (y) an Erroneous Payment shall not pay, prepay, repay, discharge or otherwise satisfy any Obligations owed by the Borrower; provided that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a payment on the Obligations.</w:t>
      </w:r>
    </w:p>
    <w:p>
      <w:pPr>
        <w:spacing w:after="0" w:line="192" w:lineRule="exact"/>
        <w:rPr>
          <w:sz w:val="20"/>
          <w:szCs w:val="20"/>
          <w:color w:val="auto"/>
        </w:rPr>
      </w:pPr>
    </w:p>
    <w:p>
      <w:pPr>
        <w:jc w:val="both"/>
        <w:ind w:right="120" w:firstLine="991"/>
        <w:spacing w:after="0" w:line="261" w:lineRule="auto"/>
        <w:rPr>
          <w:sz w:val="20"/>
          <w:szCs w:val="20"/>
          <w:color w:val="auto"/>
        </w:rPr>
      </w:pPr>
      <w:r>
        <w:rPr>
          <w:rFonts w:ascii="Times New Roman" w:cs="Times New Roman" w:eastAsia="Times New Roman" w:hAnsi="Times New Roman"/>
          <w:sz w:val="18"/>
          <w:szCs w:val="18"/>
          <w:color w:val="auto"/>
        </w:rPr>
        <w:t>(e)  To the extent permitted by applicable Requirements of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the termination of the applicable Commitments or the repayment, satisfaction or discharge of all Obligations (or any portion thereof) under any Loan Document.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60"/>
          </w:cols>
          <w:pgMar w:left="440" w:top="270" w:right="49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9.01. </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if to the Borrower or any other Loan Party,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Email: jim.rogers@tempus.com</w:t>
      </w:r>
    </w:p>
    <w:p>
      <w:pPr>
        <w:spacing w:after="0" w:line="9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110 N. Wacker Drive</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Chicago, Illinois 60606-1511</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Addison Pierce</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Email: afpierce@cooley.com</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if to the Administrative Agent or the Collateral Agent,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Ares Capital Corporation, as Administrative Agent and Collateral Agent</w:t>
      </w:r>
    </w:p>
    <w:p>
      <w:pPr>
        <w:ind w:left="1820"/>
        <w:spacing w:after="0" w:line="196" w:lineRule="auto"/>
        <w:rPr>
          <w:sz w:val="20"/>
          <w:szCs w:val="20"/>
          <w:color w:val="auto"/>
        </w:rPr>
      </w:pPr>
      <w:r>
        <w:rPr>
          <w:rFonts w:ascii="Times New Roman" w:cs="Times New Roman" w:eastAsia="Times New Roman" w:hAnsi="Times New Roman"/>
          <w:sz w:val="18"/>
          <w:szCs w:val="18"/>
          <w:color w:val="auto"/>
        </w:rPr>
        <w:t>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Attn: Middle Office DL - Tempus</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Email: agency@aresmgmt.com; middleofficedl@aresmgmt.com;</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aresagency@alterdomus.com</w:t>
      </w:r>
    </w:p>
    <w:p>
      <w:pPr>
        <w:spacing w:after="0" w:line="9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Katten Muchin Rosenman LLP</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525 W. Monroe Street</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Chicago, Illinois 60661</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Michael A. Jacobson, Esq.</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Email: michael.jacobson@katten.com</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if to the Revolving Agent,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ACF Finco I LP, as Revolving Agent</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560 White Plains Road, Suite 400</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Tarrytown, New York 10591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307" w:name="page308"/>
    <w:bookmarkEnd w:id="307"/>
    <w:p>
      <w:pPr>
        <w:ind w:left="18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Attention: Christy Kemp</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Email: ckemp@aresmgmt.com</w:t>
      </w:r>
    </w:p>
    <w:p>
      <w:pPr>
        <w:spacing w:after="0" w:line="9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Katten Muchin Rosenman LLP</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525 W. Monroe Street</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Chicago, Illinois 60661</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Michael A. Jacobson, Esq.</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Email: michael.jacobson@katten.com</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   if to any other Lender, to it at its address (or telecopy number) set forth in its Administrative Questionnaire.</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of a Default if such Lender has notified the Administrative Agent that it is incapable of receiving notices under such Article by electronic communication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in any event also receive hard copies of the notices described in this proviso and, to the extent requested, any other documents delivered electronically under this Agreement.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any required notification that such notice or communication is available and identifying the website address therefor.</w:t>
      </w:r>
    </w:p>
    <w:p>
      <w:pPr>
        <w:spacing w:after="0" w:line="190"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(c)  Any party hereto may change its address or telecopy number for notices and other communications hereunder by notice to the Administrative Agent (and, in the case of the Administrative Agent, by written notice to the Borrower). All notices and other communications given to any party hereto in accordance with the provisions of this Agreement shall be deemed to have been given as follows: notices sent by hand or overnight courier service, or mailed by certified or registered mail, shall be deemed to have been given when received; notices sent by telecopier (with a send successful notice) shall be deemed to have been given when sent (except that, if not given during normal business hours for the recipient, shall be deemed to have been given at the opening of business on the next Business Day for the recipient).</w:t>
      </w:r>
    </w:p>
    <w:p>
      <w:pPr>
        <w:spacing w:after="0" w:line="187"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9.02. </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(a)  No failure or delay by the Administrative Agent, the Collateral Agent, the Revolving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the Revolving Agent and the Lenders hereunder and under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70" w:right="459" w:bottom="1440" w:gutter="0" w:footer="0" w:header="0"/>
        </w:sectPr>
      </w:pPr>
    </w:p>
    <w:bookmarkStart w:id="308" w:name="page309"/>
    <w:bookmarkEnd w:id="30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the Collateral Agent, the Revolving Agent or any Lender may have had notice or knowledge of such Default at the time.</w:t>
      </w:r>
    </w:p>
    <w:p>
      <w:pPr>
        <w:spacing w:after="0" w:line="183"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Neither this Agreement nor any other Loan Document nor any provision hereof or thereof may be waived, amended or modified except, in the case of this Agreement, pursuant to an agreement or agreements in writing entered into by the Borrower and the Required Lenders (with a fully executed copy thereof delivered to the Administrative Agent) or, in the case of any other Loan Document, pursuant to an agreement or agreements in writing entered into by the Administrative Agent and the Loan Party or Loan Parties that are parties thereto (and, if party thereto, the Collateral Agent),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w:t>
      </w:r>
    </w:p>
    <w:p>
      <w:pPr>
        <w:spacing w:after="0" w:line="75" w:lineRule="exact"/>
        <w:rPr>
          <w:sz w:val="20"/>
          <w:szCs w:val="20"/>
          <w:color w:val="auto"/>
        </w:rPr>
      </w:pPr>
    </w:p>
    <w:p>
      <w:pPr>
        <w:ind w:left="440" w:right="220" w:firstLine="952"/>
        <w:spacing w:after="0" w:line="266" w:lineRule="auto"/>
        <w:rPr>
          <w:sz w:val="20"/>
          <w:szCs w:val="20"/>
          <w:color w:val="auto"/>
        </w:rPr>
      </w:pPr>
      <w:r>
        <w:rPr>
          <w:rFonts w:ascii="Times New Roman" w:cs="Times New Roman" w:eastAsia="Times New Roman" w:hAnsi="Times New Roman"/>
          <w:sz w:val="18"/>
          <w:szCs w:val="18"/>
          <w:color w:val="auto"/>
        </w:rPr>
        <w:t>(i)  increase the Commitment of any Lender without the written consent of such Lender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(it being understood that a waiver of any Default or mandatory prepayment or mandatory reduction of any Commitments shall not constitute an increase of any Commitment of any Lender);</w:t>
      </w:r>
    </w:p>
    <w:p>
      <w:pPr>
        <w:spacing w:after="0" w:line="68" w:lineRule="exact"/>
        <w:rPr>
          <w:sz w:val="20"/>
          <w:szCs w:val="20"/>
          <w:color w:val="auto"/>
        </w:rPr>
      </w:pPr>
    </w:p>
    <w:p>
      <w:pPr>
        <w:ind w:left="440" w:right="120" w:firstLine="952"/>
        <w:spacing w:after="0" w:line="258" w:lineRule="auto"/>
        <w:rPr>
          <w:sz w:val="20"/>
          <w:szCs w:val="20"/>
          <w:color w:val="auto"/>
        </w:rPr>
      </w:pPr>
      <w:r>
        <w:rPr>
          <w:rFonts w:ascii="Times New Roman" w:cs="Times New Roman" w:eastAsia="Times New Roman" w:hAnsi="Times New Roman"/>
          <w:sz w:val="18"/>
          <w:szCs w:val="18"/>
          <w:color w:val="auto"/>
        </w:rPr>
        <w:t xml:space="preserve">(ii)  reduce the principal amount of any Loan or reduce the rate of interest thereon (provided, the cash pay interest amount may not be reduced by more than 50% without all directly affected Lenders), or reduce any fees payable hereunder (including, without limitation, any Prepayment Premium), without the written consent of each Lender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to amend the definition of “Default Rate” or to waive any obligation of the Borrower to pay interest at the Default Rate;</w:t>
      </w:r>
    </w:p>
    <w:p>
      <w:pPr>
        <w:spacing w:after="0" w:line="75" w:lineRule="exact"/>
        <w:rPr>
          <w:sz w:val="20"/>
          <w:szCs w:val="20"/>
          <w:color w:val="auto"/>
        </w:rPr>
      </w:pPr>
    </w:p>
    <w:p>
      <w:pPr>
        <w:ind w:left="440" w:firstLine="952"/>
        <w:spacing w:after="0" w:line="258" w:lineRule="auto"/>
        <w:rPr>
          <w:sz w:val="20"/>
          <w:szCs w:val="20"/>
          <w:color w:val="auto"/>
        </w:rPr>
      </w:pPr>
      <w:r>
        <w:rPr>
          <w:rFonts w:ascii="Times New Roman" w:cs="Times New Roman" w:eastAsia="Times New Roman" w:hAnsi="Times New Roman"/>
          <w:sz w:val="18"/>
          <w:szCs w:val="18"/>
          <w:color w:val="auto"/>
        </w:rPr>
        <w:t>(iii)  postpone the maturity of any Loan (it being understood that a waiver of any Default, Event of Default, or mandatory prepayment shall not constitute an extension of any maturity date), or any date for the payment of any interest or fees payable hereunder, or reduce the amount of, waive or excuse any such payment, or postpone the scheduled date of expiration of any Commitment, without the written consent of each Lender adversely affected thereby, it being understood that the waiver of any condition precedent or the waiver of any Default or mandatory prepayment requirement shall not constitute a postponement or reduction hereunder;</w:t>
      </w:r>
    </w:p>
    <w:p>
      <w:pPr>
        <w:spacing w:after="0" w:line="75" w:lineRule="exact"/>
        <w:rPr>
          <w:sz w:val="20"/>
          <w:szCs w:val="20"/>
          <w:color w:val="auto"/>
        </w:rPr>
      </w:pPr>
    </w:p>
    <w:p>
      <w:pPr>
        <w:ind w:left="440" w:right="40" w:firstLine="952"/>
        <w:spacing w:after="0" w:line="258" w:lineRule="auto"/>
        <w:rPr>
          <w:sz w:val="20"/>
          <w:szCs w:val="20"/>
          <w:color w:val="auto"/>
        </w:rPr>
      </w:pPr>
      <w:r>
        <w:rPr>
          <w:rFonts w:ascii="Times New Roman" w:cs="Times New Roman" w:eastAsia="Times New Roman" w:hAnsi="Times New Roman"/>
          <w:sz w:val="18"/>
          <w:szCs w:val="18"/>
          <w:color w:val="auto"/>
        </w:rPr>
        <w:t>(iv)  change or have the effect of changing the priority or pro rata treatment of any payments (including voluntary and mandatory prepayments), Liens, proceeds of Collateral or reductions in Commitments (including as a result in whole or in part of allowing the issuance or incurrence, pursuant to this Agreement or otherwise, of new loans or other Indebtedness having any priority over any of the Obligations in respect of payments, Liens, Collateral or proceeds of Collateral, in exchange for any Obligations or otherwise), without the written consent of each Lender directly and adversely affected thereby;</w:t>
      </w:r>
    </w:p>
    <w:p>
      <w:pPr>
        <w:spacing w:after="0" w:line="75" w:lineRule="exact"/>
        <w:rPr>
          <w:sz w:val="20"/>
          <w:szCs w:val="20"/>
          <w:color w:val="auto"/>
        </w:rPr>
      </w:pPr>
    </w:p>
    <w:p>
      <w:pPr>
        <w:ind w:left="440" w:right="120" w:firstLine="952"/>
        <w:spacing w:after="0" w:line="258" w:lineRule="auto"/>
        <w:rPr>
          <w:sz w:val="20"/>
          <w:szCs w:val="20"/>
          <w:color w:val="auto"/>
        </w:rPr>
      </w:pPr>
      <w:r>
        <w:rPr>
          <w:rFonts w:ascii="Times New Roman" w:cs="Times New Roman" w:eastAsia="Times New Roman" w:hAnsi="Times New Roman"/>
          <w:sz w:val="18"/>
          <w:szCs w:val="18"/>
          <w:color w:val="auto"/>
        </w:rPr>
        <w:t xml:space="preserve">(v)  change any of the provisions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the definition of “Required Lenders” without the written consent of each Lender, the definition of “Required Term Lenders” without the written consent of the Required Term Lenders, the definition of “Required Revolving Lenders” without the written consent of the Required Revolving Lenders or any other provision of any Loan Document specifying the number or percentage of Lenders required to waive, amend or modify any rights thereunder or make any determination or grant any consent thereunder, without the written consent of each Lender;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309" w:name="page310"/>
    <w:bookmarkEnd w:id="309"/>
    <w:p>
      <w:pPr>
        <w:ind w:left="440" w:firstLine="95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  (A) change the percentage set forth in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(B) change the percentage set forth in the definition of “Required Term Lenders” or any other provision of any Loan Document specifying the number or percentage of Term Lenders required to waive, amend or modify any rights thereunder or make any determination or grant any consent thereunder, without the written consent of each Term Lender or (C) change the percentage set forth in the definition of “Required Revolving Lenders” or any other provision of any Loan Document specifying the number or percentage of Revolving Lenders required to waive, amend or modify any rights thereunder or make any determination or grant any consent thereunder, without the written consent of each Revolving Lender;</w:t>
      </w:r>
    </w:p>
    <w:p>
      <w:pPr>
        <w:spacing w:after="0" w:line="84" w:lineRule="exact"/>
        <w:rPr>
          <w:sz w:val="20"/>
          <w:szCs w:val="20"/>
          <w:color w:val="auto"/>
        </w:rPr>
      </w:pPr>
    </w:p>
    <w:p>
      <w:pPr>
        <w:ind w:left="440" w:right="100" w:firstLine="952"/>
        <w:spacing w:after="0" w:line="282" w:lineRule="auto"/>
        <w:rPr>
          <w:sz w:val="20"/>
          <w:szCs w:val="20"/>
          <w:color w:val="auto"/>
        </w:rPr>
      </w:pPr>
      <w:r>
        <w:rPr>
          <w:rFonts w:ascii="Times New Roman" w:cs="Times New Roman" w:eastAsia="Times New Roman" w:hAnsi="Times New Roman"/>
          <w:sz w:val="18"/>
          <w:szCs w:val="18"/>
          <w:color w:val="auto"/>
        </w:rPr>
        <w:t xml:space="preserve">(vii)  release the Borrower or any Subsidiary Loan Party from its Guarantee under the Collateral Agreement (except as provided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in the Collateral Agreement) or limit its liability in respect of such Guarantee, without the written consent of each Lender;</w:t>
      </w:r>
    </w:p>
    <w:p>
      <w:pPr>
        <w:spacing w:after="0" w:line="54" w:lineRule="exact"/>
        <w:rPr>
          <w:sz w:val="20"/>
          <w:szCs w:val="20"/>
          <w:color w:val="auto"/>
        </w:rPr>
      </w:pPr>
    </w:p>
    <w:p>
      <w:pPr>
        <w:ind w:left="440" w:right="80" w:firstLine="952"/>
        <w:spacing w:after="0" w:line="282" w:lineRule="auto"/>
        <w:rPr>
          <w:sz w:val="20"/>
          <w:szCs w:val="20"/>
          <w:color w:val="auto"/>
        </w:rPr>
      </w:pPr>
      <w:r>
        <w:rPr>
          <w:rFonts w:ascii="Times New Roman" w:cs="Times New Roman" w:eastAsia="Times New Roman" w:hAnsi="Times New Roman"/>
          <w:sz w:val="18"/>
          <w:szCs w:val="18"/>
          <w:color w:val="auto"/>
        </w:rPr>
        <w:t xml:space="preserve">(viii)  release all or substantially all the Collateral from the Liens of the Security Documents (except as provided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in the Collateral Agreement), without the written consent of each Lender;</w:t>
      </w:r>
    </w:p>
    <w:p>
      <w:pPr>
        <w:spacing w:after="0" w:line="54" w:lineRule="exact"/>
        <w:rPr>
          <w:sz w:val="20"/>
          <w:szCs w:val="20"/>
          <w:color w:val="auto"/>
        </w:rPr>
      </w:pPr>
    </w:p>
    <w:p>
      <w:pPr>
        <w:ind w:left="440" w:right="100" w:firstLine="952"/>
        <w:spacing w:after="0" w:line="282" w:lineRule="auto"/>
        <w:rPr>
          <w:sz w:val="20"/>
          <w:szCs w:val="20"/>
          <w:color w:val="auto"/>
        </w:rPr>
      </w:pPr>
      <w:r>
        <w:rPr>
          <w:rFonts w:ascii="Times New Roman" w:cs="Times New Roman" w:eastAsia="Times New Roman" w:hAnsi="Times New Roman"/>
          <w:sz w:val="18"/>
          <w:szCs w:val="18"/>
          <w:color w:val="auto"/>
        </w:rPr>
        <w:t xml:space="preserve">(ix)  amend modify or waive (or have the effect of amending, modifying or waiving) </w:t>
      </w:r>
      <w:r>
        <w:rPr>
          <w:rFonts w:ascii="Times New Roman" w:cs="Times New Roman" w:eastAsia="Times New Roman" w:hAnsi="Times New Roman"/>
          <w:sz w:val="18"/>
          <w:szCs w:val="18"/>
          <w:u w:val="single" w:color="auto"/>
          <w:color w:val="auto"/>
        </w:rPr>
        <w:t>Section 2.18(f)</w:t>
      </w:r>
      <w:r>
        <w:rPr>
          <w:rFonts w:ascii="Times New Roman" w:cs="Times New Roman" w:eastAsia="Times New Roman" w:hAnsi="Times New Roman"/>
          <w:sz w:val="18"/>
          <w:szCs w:val="18"/>
          <w:color w:val="auto"/>
        </w:rPr>
        <w:t xml:space="preserve"> or the definition of “Waterfall Trigger Event” in any manner that adversely affects the Lenders without the consent of each Lender directly and adversely affected thereby; or</w:t>
      </w:r>
    </w:p>
    <w:p>
      <w:pPr>
        <w:spacing w:after="0" w:line="54" w:lineRule="exact"/>
        <w:rPr>
          <w:sz w:val="20"/>
          <w:szCs w:val="20"/>
          <w:color w:val="auto"/>
        </w:rPr>
      </w:pPr>
    </w:p>
    <w:p>
      <w:pPr>
        <w:ind w:left="440" w:right="120" w:firstLine="952"/>
        <w:spacing w:after="0" w:line="255" w:lineRule="auto"/>
        <w:rPr>
          <w:sz w:val="20"/>
          <w:szCs w:val="20"/>
          <w:color w:val="auto"/>
        </w:rPr>
      </w:pPr>
      <w:r>
        <w:rPr>
          <w:rFonts w:ascii="Times New Roman" w:cs="Times New Roman" w:eastAsia="Times New Roman" w:hAnsi="Times New Roman"/>
          <w:sz w:val="18"/>
          <w:szCs w:val="18"/>
          <w:color w:val="auto"/>
        </w:rPr>
        <w:t>(x)  amend, waive or otherwise modify any term or provision to subordinate the Lien securing the Obligations to any other Lien securing any other Indebtedness, or subordinate the right of payment of the Obligations to any other Indebtedness, without the written consent of each Lender directly and adversely affected thereby, in each case, except in the case of (i) any Indebtedness permitted by this Agreement as in effect on the Effective Date to be secured by a Lien that is senior to the Lien securing the Obligations, (ii) any “debtor-in-possession” facility pursuant to Section 364 of the Bankruptcy Code or any similar proceeding under any Debtor Relief Law, or (iii) any other Indebtedness with respect to which each relevant Lender has been offered the opportunity to provide its pro rata share of such Indebtedness on identical terms (including with respect to economics);</w:t>
      </w:r>
    </w:p>
    <w:p>
      <w:pPr>
        <w:spacing w:after="0" w:line="189"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agreement shall amend, modify or otherwise affect the rights or duties of the Administrative Agent without the prior written consent of the Administrative Agent. In connection with any proposed amendment, modification, waiver or termination (a “</w:t>
      </w:r>
      <w:r>
        <w:rPr>
          <w:rFonts w:ascii="Times New Roman" w:cs="Times New Roman" w:eastAsia="Times New Roman" w:hAnsi="Times New Roman"/>
          <w:sz w:val="18"/>
          <w:szCs w:val="18"/>
          <w:u w:val="single" w:color="auto"/>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xml:space="preserve">”) requiring the consent of all affected Lenders, if the consent of the Required Lenders to such Proposed Change is obtained, but the consent to such Proposed Change of other Lenders whose consent is required is not obtained (any such Lender whose consent is not obtained as described in this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then, so long as the Lender that is acting as the Administrative Agent is not a Non-Consenting Lender, at the Borrower’s request, any assignee that is acceptable to the Administrative Agent shall have the right, with the Administrative Agent’s consent, to purchase from such Non-Consenting Lender, and such Non-Consenting Lender agrees that it shall, upon the Borrower’s request,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80"/>
          </w:cols>
          <w:pgMar w:left="440" w:top="270" w:right="479" w:bottom="1440" w:gutter="0" w:footer="0" w:header="0"/>
        </w:sectPr>
      </w:pPr>
    </w:p>
    <w:bookmarkStart w:id="310" w:name="page311"/>
    <w:bookmarkEnd w:id="310"/>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sell and assign to such assignee, at no expense to such Non-Consenting Lender, all the Term Loans and/or Revolving Loans of such Non-Consenting Lender for an amount equal to the principal balance of all Term Loans and/or Revolving Loans held by such Non-Consenting Lender and all accrued interest and fees with respect thereto through the date of sale (including amounts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so long as such principal balance of all other Non-Consenting Lenders is similarly purchased, such purchase and sale to be consummated pursuant to an executed Assignment and Assumption in accordance with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(which Assignment and Assumption need not be signed by such Non-Consenting Lender). A copy of each amendment, waiver or other modification to this Agreement or any other Loan Document shall be furnished by the Borrower to the Administrative Agent.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Notwithstanding the provisions of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952"/>
        <w:spacing w:after="0" w:line="266" w:lineRule="auto"/>
        <w:rPr>
          <w:sz w:val="20"/>
          <w:szCs w:val="20"/>
          <w:color w:val="auto"/>
        </w:rPr>
      </w:pPr>
      <w:r>
        <w:rPr>
          <w:rFonts w:ascii="Times New Roman" w:cs="Times New Roman" w:eastAsia="Times New Roman" w:hAnsi="Times New Roman"/>
          <w:sz w:val="17"/>
          <w:szCs w:val="17"/>
          <w:color w:val="auto"/>
        </w:rPr>
        <w:t>(i)  This Agreement may be amended (or amended and restated) with the written consent of the Required Lenders, the Administrative Agent and the Borrower (A) to add one or more additional credit facilities to this Agreement and to permit the extensions of credit from time to time thereunder and the accrued interest and fees in respect thereof to share ratably in the benefits of this Agreement and the other Loan Documents with the Loans and the accrued interest and fees in respect thereof, and (B) to include appropriately the Lenders holding such credit facilities in any determination of the Required Lenders. In addition, this Agreement may be amended with the written consent of: (x) the Administrative Agent, the Borrower and the Lenders providing the relevant Replacement Term Loans (as defined below) to permit the refinancing of all outstanding Term Loans (the “</w:t>
      </w:r>
      <w:r>
        <w:rPr>
          <w:rFonts w:ascii="Times New Roman" w:cs="Times New Roman" w:eastAsia="Times New Roman" w:hAnsi="Times New Roman"/>
          <w:sz w:val="17"/>
          <w:szCs w:val="17"/>
          <w:u w:val="single" w:color="auto"/>
          <w:color w:val="auto"/>
        </w:rPr>
        <w:t>Refinanced Term Loans</w:t>
      </w:r>
      <w:r>
        <w:rPr>
          <w:rFonts w:ascii="Times New Roman" w:cs="Times New Roman" w:eastAsia="Times New Roman" w:hAnsi="Times New Roman"/>
          <w:sz w:val="17"/>
          <w:szCs w:val="17"/>
          <w:color w:val="auto"/>
        </w:rPr>
        <w:t>”) and, if applicable, related outstanding commitments, with a replacement term loan tranche hereunder (the “</w:t>
      </w:r>
      <w:r>
        <w:rPr>
          <w:rFonts w:ascii="Times New Roman" w:cs="Times New Roman" w:eastAsia="Times New Roman" w:hAnsi="Times New Roman"/>
          <w:sz w:val="17"/>
          <w:szCs w:val="17"/>
          <w:u w:val="single" w:color="auto"/>
          <w:color w:val="auto"/>
        </w:rPr>
        <w:t>Replacement Term Loans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(1) the aggregate principal amount of such Replacement Term Loans shall not exceed the aggregate principal amount of such Refinanced Term Loans, (2) the Applicable Rate for such Replacement Term Loans shall not be higher than the Applicable Rate for such Refinanced Term Loans, (3)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Refinanced Term Loans) and (4) all other terms applicable to such Replacement Term Loans shall be substantially identical to, or less favorable to the Term Lenders providing such Replacement Term Loans than, those applicable to such Refinanced Term Loans, except to the extent necessary to provide for covenants and other terms applicable to any period after the latest final maturity of the Refinanced Term Loans in effect immediately prior to such refinancing; and</w:t>
      </w:r>
    </w:p>
    <w:p>
      <w:pPr>
        <w:spacing w:after="0" w:line="8" w:lineRule="exact"/>
        <w:rPr>
          <w:sz w:val="20"/>
          <w:szCs w:val="20"/>
          <w:color w:val="auto"/>
        </w:rPr>
      </w:pPr>
    </w:p>
    <w:p>
      <w:pPr>
        <w:ind w:left="440" w:right="20" w:hanging="4"/>
        <w:spacing w:after="0" w:line="251" w:lineRule="auto"/>
        <w:tabs>
          <w:tab w:leader="none" w:pos="69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Agent, the Borrower and the Lenders providing the relevant Replacement Revolving Loans (as defined below) to permit the refinancing of all outstanding Revolving Loans (the “</w:t>
      </w:r>
      <w:r>
        <w:rPr>
          <w:rFonts w:ascii="Times New Roman" w:cs="Times New Roman" w:eastAsia="Times New Roman" w:hAnsi="Times New Roman"/>
          <w:sz w:val="18"/>
          <w:szCs w:val="18"/>
          <w:u w:val="single" w:color="auto"/>
          <w:color w:val="auto"/>
        </w:rPr>
        <w:t>Refinanced Revolving Loans</w:t>
      </w:r>
      <w:r>
        <w:rPr>
          <w:rFonts w:ascii="Times New Roman" w:cs="Times New Roman" w:eastAsia="Times New Roman" w:hAnsi="Times New Roman"/>
          <w:sz w:val="18"/>
          <w:szCs w:val="18"/>
          <w:color w:val="auto"/>
        </w:rPr>
        <w:t>”) and, if applicable, related outstanding commitments, with a replacement revolving loan tranche hereunder (the “</w:t>
      </w:r>
      <w:r>
        <w:rPr>
          <w:rFonts w:ascii="Times New Roman" w:cs="Times New Roman" w:eastAsia="Times New Roman" w:hAnsi="Times New Roman"/>
          <w:sz w:val="18"/>
          <w:szCs w:val="18"/>
          <w:u w:val="single" w:color="auto"/>
          <w:color w:val="auto"/>
        </w:rPr>
        <w:t>Replacement Revolving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aggregate principal amount of such Replacement Revolving Loans shall not exceed the aggregate principal amount of such Refinanced Revolving Loans, (2) the Applicable Rate for such Replacement Revolving Loans shall not be higher than the Applicable Rate for such Refinanced Revolving Loans, (3) the weighted average life to maturity of such Replacement Revolving Loans shall not be shorter than the weighted average life to maturity of such Refinanced Revolving Loans at the time of such refinancing (except to the extent of nominal amortization for periods where amortization has been eliminated as a result of prepayment of the Refinanced Revolving Loans) and (4) all other terms applicable to such Replacement Revolving Loans shall be substantially identical to, or less favorable to the Revolving Lenders providing such Replacement Revolving Loans than, those applicable to such Refinanced Revolving Loans, except to the extent necessary to provide for covenants and other terms applicable to any period after the latest final maturity of the Refinanced Revolving Loans in effect immediately prior to such refinancing;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980"/>
          </w:cols>
          <w:pgMar w:left="440" w:top="270" w:right="479" w:bottom="1440" w:gutter="0" w:footer="0" w:header="0"/>
        </w:sectPr>
      </w:pPr>
    </w:p>
    <w:bookmarkStart w:id="311" w:name="page312"/>
    <w:bookmarkEnd w:id="311"/>
    <w:p>
      <w:pPr>
        <w:ind w:left="4" w:right="260" w:firstLine="952"/>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(ii)  solely with the consent of the Required Revolving Lenders and the Required Lenders (and, to the extent involving the Swingline Advances, the Revolving Agent), any such agreement may amend, modify or waive any term relating solely to the Revolving Loans and the Swingline Advances;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without limiting this clause (ii), no such amendment, modification, consent, waiver or elimination, without the consent of the Required Revolving Lenders (and, to the extent involving the Swingline Advances, the Revolving Agent), shall</w:t>
      </w:r>
    </w:p>
    <w:p>
      <w:pPr>
        <w:spacing w:after="0" w:line="3" w:lineRule="exact"/>
        <w:rPr>
          <w:sz w:val="20"/>
          <w:szCs w:val="20"/>
          <w:color w:val="auto"/>
        </w:rPr>
      </w:pPr>
    </w:p>
    <w:p>
      <w:pPr>
        <w:ind w:left="4" w:right="40" w:hanging="4"/>
        <w:spacing w:after="0" w:line="265" w:lineRule="auto"/>
        <w:tabs>
          <w:tab w:leader="none" w:pos="298"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 or waive any provision of (including defined terms therein which pertain to Revolving Commitments) </w:t>
      </w:r>
      <w:r>
        <w:rPr>
          <w:rFonts w:ascii="Times New Roman" w:cs="Times New Roman" w:eastAsia="Times New Roman" w:hAnsi="Times New Roman"/>
          <w:sz w:val="17"/>
          <w:szCs w:val="17"/>
          <w:u w:val="single" w:color="auto"/>
          <w:color w:val="auto"/>
        </w:rPr>
        <w:t>Sections 2.01</w:t>
      </w:r>
      <w:r>
        <w:rPr>
          <w:rFonts w:ascii="Times New Roman" w:cs="Times New Roman" w:eastAsia="Times New Roman" w:hAnsi="Times New Roman"/>
          <w:sz w:val="17"/>
          <w:szCs w:val="17"/>
          <w:color w:val="auto"/>
        </w:rPr>
        <w:t xml:space="preserve"> (as it pertains to the Revolving Loans), </w:t>
      </w:r>
      <w:r>
        <w:rPr>
          <w:rFonts w:ascii="Times New Roman" w:cs="Times New Roman" w:eastAsia="Times New Roman" w:hAnsi="Times New Roman"/>
          <w:sz w:val="17"/>
          <w:szCs w:val="17"/>
          <w:u w:val="single" w:color="auto"/>
          <w:color w:val="auto"/>
        </w:rPr>
        <w:t>2.02</w:t>
      </w:r>
      <w:r>
        <w:rPr>
          <w:rFonts w:ascii="Times New Roman" w:cs="Times New Roman" w:eastAsia="Times New Roman" w:hAnsi="Times New Roman"/>
          <w:sz w:val="17"/>
          <w:szCs w:val="17"/>
          <w:color w:val="auto"/>
        </w:rPr>
        <w:t xml:space="preserve"> (as it pertains to the Revolving Loans and the Swingline Advances), </w:t>
      </w:r>
      <w:r>
        <w:rPr>
          <w:rFonts w:ascii="Times New Roman" w:cs="Times New Roman" w:eastAsia="Times New Roman" w:hAnsi="Times New Roman"/>
          <w:sz w:val="17"/>
          <w:szCs w:val="17"/>
          <w:u w:val="single" w:color="auto"/>
          <w:color w:val="auto"/>
        </w:rPr>
        <w:t>2.04</w:t>
      </w:r>
      <w:r>
        <w:rPr>
          <w:rFonts w:ascii="Times New Roman" w:cs="Times New Roman" w:eastAsia="Times New Roman" w:hAnsi="Times New Roman"/>
          <w:sz w:val="17"/>
          <w:szCs w:val="17"/>
          <w:color w:val="auto"/>
        </w:rPr>
        <w:t xml:space="preserve"> (as it pertains to the Revolving Loans and the Swingline Advances), </w:t>
      </w:r>
      <w:r>
        <w:rPr>
          <w:rFonts w:ascii="Times New Roman" w:cs="Times New Roman" w:eastAsia="Times New Roman" w:hAnsi="Times New Roman"/>
          <w:sz w:val="17"/>
          <w:szCs w:val="17"/>
          <w:u w:val="single" w:color="auto"/>
          <w:color w:val="auto"/>
        </w:rPr>
        <w:t>2.06</w:t>
      </w:r>
      <w:r>
        <w:rPr>
          <w:rFonts w:ascii="Times New Roman" w:cs="Times New Roman" w:eastAsia="Times New Roman" w:hAnsi="Times New Roman"/>
          <w:sz w:val="17"/>
          <w:szCs w:val="17"/>
          <w:color w:val="auto"/>
        </w:rPr>
        <w:t xml:space="preserve"> (as it pertains to the Revolving Loans), </w:t>
      </w:r>
      <w:r>
        <w:rPr>
          <w:rFonts w:ascii="Times New Roman" w:cs="Times New Roman" w:eastAsia="Times New Roman" w:hAnsi="Times New Roman"/>
          <w:sz w:val="17"/>
          <w:szCs w:val="17"/>
          <w:u w:val="single" w:color="auto"/>
          <w:color w:val="auto"/>
        </w:rPr>
        <w:t>2.08(b)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2.10</w:t>
      </w:r>
      <w:r>
        <w:rPr>
          <w:rFonts w:ascii="Times New Roman" w:cs="Times New Roman" w:eastAsia="Times New Roman" w:hAnsi="Times New Roman"/>
          <w:sz w:val="17"/>
          <w:szCs w:val="17"/>
          <w:color w:val="auto"/>
        </w:rPr>
        <w:t xml:space="preserve"> (as it pertains to the Revolving Loans), </w:t>
      </w:r>
      <w:r>
        <w:rPr>
          <w:rFonts w:ascii="Times New Roman" w:cs="Times New Roman" w:eastAsia="Times New Roman" w:hAnsi="Times New Roman"/>
          <w:sz w:val="17"/>
          <w:szCs w:val="17"/>
          <w:u w:val="single" w:color="auto"/>
          <w:color w:val="auto"/>
        </w:rPr>
        <w:t>2.11</w:t>
      </w:r>
      <w:r>
        <w:rPr>
          <w:rFonts w:ascii="Times New Roman" w:cs="Times New Roman" w:eastAsia="Times New Roman" w:hAnsi="Times New Roman"/>
          <w:sz w:val="17"/>
          <w:szCs w:val="17"/>
          <w:color w:val="auto"/>
        </w:rPr>
        <w:t xml:space="preserve"> (as it pertains to the Revolving Loans, Extraordinary Advances and Swingline Advances), </w:t>
      </w:r>
      <w:r>
        <w:rPr>
          <w:rFonts w:ascii="Times New Roman" w:cs="Times New Roman" w:eastAsia="Times New Roman" w:hAnsi="Times New Roman"/>
          <w:sz w:val="17"/>
          <w:szCs w:val="17"/>
          <w:u w:val="single" w:color="auto"/>
          <w:color w:val="auto"/>
        </w:rPr>
        <w:t>2.12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2.13</w:t>
      </w:r>
      <w:r>
        <w:rPr>
          <w:rFonts w:ascii="Times New Roman" w:cs="Times New Roman" w:eastAsia="Times New Roman" w:hAnsi="Times New Roman"/>
          <w:sz w:val="17"/>
          <w:szCs w:val="17"/>
          <w:color w:val="auto"/>
        </w:rPr>
        <w:t xml:space="preserve"> (as it pertains to the Revolving Loans), </w:t>
      </w:r>
      <w:r>
        <w:rPr>
          <w:rFonts w:ascii="Times New Roman" w:cs="Times New Roman" w:eastAsia="Times New Roman" w:hAnsi="Times New Roman"/>
          <w:sz w:val="17"/>
          <w:szCs w:val="17"/>
          <w:u w:val="single" w:color="auto"/>
          <w:color w:val="auto"/>
        </w:rPr>
        <w:t>2.14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3.24</w:t>
      </w:r>
      <w:r>
        <w:rPr>
          <w:rFonts w:ascii="Times New Roman" w:cs="Times New Roman" w:eastAsia="Times New Roman" w:hAnsi="Times New Roman"/>
          <w:sz w:val="17"/>
          <w:szCs w:val="17"/>
          <w:color w:val="auto"/>
        </w:rPr>
        <w:t xml:space="preserve"> (as it pertains to the Revolving Loans), </w:t>
      </w:r>
      <w:r>
        <w:rPr>
          <w:rFonts w:ascii="Times New Roman" w:cs="Times New Roman" w:eastAsia="Times New Roman" w:hAnsi="Times New Roman"/>
          <w:sz w:val="17"/>
          <w:szCs w:val="17"/>
          <w:u w:val="single" w:color="auto"/>
          <w:color w:val="auto"/>
        </w:rPr>
        <w:t>3.26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4.02</w:t>
      </w:r>
      <w:r>
        <w:rPr>
          <w:rFonts w:ascii="Times New Roman" w:cs="Times New Roman" w:eastAsia="Times New Roman" w:hAnsi="Times New Roman"/>
          <w:sz w:val="17"/>
          <w:szCs w:val="17"/>
          <w:color w:val="auto"/>
        </w:rPr>
        <w:t xml:space="preserve"> (as it pertains to the Revolving Loans and Swingline Advances), </w:t>
      </w:r>
      <w:r>
        <w:rPr>
          <w:rFonts w:ascii="Times New Roman" w:cs="Times New Roman" w:eastAsia="Times New Roman" w:hAnsi="Times New Roman"/>
          <w:sz w:val="17"/>
          <w:szCs w:val="17"/>
          <w:u w:val="single" w:color="auto"/>
          <w:color w:val="auto"/>
        </w:rPr>
        <w:t>5.01(a)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5.01(b)</w:t>
      </w:r>
      <w:r>
        <w:rPr>
          <w:rFonts w:ascii="Times New Roman" w:cs="Times New Roman" w:eastAsia="Times New Roman" w:hAnsi="Times New Roman"/>
          <w:sz w:val="17"/>
          <w:szCs w:val="17"/>
          <w:color w:val="auto"/>
        </w:rPr>
        <w:t>,</w:t>
      </w:r>
    </w:p>
    <w:p>
      <w:pPr>
        <w:ind w:left="4"/>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5.01(d)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5.11</w:t>
      </w:r>
      <w:r>
        <w:rPr>
          <w:rFonts w:ascii="Times New Roman" w:cs="Times New Roman" w:eastAsia="Times New Roman" w:hAnsi="Times New Roman"/>
          <w:sz w:val="17"/>
          <w:szCs w:val="17"/>
          <w:color w:val="auto"/>
        </w:rPr>
        <w:t xml:space="preserve"> (as it pertains to the Revolving Loans), </w:t>
      </w:r>
      <w:r>
        <w:rPr>
          <w:rFonts w:ascii="Times New Roman" w:cs="Times New Roman" w:eastAsia="Times New Roman" w:hAnsi="Times New Roman"/>
          <w:sz w:val="17"/>
          <w:szCs w:val="17"/>
          <w:u w:val="single" w:color="auto"/>
          <w:color w:val="auto"/>
        </w:rPr>
        <w:t>5.09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(in each case, as it pertains to the right of Required Revolving Lenders to terminate Revolving Commitments), </w:t>
      </w:r>
      <w:r>
        <w:rPr>
          <w:rFonts w:ascii="Times New Roman" w:cs="Times New Roman" w:eastAsia="Times New Roman" w:hAnsi="Times New Roman"/>
          <w:sz w:val="17"/>
          <w:szCs w:val="17"/>
          <w:u w:val="single" w:color="auto"/>
          <w:color w:val="auto"/>
        </w:rPr>
        <w:t>9.02</w:t>
      </w:r>
      <w:r>
        <w:rPr>
          <w:rFonts w:ascii="Times New Roman" w:cs="Times New Roman" w:eastAsia="Times New Roman" w:hAnsi="Times New Roman"/>
          <w:sz w:val="17"/>
          <w:szCs w:val="17"/>
          <w:color w:val="auto"/>
        </w:rPr>
        <w:t xml:space="preserve"> (as it pertains to amendments, waivers or modifications of the Administrative Agent’s or Revolving Agent’s rights to take action on behalf of the Revolving Lenders), </w:t>
      </w:r>
      <w:r>
        <w:rPr>
          <w:rFonts w:ascii="Times New Roman" w:cs="Times New Roman" w:eastAsia="Times New Roman" w:hAnsi="Times New Roman"/>
          <w:sz w:val="17"/>
          <w:szCs w:val="17"/>
          <w:u w:val="single" w:color="auto"/>
          <w:color w:val="auto"/>
        </w:rPr>
        <w:t>9.15</w:t>
      </w:r>
      <w:r>
        <w:rPr>
          <w:rFonts w:ascii="Times New Roman" w:cs="Times New Roman" w:eastAsia="Times New Roman" w:hAnsi="Times New Roman"/>
          <w:sz w:val="17"/>
          <w:szCs w:val="17"/>
          <w:color w:val="auto"/>
        </w:rPr>
        <w:t xml:space="preserve"> (as it pertains to amendments, waivers or modifications of the Administrative Agent’s or Revolving Agent’s rights to take action on behalf of the Revolving Lenders), </w:t>
      </w:r>
      <w:r>
        <w:rPr>
          <w:rFonts w:ascii="Times New Roman" w:cs="Times New Roman" w:eastAsia="Times New Roman" w:hAnsi="Times New Roman"/>
          <w:sz w:val="17"/>
          <w:szCs w:val="17"/>
          <w:u w:val="single" w:color="auto"/>
          <w:color w:val="auto"/>
        </w:rPr>
        <w:t>8.01(a)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8.07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9.18</w:t>
      </w:r>
      <w:r>
        <w:rPr>
          <w:rFonts w:ascii="Times New Roman" w:cs="Times New Roman" w:eastAsia="Times New Roman" w:hAnsi="Times New Roman"/>
          <w:sz w:val="17"/>
          <w:szCs w:val="17"/>
          <w:color w:val="auto"/>
        </w:rPr>
        <w:t xml:space="preserve">; (B) amend, modify or waive compliance with the conditions precedent to the obligations of any Revolving Lender or the Revolving Agent to make any Revolving Loan or Swingline Advance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(C) amend modify or terminate any provision set forth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or waive any Default or Event of Default for the sole purpose of satisfying the conditions precedent to the obligations of Revolving Lenders or the Revolving Agent to make any Revolving Loans or Swingline Advances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(D) change the definition of “Change of Control” or waive (including, for the avoidance of doubt, by forbearance with respect to) any Default or Event of Default under or pursuant to </w:t>
      </w:r>
      <w:r>
        <w:rPr>
          <w:rFonts w:ascii="Times New Roman" w:cs="Times New Roman" w:eastAsia="Times New Roman" w:hAnsi="Times New Roman"/>
          <w:sz w:val="17"/>
          <w:szCs w:val="17"/>
          <w:u w:val="single" w:color="auto"/>
          <w:color w:val="auto"/>
        </w:rPr>
        <w:t>Section 7.01(r)</w:t>
      </w:r>
      <w:r>
        <w:rPr>
          <w:rFonts w:ascii="Times New Roman" w:cs="Times New Roman" w:eastAsia="Times New Roman" w:hAnsi="Times New Roman"/>
          <w:sz w:val="17"/>
          <w:szCs w:val="17"/>
          <w:color w:val="auto"/>
        </w:rPr>
        <w:t xml:space="preserve">; (E) amend, waive or otherwise modify (or consent to any departure from including any waiver of a Default or Event of Default arising from a breach of)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and/or the definition of Consolidated Adjusted EBITDA, and/or any other component definition used in any of the foregoing if the effect of any such amendment, waiver, modification or consent (together with each other amendment, waiver, consent or modification made in respect thereof without the consent of the Required Revolving Lenders) is to loosen (or have the effect of loosening) the covenant levels or any of them set forth in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by more than 10% on a cumulative basis for any particular covenant level; (F) amend, waive or otherwise modify (or consent to any departure from including any waiver of a Default or Event of Default arising from a breach of) any of (1) </w:t>
      </w:r>
      <w:r>
        <w:rPr>
          <w:rFonts w:ascii="Times New Roman" w:cs="Times New Roman" w:eastAsia="Times New Roman" w:hAnsi="Times New Roman"/>
          <w:sz w:val="17"/>
          <w:szCs w:val="17"/>
          <w:u w:val="single" w:color="auto"/>
          <w:color w:val="auto"/>
        </w:rPr>
        <w:t>Sections 7.01(a)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7.01(b)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7.01(d)</w:t>
      </w:r>
      <w:r>
        <w:rPr>
          <w:rFonts w:ascii="Times New Roman" w:cs="Times New Roman" w:eastAsia="Times New Roman" w:hAnsi="Times New Roman"/>
          <w:sz w:val="17"/>
          <w:szCs w:val="17"/>
          <w:color w:val="auto"/>
        </w:rPr>
        <w:t xml:space="preserve"> (solely with respect to the delivery of quarterly and annual financials pursuant to </w:t>
      </w:r>
      <w:r>
        <w:rPr>
          <w:rFonts w:ascii="Times New Roman" w:cs="Times New Roman" w:eastAsia="Times New Roman" w:hAnsi="Times New Roman"/>
          <w:sz w:val="17"/>
          <w:szCs w:val="17"/>
          <w:u w:val="single" w:color="auto"/>
          <w:color w:val="auto"/>
        </w:rPr>
        <w:t>Sections 5.01(a)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5.01(b)</w:t>
      </w:r>
      <w:r>
        <w:rPr>
          <w:rFonts w:ascii="Times New Roman" w:cs="Times New Roman" w:eastAsia="Times New Roman" w:hAnsi="Times New Roman"/>
          <w:sz w:val="17"/>
          <w:szCs w:val="17"/>
          <w:color w:val="auto"/>
        </w:rPr>
        <w:t xml:space="preserve"> and the concurrent delivery of the Compliance Certificate pursuant to </w:t>
      </w:r>
      <w:r>
        <w:rPr>
          <w:rFonts w:ascii="Times New Roman" w:cs="Times New Roman" w:eastAsia="Times New Roman" w:hAnsi="Times New Roman"/>
          <w:sz w:val="17"/>
          <w:szCs w:val="17"/>
          <w:u w:val="single" w:color="auto"/>
          <w:color w:val="auto"/>
        </w:rPr>
        <w:t>Section 5.01(d)</w:t>
      </w:r>
      <w:r>
        <w:rPr>
          <w:rFonts w:ascii="Times New Roman" w:cs="Times New Roman" w:eastAsia="Times New Roman" w:hAnsi="Times New Roman"/>
          <w:sz w:val="17"/>
          <w:szCs w:val="17"/>
          <w:color w:val="auto"/>
        </w:rPr>
        <w:t xml:space="preserve">, solely to the extent such financial statements and/or Compliance Certificate are not delivered to the Administrative Agent for delivery to each Lender within twenty (20) days following the date such financial statements were required to be delivered pursuant to </w:t>
      </w:r>
      <w:r>
        <w:rPr>
          <w:rFonts w:ascii="Times New Roman" w:cs="Times New Roman" w:eastAsia="Times New Roman" w:hAnsi="Times New Roman"/>
          <w:sz w:val="17"/>
          <w:szCs w:val="17"/>
          <w:u w:val="single" w:color="auto"/>
          <w:color w:val="auto"/>
        </w:rPr>
        <w:t>Sections 5.01(a)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5.01(b)</w:t>
      </w:r>
      <w:r>
        <w:rPr>
          <w:rFonts w:ascii="Times New Roman" w:cs="Times New Roman" w:eastAsia="Times New Roman" w:hAnsi="Times New Roman"/>
          <w:sz w:val="17"/>
          <w:szCs w:val="17"/>
          <w:color w:val="auto"/>
        </w:rPr>
        <w:t xml:space="preserve"> and such Compliance Certificate was required to be delivered pursuant to </w:t>
      </w:r>
      <w:r>
        <w:rPr>
          <w:rFonts w:ascii="Times New Roman" w:cs="Times New Roman" w:eastAsia="Times New Roman" w:hAnsi="Times New Roman"/>
          <w:sz w:val="17"/>
          <w:szCs w:val="17"/>
          <w:u w:val="single" w:color="auto"/>
          <w:color w:val="auto"/>
        </w:rPr>
        <w:t>Section 5.01(d)</w:t>
      </w:r>
      <w:r>
        <w:rPr>
          <w:rFonts w:ascii="Times New Roman" w:cs="Times New Roman" w:eastAsia="Times New Roman" w:hAnsi="Times New Roman"/>
          <w:sz w:val="17"/>
          <w:szCs w:val="17"/>
          <w:color w:val="auto"/>
        </w:rPr>
        <w:t xml:space="preserve">); (2) </w:t>
      </w:r>
      <w:r>
        <w:rPr>
          <w:rFonts w:ascii="Times New Roman" w:cs="Times New Roman" w:eastAsia="Times New Roman" w:hAnsi="Times New Roman"/>
          <w:sz w:val="17"/>
          <w:szCs w:val="17"/>
          <w:u w:val="single" w:color="auto"/>
          <w:color w:val="auto"/>
        </w:rPr>
        <w:t>Sections 6.02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6.08</w:t>
      </w:r>
      <w:r>
        <w:rPr>
          <w:rFonts w:ascii="Times New Roman" w:cs="Times New Roman" w:eastAsia="Times New Roman" w:hAnsi="Times New Roman"/>
          <w:sz w:val="17"/>
          <w:szCs w:val="17"/>
          <w:color w:val="auto"/>
        </w:rPr>
        <w:t xml:space="preserve">; (3) </w:t>
      </w:r>
      <w:r>
        <w:rPr>
          <w:rFonts w:ascii="Times New Roman" w:cs="Times New Roman" w:eastAsia="Times New Roman" w:hAnsi="Times New Roman"/>
          <w:sz w:val="17"/>
          <w:szCs w:val="17"/>
          <w:u w:val="single" w:color="auto"/>
          <w:color w:val="auto"/>
        </w:rPr>
        <w:t>Sections 8.01(a)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8.01(b)</w:t>
      </w:r>
      <w:r>
        <w:rPr>
          <w:rFonts w:ascii="Times New Roman" w:cs="Times New Roman" w:eastAsia="Times New Roman" w:hAnsi="Times New Roman"/>
          <w:sz w:val="17"/>
          <w:szCs w:val="17"/>
          <w:color w:val="auto"/>
        </w:rPr>
        <w:t xml:space="preserve">; (4) </w:t>
      </w:r>
      <w:r>
        <w:rPr>
          <w:rFonts w:ascii="Times New Roman" w:cs="Times New Roman" w:eastAsia="Times New Roman" w:hAnsi="Times New Roman"/>
          <w:sz w:val="17"/>
          <w:szCs w:val="17"/>
          <w:u w:val="single" w:color="auto"/>
          <w:color w:val="auto"/>
        </w:rPr>
        <w:t>Section 7.01(d)</w:t>
      </w:r>
      <w:r>
        <w:rPr>
          <w:rFonts w:ascii="Times New Roman" w:cs="Times New Roman" w:eastAsia="Times New Roman" w:hAnsi="Times New Roman"/>
          <w:sz w:val="17"/>
          <w:szCs w:val="17"/>
          <w:color w:val="auto"/>
        </w:rPr>
        <w:t xml:space="preserve"> arising from the failure of the Borrower or any other Loan Party to observe or perform its obligations under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(5) </w:t>
      </w:r>
      <w:r>
        <w:rPr>
          <w:rFonts w:ascii="Times New Roman" w:cs="Times New Roman" w:eastAsia="Times New Roman" w:hAnsi="Times New Roman"/>
          <w:sz w:val="17"/>
          <w:szCs w:val="17"/>
          <w:u w:val="single" w:color="auto"/>
          <w:color w:val="auto"/>
        </w:rPr>
        <w:t>Sections 7.01(h)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7.01(i)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7.01(j)</w:t>
      </w:r>
      <w:r>
        <w:rPr>
          <w:rFonts w:ascii="Times New Roman" w:cs="Times New Roman" w:eastAsia="Times New Roman" w:hAnsi="Times New Roman"/>
          <w:sz w:val="17"/>
          <w:szCs w:val="17"/>
          <w:color w:val="auto"/>
        </w:rPr>
        <w:t xml:space="preserve">; (6) </w:t>
      </w:r>
      <w:r>
        <w:rPr>
          <w:rFonts w:ascii="Times New Roman" w:cs="Times New Roman" w:eastAsia="Times New Roman" w:hAnsi="Times New Roman"/>
          <w:sz w:val="17"/>
          <w:szCs w:val="17"/>
          <w:u w:val="single" w:color="auto"/>
          <w:color w:val="auto"/>
        </w:rPr>
        <w:t>Section 7.01(u)</w:t>
      </w:r>
      <w:r>
        <w:rPr>
          <w:rFonts w:ascii="Times New Roman" w:cs="Times New Roman" w:eastAsia="Times New Roman" w:hAnsi="Times New Roman"/>
          <w:sz w:val="17"/>
          <w:szCs w:val="17"/>
          <w:color w:val="auto"/>
        </w:rPr>
        <w:t>; (7)</w:t>
      </w:r>
    </w:p>
    <w:p>
      <w:pPr>
        <w:spacing w:after="0" w:line="202"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7.01(n)</w:t>
      </w:r>
      <w:r>
        <w:rPr>
          <w:rFonts w:ascii="Times New Roman" w:cs="Times New Roman" w:eastAsia="Times New Roman" w:hAnsi="Times New Roman"/>
          <w:sz w:val="18"/>
          <w:szCs w:val="18"/>
          <w:color w:val="auto"/>
        </w:rPr>
        <w:t xml:space="preserve"> or (8)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 (G) amend, waive or otherwise modify any of the following definitions: “Borrowing Base”</w:t>
      </w:r>
    </w:p>
    <w:p>
      <w:pPr>
        <w:spacing w:after="0" w:line="13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544"/>
          </w:cols>
          <w:pgMar w:left="876" w:top="270" w:right="479" w:bottom="1440" w:gutter="0" w:footer="0" w:header="0"/>
        </w:sectPr>
      </w:pPr>
    </w:p>
    <w:bookmarkStart w:id="312" w:name="page313"/>
    <w:bookmarkEnd w:id="312"/>
    <w:p>
      <w:pPr>
        <w:ind w:left="440" w:right="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component definition used therein), “Borrowing Base Certificate,” “Borrowing Request,” “Cash Dominion Event,” “Excluded Accounts,” “Extraordinary Advance,” “Minimum Revolving Interest Amount,” “Overadvance,” “Permitted Discretion,” “Reserves,” “Revolving Agent’s Account,” “Revolving Loan Exposure,” “Revolving Commitment,” “Revolving Obligations,” “Maturity Date” (solely as it relates to the Revolving Loans), “Revolving Lender,” “Revolving Creditor,” “Conforming Revolving Lender DIP Financing,” “Revolving Loans,” “Springing Control Agreement,” “Swingline Advance,” “Swingline Loan Limit,” “Conforming Term Lender DIP Financing,” and “Waterfall Trigger Event;”</w:t>
      </w:r>
    </w:p>
    <w:p>
      <w:pPr>
        <w:spacing w:after="0" w:line="3" w:lineRule="exact"/>
        <w:rPr>
          <w:sz w:val="20"/>
          <w:szCs w:val="20"/>
          <w:color w:val="auto"/>
        </w:rPr>
      </w:pPr>
    </w:p>
    <w:p>
      <w:pPr>
        <w:ind w:left="440" w:right="160" w:hanging="4"/>
        <w:spacing w:after="0" w:line="253" w:lineRule="auto"/>
        <w:tabs>
          <w:tab w:leader="none" w:pos="73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 the maturity or weighted average life to maturity of the Term Loans or require that any payment on the Term Loans be made earlier than the date originally scheduled for such payment; or (I) reduce the principal amount of any Loan or reduce the rate of interest thereon (provided, the cash pay interest amount may not be reduced by more than 50% without all directly affected Lenders), or reduce any fees payable hereunder (including any Prepayment Premium); and</w:t>
      </w:r>
    </w:p>
    <w:p>
      <w:pPr>
        <w:spacing w:after="0" w:line="81" w:lineRule="exact"/>
        <w:rPr>
          <w:sz w:val="20"/>
          <w:szCs w:val="20"/>
          <w:color w:val="auto"/>
        </w:rPr>
      </w:pPr>
    </w:p>
    <w:p>
      <w:pPr>
        <w:ind w:left="440" w:right="120" w:firstLine="952"/>
        <w:spacing w:after="0" w:line="261" w:lineRule="auto"/>
        <w:rPr>
          <w:sz w:val="20"/>
          <w:szCs w:val="20"/>
          <w:color w:val="auto"/>
        </w:rPr>
      </w:pPr>
      <w:r>
        <w:rPr>
          <w:rFonts w:ascii="Times New Roman" w:cs="Times New Roman" w:eastAsia="Times New Roman" w:hAnsi="Times New Roman"/>
          <w:sz w:val="18"/>
          <w:szCs w:val="18"/>
          <w:color w:val="auto"/>
        </w:rPr>
        <w:t>(iii)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The Borrower shall pay (i) all reasonable and documented out-of-pocket expenses incurred by the Agents and their respective Affiliates, including the reasonable and documented fees, charges and disbursements of counsel for the Agents, in connection with the preparation and administration of the Loan Documents or any amendments, modifications or waivers of the provisions thereof (limited to, in the case of legal fees and expenses, all reasonable and documented costs and out-of-pocket expenses of one legal counsel and, to the extent necessary, one local counsel in each relevant jurisdiction, but no other advisors without the Borrower’s prior consent) and (ii) all reasonable and documented out-of-pocket expenses incurred by the Administrative Agent or any Lender, including the fees, charges and disbursements of any counsel for the Administrative Agent or any Lender (limited to, in the case of legal fees and expenses, all reasonable and documented costs and out-of-pocket expenses of one legal counsel and, to the extent necessary, one local counsel in each relevant jurisdiction, but no other advisors without the Borrower’s prior consent), in connection with the enforcement or protection of its rights in connection with the Loan Documents, including its rights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or in connection with the Loans made hereunder, including all such reasonable and documented out-of-pocket expenses incurred during any workout, restructuring or negotiations in respect of such Loans.</w:t>
      </w:r>
    </w:p>
    <w:p>
      <w:pPr>
        <w:spacing w:after="0" w:line="19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(b)  The Borrower shall indemnify the Administrative Agent, the Collateral Agent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hold each Indemnitee harmless, from and against any and all losses, claims, damages, liabilities and related expenses, including the reasonable and documented fees, charges and disbursements of any counsel for any Indemnitee (limited to, in the case of fees, charges and disbursements of any counsel, one counsel to such Indemnitees, taken as a whole, one local counsel in each relevant jurisdiction to all such Indemnitees, taken as a whole, and, solely in the event of a conflict of interest, one additional counsel (and, if necessary, one local counsel in each relevant jurisdiction)), incurred by or asserted against any Indemnitee arising out of, in connection with, or as a result of (i) the execution or delivery of any Loan Document or any other agreement or instrument contemplated hereby, the performance by the parties to the Loan Documents of their respective obligations thereunder or the consummation of the Transactions or 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313" w:name="page314"/>
    <w:bookmarkEnd w:id="31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transactions contemplated hereby, (ii) any Loan or the use of the proceeds therefrom, (iii) any actual or alleged presence or Release of Hazardous Materials on, at, under or emanating from any Mortgaged Property or any other property currently or formerly owned or operated by the Borrower or any of its Subsidiaries, or any actual or alleged Environmental Liability related in any way to the Borrower or any of its Subsidiaries or their respective properties or operations, or (iv) any actual or prospective claim, litigation, investigation or proceeding relating to any of the foregoing, whether based on contract, tort or any other theory and regardless of whether any Indemnitee is a party thereto or such litigation, claim, investigation or proceeding is brought by a third party or by the Borrower or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Indemnitee shall be entitled to indemnity in respect of any such losses, claims, damages, liabilities or related expenses to the extent that (i) the same is found by a final, non-appealable judgment of a court of competent jurisdiction to have resulted from (a) the gross negligence, willful misconduct or bad faith of such Indemnitee or (b) a material breach by an Indemnitee of its obligations under this Agreement, (ii) the same arises solely from a dispute among Indemnitees (other than any claim against Ares Capital Corporation solely in its capacity as Administrative Agent) or (iii) any settlement is effected without the Borrower’s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Indemnitee agrees (by accepting the benefits hereof) to refund and return any and all amounts paid or caused to be paid by the Borrower to such Indemnitee to the extent any of the foregoing items described in clauses (i) through (iii) occurs. For the avoidance of doubt, this Section 9.03 shall not apply to Taxes (other than Taxes arising from a non-Tax claim). Payments under this Section 9.03(b) shall be made by the Borrower to the Administrative Agent for the benefit of the relevant Indemnitee.</w:t>
      </w:r>
    </w:p>
    <w:p>
      <w:pPr>
        <w:spacing w:after="0" w:line="19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(c)  To the extent that the Borrower fails to pay any amount required to be paid by it to the Administrative Agent or the Collateral Agent under Sections 9.03(a) or (b), each Lender severally agrees to pay to the Administrative Agent or the Collateral Agent, as applicable, such Lender’s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applicable, was incurred by or asserted against the Administrative Agent or the Collateral Agent in its capacity as such. For purposes hereof, a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shall be determined based upon its share of the aggregate outstanding Term Loans at the time.</w:t>
      </w:r>
    </w:p>
    <w:p>
      <w:pPr>
        <w:spacing w:after="0" w:line="187"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color w:val="auto"/>
        </w:rPr>
        <w:t>(d)  To the extent permitted by applicable Requirements of Law, no party hereto shall assert, and each party hereto hereby waives, any claim against any other Person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the use of the proceeds thereof (other than in respect of any such damages incurred or paid by an Indemnitee to a third party).</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   All amounts due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be payable not later than ten (10) days after written demand therefor.</w:t>
      </w:r>
    </w:p>
    <w:p>
      <w:pPr>
        <w:spacing w:after="0" w:line="225"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9.04. </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(except as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any attempted assignment or transfer by the Borrower without such consent shall be null and void) and (ii) no Lender may assign or otherwise transfer its rights or obligations hereunder except (i) to an Assignee pursuant to an assignment made in accordance with the provisions of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(such an assignee, an “</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(ii) by way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314" w:name="page315"/>
    <w:bookmarkEnd w:id="314"/>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participation in accordance with the provisions of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9.04(g)</w:t>
      </w:r>
      <w:r>
        <w:rPr>
          <w:rFonts w:ascii="Times New Roman" w:cs="Times New Roman" w:eastAsia="Times New Roman" w:hAnsi="Times New Roman"/>
          <w:sz w:val="18"/>
          <w:szCs w:val="18"/>
          <w:color w:val="auto"/>
        </w:rPr>
        <w:t xml:space="preserve"> (and any other attempted assignment or transfer by any party hereto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no Lender may assign or transfer by participation any of its rights or obligations hereunder to (i) a natural Person, (ii) to the Borrower or any of its respective Subsidiaries or (iii) any Defaulting Lender. Nothing in this Agreement, express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and, to the extent expressly contemplated hereby, the Related Parties of each of the Administrative Agent and the Lenders) any legal or equitable right, remedy or claim under or by reason of this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 Subject to the conditions set forth in clause (b)(ii) below, any Lender may assign to one or more assignees (collectively,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all or a portion of its rights and obligations under this Agreement (including all or a portion of its Commitment and the Loans at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owing to it) with the prior written consent (such consent not to be unreasonably withheld or delayed) of:</w:t>
      </w:r>
    </w:p>
    <w:p>
      <w:pPr>
        <w:spacing w:after="0" w:line="20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(I) for assignments to any Lender or Affiliate of a Lender or an Approved Fund (as defined below) thereof or (II) if an Event of Default under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7.01(i)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7.01(j)</w:t>
      </w:r>
      <w:r>
        <w:rPr>
          <w:rFonts w:ascii="Times New Roman" w:cs="Times New Roman" w:eastAsia="Times New Roman" w:hAnsi="Times New Roman"/>
          <w:sz w:val="18"/>
          <w:szCs w:val="18"/>
          <w:color w:val="auto"/>
        </w:rPr>
        <w:t xml:space="preserve">, solely with respect to the Borrower, has occurred and is continuing, any Assignee or an assignment of all or a portion of the Loans pursuant to </w:t>
      </w:r>
      <w:r>
        <w:rPr>
          <w:rFonts w:ascii="Times New Roman" w:cs="Times New Roman" w:eastAsia="Times New Roman" w:hAnsi="Times New Roman"/>
          <w:sz w:val="18"/>
          <w:szCs w:val="18"/>
          <w:u w:val="single" w:color="auto"/>
          <w:color w:val="auto"/>
        </w:rPr>
        <w:t>Section 9.04(i)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(x) the Borrower may withhold its consent (in its sole discretion) in respect of an assignment to an Affiliate (other than, in each case, Affiliates that constitute bona fide debt funds primarily investing in loans) of a Disqualified Institution and (y) the Borrower shall be deemed to have consented to an assignment unless it shall object thereto by written notice to the Administrative Agent within five (5) Business Days after having received notice thereof;</w:t>
      </w:r>
    </w:p>
    <w:p>
      <w:pPr>
        <w:spacing w:after="0" w:line="18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(2)  the Administrative Agent, provided that no consent of the Administrative Agent shall be required for an assignment (i) of all or any portion of a Term Loan or the Revolving Commitment (or if the Revolving Commitments are terminated, Revolving Loans) to a Lender, an Affiliate of a Lender or an Approved Fund, or (ii) from an Agent to its Affiliates; and</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(3)  with respect to an assignment of any Revolving Commitment (or if the Revolving Commitments are terminated, Revolving Loans), the Revolving Agent, provided that no consent of the Administrative Agent shall be required for an assignment (i) of all or any portion of the Revolving Commitment (or if the Revolving Commitments are terminated, Revolving Loans) to a Lender, an Affiliate of a Lender or an Approved Fund, or (ii) from an Agent to its Affiliates.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or anything to the contrary set forth herein, (i) no Lender may assign or transfer by participation any of its rights or obligations hereunder to any Person that is a Defaulting Lender or, unless a Specified Event of Default has occurred and is continuing, a Disqualified Institution and (ii) to the extent any Lender is required to assign any portion of its Commitments, Loans and other rights, duties and obligations hereunder in order to comply with applicable Requirements of Law, such assignment may be made by such Lender without the consent of the Borrower, the Administrative Agent or any other party hereto so long as such Lender complies with the requirements of </w:t>
      </w:r>
      <w:r>
        <w:rPr>
          <w:rFonts w:ascii="Times New Roman" w:cs="Times New Roman" w:eastAsia="Times New Roman" w:hAnsi="Times New Roman"/>
          <w:sz w:val="18"/>
          <w:szCs w:val="18"/>
          <w:u w:val="single" w:color="auto"/>
          <w:color w:val="auto"/>
        </w:rPr>
        <w:t>Section 9.04(b)(ii)</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Assignments shall be subject to the following conditions:</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(1)  except in the case of an assignment to a Lender or an Affiliate of a Lender or an assignment of the entire remaining amount of the assigning Lender’s Commitment or Loans, the amount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70" w:right="459" w:bottom="1440" w:gutter="0" w:footer="0" w:header="0"/>
        </w:sectPr>
      </w:pPr>
    </w:p>
    <w:bookmarkStart w:id="315" w:name="page316"/>
    <w:bookmarkEnd w:id="315"/>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(x) for an assignment by a Lender to an Affiliate or an Approved Fund of a Lender or (y) if an Event of Default under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has occurred and is continuing, and that contemporaneous assignments to Approved Funds related to the same Lender shall be aggregated when calculating such minimum assignment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consent of the Borrower will be deemed to have been given if the Borrower has not responded within five (5) Business Days of a request for such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unless a Specified Event of Default has occurred and is continuing, no assignment or participations shall be made to Disqualified Institutions or Competitors;</w:t>
      </w:r>
    </w:p>
    <w:p>
      <w:pPr>
        <w:spacing w:after="0" w:line="19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(2)  each partial assignment shall be made as an assignment of a proportionate part of all the assigning Lender’s rights and obligations under this Agreement;</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(3)  the parties to each assignment shall execute and deliver to the Administrative Agent an Assignment and Assumption, together with a processing and recordation fee of $3,500; and</w:t>
      </w:r>
    </w:p>
    <w:p>
      <w:pPr>
        <w:spacing w:after="0" w:line="16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  the assignee, if it is not already a Lender, shall deliver to the Administrative Agent an Administrative Questionnaire, the applicable tax forms described in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and all documentation and other information required by regulatory authorities under applicable “know your customer” and anti-money laundering rules and regulations, including, without limitation, the USA Patriot Act.</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(c)  Subject to acceptance and recording thereof pursuant to </w:t>
      </w:r>
      <w:r>
        <w:rPr>
          <w:rFonts w:ascii="Times New Roman" w:cs="Times New Roman" w:eastAsia="Times New Roman" w:hAnsi="Times New Roman"/>
          <w:sz w:val="18"/>
          <w:szCs w:val="18"/>
          <w:u w:val="single" w:color="auto"/>
          <w:color w:val="auto"/>
        </w:rPr>
        <w:t>Section 9.04(b)(iv)</w:t>
      </w:r>
      <w:r>
        <w:rPr>
          <w:rFonts w:ascii="Times New Roman" w:cs="Times New Roman" w:eastAsia="Times New Roman" w:hAnsi="Times New Roman"/>
          <w:sz w:val="18"/>
          <w:szCs w:val="18"/>
          <w:color w:val="auto"/>
        </w:rPr>
        <w:t xml:space="preserve">, from and after the recordation date of each Assignment and Assumption in the Register,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Section 9.04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(d)  The Administrative Agent, acting for this purpose as a non-fiduciary agent of the Borrower, shall maintain accessible at one of its offices a copy of each Assignment and Assumption delivered to it and a register for the recordation of the names and addresses of the Lenders, and the Commitment of, and principal amounts (and related stated interest amounts)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and the owner of the amounts owing to it under the Loan Documents as reflected in the Register for all purposes of the Loan Documents, notwithstanding notice to the contrary. The Register shall be available for inspection by the Borrower and, with respect to itself, any Lender, at any reasonable time and from time to time upon reasonable prior written notice.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316" w:name="page317"/>
    <w:bookmarkEnd w:id="316"/>
    <w:p>
      <w:pPr>
        <w:ind w:left="440" w:firstLine="95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Upon its receipt of a duly completed Assignment and Assumption executed by an assigning Lender and an assignee, the assignee’s completed Administrative Questionnaire (unless the assignee shall already be a Lender hereunder) and all documentation and other information required by regulatory authorities under applicable “know your customer” and anti-money laundering rules and regulations, including, without limitation, the USA Patriot Act, the processing and recordation fee referred to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and any written consent to such assignment required by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9" w:lineRule="exact"/>
        <w:rPr>
          <w:sz w:val="20"/>
          <w:szCs w:val="20"/>
          <w:color w:val="auto"/>
        </w:rPr>
      </w:pPr>
    </w:p>
    <w:p>
      <w:pPr>
        <w:ind w:right="60" w:firstLine="991"/>
        <w:spacing w:after="0" w:line="251" w:lineRule="auto"/>
        <w:rPr>
          <w:sz w:val="20"/>
          <w:szCs w:val="20"/>
          <w:color w:val="auto"/>
        </w:rPr>
      </w:pPr>
      <w:r>
        <w:rPr>
          <w:rFonts w:ascii="Times New Roman" w:cs="Times New Roman" w:eastAsia="Times New Roman" w:hAnsi="Times New Roman"/>
          <w:sz w:val="18"/>
          <w:szCs w:val="18"/>
          <w:color w:val="auto"/>
        </w:rPr>
        <w:t>(e)  Any Lender may, without the consent of the Borrower or the Administrative Agent, sell participations to one or more banks or other entities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Section 9.02(b) that requires the affirmative vote of such Lender. Each Lender that sells a participation shall, acting solely for this purpose as a non-fiduciary agent of the Borrower, maintain a register complying with the requirements of Sections 163(f), 871(h) and 881(c)(2) of the Code and the Treasury regulations issued thereunder on which it enters the name and address of each Participant and the principal and stated interest amounts of each Participant’s interest in the Loans held by it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to establish that such Commitment, Loan or other obligation is in registered form under Section 5f.103-1(c) or Proposed Section 1.163-5(b) of the United States Treasury Regulations (or, in each case, any amended or successor version), or is otherwise required thereunder. The entries in the Participant Register shall be conclusive, absent manifest error, and such Lender shall treat each Person whose name is recorded in the Participant Register as the owner of such Loan or other obligation hereunder for all purposes of this Agreement notwithstanding any notice to the contrary. For the avoidance of doubt, the Administrative Agent (in its capacity as Administrative Agent) shall have no responsibility for maintaining a Participant Register. Subject to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 xml:space="preserve">, the Borrower agrees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to the same extent as if it were a Lender (subject to the requirements and limitations thereof,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to the participating Lender) and had acquired its interest by assignment pursuant to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 For the avoidance of doubt, each Lender shall be responsible for the indemnity under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with respect to any payments made by such Lender to its Participant(s).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317" w:name="page318"/>
    <w:bookmarkEnd w:id="317"/>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  A Participant shall not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and the entitlement to receive a greater payments results from a Change in Law that occurs after the Participant acquired the applicable participation. A Participant that would be a Foreign Lender if it were a Lender shall not be entitled to the benefits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as though it were a Lender (it being understood that the documentation required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be delivered to the participating Lender).</w:t>
      </w:r>
    </w:p>
    <w:p>
      <w:pPr>
        <w:spacing w:after="0" w:line="18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(g)  Any Lender may at any time pledge, assign or grant a security interest in all or any portion of its rights under this Agreement to secure obligations of such Lender, including any pledge, assignment or grant to secure obligations to a Federal Reserve Bank, and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not apply to any such pledge, assignment or grant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assignment or grant of a security interest shall release a Lender from any of its obligations hereunder or substitute any such pledge or assignee for such Lender as a party hereto.</w:t>
      </w:r>
    </w:p>
    <w:p>
      <w:pPr>
        <w:spacing w:after="0" w:line="180"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have independent significance and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or the termination of this Agreement or any provision hereof.</w:t>
      </w:r>
    </w:p>
    <w:p>
      <w:pPr>
        <w:spacing w:after="0" w:line="188"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transmission shall be effective as delivery of a manually executed counterpart of this Agreement.</w:t>
      </w:r>
    </w:p>
    <w:p>
      <w:pPr>
        <w:spacing w:after="0" w:line="188"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318" w:name="page319"/>
    <w:bookmarkEnd w:id="31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Defaulting Lender shall exercise any such right of setoff, (i) all amounts so set off shall be paid over immediately to the Administrative Agent for further application in accordance with the provisions of this Agreement and,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 off. The applicable Lender shall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9.08. The rights of each Lender under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are in addition to other rights and remedies (including other rights of setoff) which such Lender may have.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This Agreement shall be construed in accordance with and governed by the laws of the State of New York.</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(b)  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Collateral Agent or any Lender may otherwise have to bring any action or proceeding relating to this Agreement or any other Loan Document against the Borrower or its properties in the courts of any jurisdiction.</w:t>
      </w:r>
    </w:p>
    <w:p>
      <w:pPr>
        <w:spacing w:after="0" w:line="188"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(c)  The Borrower hereby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(d)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0"/>
          </w:cols>
          <w:pgMar w:left="440" w:top="270" w:right="459" w:bottom="1440" w:gutter="0" w:footer="0" w:header="0"/>
        </w:sectPr>
      </w:pPr>
    </w:p>
    <w:bookmarkStart w:id="319" w:name="page320"/>
    <w:bookmarkEnd w:id="319"/>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REQUIREMENTS OF LAW, ANY RIGHT IT MAY HAVE TO A TRIAL BY JURY IN ANY LEGAL PROCEEDING DIRECTLY OR INDIRECTLY ARISING OUT OF OR RELATING TO THIS AGREEMENT, ANY OTHER LOAN DOCUMENT OR THE TRANSACTIONS CONTEMPLATED HEREBY (WHETHER BASED ON CONTRACT, TORT OR ANY OTHER THEORY). EACH PARTY HERETO</w:t>
      </w:r>
    </w:p>
    <w:p>
      <w:pPr>
        <w:spacing w:after="0" w:line="3" w:lineRule="exact"/>
        <w:rPr>
          <w:sz w:val="20"/>
          <w:szCs w:val="20"/>
          <w:color w:val="auto"/>
        </w:rPr>
      </w:pPr>
    </w:p>
    <w:p>
      <w:pPr>
        <w:ind w:left="4" w:right="420" w:hanging="4"/>
        <w:spacing w:after="0" w:line="273" w:lineRule="auto"/>
        <w:tabs>
          <w:tab w:leader="none" w:pos="299"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Administrative Agent and the Lenders agrees to maintain the confidentiality of the Information (as defined below), except that Information may be disclosed (a) to its and its Affiliates’ directors, trustees, officers, employees, financing sources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or self-regulatory authority, (c) to the extent required by applicable Requirements of Law or regulations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to (i) any assignee or pledgee of or Participant in, or any prospective assignee or pledgee of or Participant in, any of its rights or obligations under this Agreement or (ii) 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or (ii) becomes available to the Administrative Agent or any Lender on a nonconfidential basis from a source other than the Borrower or any of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is not actually known by such disclosing party to be bound by an agreement containing provisions substantially the same as those contained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For the purposes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relating to the Borrower or its business, other than any such information that is available to the Administrative Agent or any Lender on a nonconfidential basis prior to disclosure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91" w:lineRule="exact"/>
        <w:rPr>
          <w:sz w:val="20"/>
          <w:szCs w:val="20"/>
          <w:color w:val="auto"/>
        </w:rPr>
      </w:pPr>
    </w:p>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84"/>
          </w:cols>
          <w:pgMar w:left="436" w:top="270" w:right="479" w:bottom="1440" w:gutter="0" w:footer="0" w:header="0"/>
        </w:sectPr>
      </w:pPr>
    </w:p>
    <w:bookmarkStart w:id="320" w:name="page321"/>
    <w:bookmarkEnd w:id="32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and each Agent hereby notifies the Borrower that pursuant to the requirements of the USA Patriot Act, it is required to obtain, verify and record information that identifies the Borrower, which information includes the name and address of the Borrower and other information that will allow such Person to identify the Borrower in accordance with the USA Patriot Act.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Release of Collateral</w:t>
      </w:r>
      <w:r>
        <w:rPr>
          <w:rFonts w:ascii="Times New Roman" w:cs="Times New Roman" w:eastAsia="Times New Roman" w:hAnsi="Times New Roman"/>
          <w:sz w:val="18"/>
          <w:szCs w:val="18"/>
          <w:color w:val="auto"/>
        </w:rPr>
        <w:t xml:space="preserve">. Upon any sale or other transfer by any Loan Party of any Collateral that is permitted under this Agreement, or upon the effectiveness of any written consent to the release of the security interest granted hereby in any Collateral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this Agreement, the Mortgage or other security interest in such Collateral shall be automatically released and the Collateral Agent is authorized to, and shall, take any action to effect the foregoing, including, without limitation, executing and delivering to the Borrower, in recordable form, discharges and releases of such Mortgage or other security interest.</w:t>
      </w:r>
    </w:p>
    <w:p>
      <w:pPr>
        <w:spacing w:after="0" w:line="183"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9.16. </w:t>
      </w:r>
      <w:r>
        <w:rPr>
          <w:rFonts w:ascii="Times New Roman" w:cs="Times New Roman" w:eastAsia="Times New Roman" w:hAnsi="Times New Roman"/>
          <w:sz w:val="17"/>
          <w:szCs w:val="17"/>
          <w:u w:val="single" w:color="auto"/>
          <w:color w:val="auto"/>
        </w:rPr>
        <w:t>Acknowledgement and Consent to Bail-In of Affected Financial Institutions</w:t>
      </w:r>
      <w:r>
        <w:rPr>
          <w:rFonts w:ascii="Times New Roman" w:cs="Times New Roman" w:eastAsia="Times New Roman" w:hAnsi="Times New Roman"/>
          <w:sz w:val="17"/>
          <w:szCs w:val="17"/>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4"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Lender that is an Affected Financial Institution;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117" w:lineRule="exact"/>
        <w:rPr>
          <w:sz w:val="20"/>
          <w:szCs w:val="20"/>
          <w:color w:val="auto"/>
        </w:rPr>
      </w:pPr>
    </w:p>
    <w:p>
      <w:pPr>
        <w:ind w:left="980" w:right="40" w:firstLine="401"/>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2" w:lineRule="exact"/>
        <w:rPr>
          <w:sz w:val="20"/>
          <w:szCs w:val="20"/>
          <w:color w:val="auto"/>
        </w:rPr>
      </w:pPr>
    </w:p>
    <w:p>
      <w:pPr>
        <w:ind w:left="980" w:right="360" w:firstLine="401"/>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9.17.</w:t>
      </w:r>
      <w:r>
        <w:rPr>
          <w:rFonts w:ascii="Times New Roman" w:cs="Times New Roman" w:eastAsia="Times New Roman" w:hAnsi="Times New Roman"/>
          <w:sz w:val="18"/>
          <w:szCs w:val="18"/>
          <w:u w:val="single" w:color="auto"/>
          <w:color w:val="auto"/>
        </w:rPr>
        <w:t>Purchase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Termination Notice; Purchase Notice</w:t>
      </w:r>
      <w:r>
        <w:rPr>
          <w:rFonts w:ascii="Times New Roman" w:cs="Times New Roman" w:eastAsia="Times New Roman" w:hAnsi="Times New Roman"/>
          <w:sz w:val="18"/>
          <w:szCs w:val="18"/>
          <w:color w:val="auto"/>
        </w:rPr>
        <w:t>. Upon the occurrence of a Purchase Option Trigger Event, the Administrative Agent shall provide prompt written notice to each Term Lender of the occurrence of such Purchase Option Trigger Event within one (1) Business Day after the Administrative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60"/>
          </w:cols>
          <w:pgMar w:left="440" w:top="270" w:right="499" w:bottom="1440" w:gutter="0" w:footer="0" w:header="0"/>
        </w:sectPr>
      </w:pPr>
    </w:p>
    <w:bookmarkStart w:id="321" w:name="page322"/>
    <w:bookmarkEnd w:id="321"/>
    <w:p>
      <w:pPr>
        <w:ind w:left="4" w:right="1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obtains knowledge thereof. Each such Term Lender shall deliver a non-binding indication of interest of participating in a purchase option within five (5) Business Days of receipt of such notice from the Administrative Agent. Following the delivery of such indication of interest, on one occasion exercised within thirty (30) days of a Purchase Option Trigger Event, such Term Lenders shall have the option, but not the obligation, to (x) purchase from the Revolving Lenders all, but not less than all, of the Revolving Loans and other Revolving Obligations owing to the Revolving Lenders and</w:t>
      </w:r>
    </w:p>
    <w:p>
      <w:pPr>
        <w:spacing w:after="0" w:line="3" w:lineRule="exact"/>
        <w:rPr>
          <w:sz w:val="20"/>
          <w:szCs w:val="20"/>
          <w:color w:val="auto"/>
        </w:rPr>
      </w:pPr>
    </w:p>
    <w:p>
      <w:pPr>
        <w:ind w:left="4" w:right="40" w:hanging="4"/>
        <w:spacing w:after="0" w:line="252" w:lineRule="auto"/>
        <w:tabs>
          <w:tab w:leader="none" w:pos="25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but not less than all, of the then-existing Revolving Commitments. Such right shall be exercised by the applicable Term Lenders giving a written notice (the “</w:t>
      </w: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to the Administrative Agent (who shall in turn promptly deliver such notice to each Revolving Lender). A Purchase Notice once delivered shall be irrevocable. Each Term Lender shall have the right to purchase its pro rata share of the Revolving Obligations and assume its pro rata share of the Revolving Commitments, and Term Lenders exercising such rights may exercise the rights of non-exercising Term Lenders, in each case on a pro rata basis as among exercising Term Lenders until such rights have been exercised as to all Revolving Obligations and all Revolving Commitments (in any case, prior to issuance of the Purchase Notice).</w:t>
      </w:r>
    </w:p>
    <w:p>
      <w:pPr>
        <w:spacing w:after="0" w:line="190"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Purchase Option Closing</w:t>
      </w:r>
      <w:r>
        <w:rPr>
          <w:rFonts w:ascii="Times New Roman" w:cs="Times New Roman" w:eastAsia="Times New Roman" w:hAnsi="Times New Roman"/>
          <w:sz w:val="18"/>
          <w:szCs w:val="18"/>
          <w:color w:val="auto"/>
        </w:rPr>
        <w:t>. On the date specified in the Purchase Notice (which shall not be less than three (3) Business Days nor more than five (5) Business Days after delivery to Administrative Agent of the Purchase Notice) (such date the “</w:t>
      </w:r>
      <w:r>
        <w:rPr>
          <w:rFonts w:ascii="Times New Roman" w:cs="Times New Roman" w:eastAsia="Times New Roman" w:hAnsi="Times New Roman"/>
          <w:sz w:val="18"/>
          <w:szCs w:val="18"/>
          <w:u w:val="single" w:color="auto"/>
          <w:color w:val="auto"/>
        </w:rPr>
        <w:t>Purchase Option Date</w:t>
      </w:r>
      <w:r>
        <w:rPr>
          <w:rFonts w:ascii="Times New Roman" w:cs="Times New Roman" w:eastAsia="Times New Roman" w:hAnsi="Times New Roman"/>
          <w:sz w:val="18"/>
          <w:szCs w:val="18"/>
          <w:color w:val="auto"/>
        </w:rPr>
        <w:t>”), the Revolving Lenders shall sell to the exercising Term Lenders, and the exercising Term Lenders shall purchase from the Revolving Lenders, all, but not less than all, of the Revolving Obligations, and the Revolving Lenders shall assign to the exercising Term Lenders, and the exercising Term Lenders shall assume from the Revolving Lenders all, but not less than all, of the then existing Revolving Commitments. Upon such closing, each selling Revolving Lender shall be released from all of its Revolving Commitments hereunder.</w:t>
      </w:r>
    </w:p>
    <w:p>
      <w:pPr>
        <w:spacing w:after="0" w:line="187" w:lineRule="exact"/>
        <w:rPr>
          <w:sz w:val="20"/>
          <w:szCs w:val="20"/>
          <w:color w:val="auto"/>
        </w:rPr>
      </w:pPr>
    </w:p>
    <w:p>
      <w:pPr>
        <w:ind w:left="4" w:right="300" w:firstLine="991"/>
        <w:spacing w:after="0" w:line="276"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Purchase Price</w:t>
      </w:r>
      <w:r>
        <w:rPr>
          <w:rFonts w:ascii="Times New Roman" w:cs="Times New Roman" w:eastAsia="Times New Roman" w:hAnsi="Times New Roman"/>
          <w:sz w:val="17"/>
          <w:szCs w:val="17"/>
          <w:color w:val="auto"/>
        </w:rPr>
        <w:t xml:space="preserve">. The purchase, sale and assumption pursuant to this </w:t>
      </w:r>
      <w:r>
        <w:rPr>
          <w:rFonts w:ascii="Times New Roman" w:cs="Times New Roman" w:eastAsia="Times New Roman" w:hAnsi="Times New Roman"/>
          <w:sz w:val="17"/>
          <w:szCs w:val="17"/>
          <w:u w:val="single" w:color="auto"/>
          <w:color w:val="auto"/>
        </w:rPr>
        <w:t>Section 9.17</w:t>
      </w:r>
      <w:r>
        <w:rPr>
          <w:rFonts w:ascii="Times New Roman" w:cs="Times New Roman" w:eastAsia="Times New Roman" w:hAnsi="Times New Roman"/>
          <w:sz w:val="17"/>
          <w:szCs w:val="17"/>
          <w:color w:val="auto"/>
        </w:rPr>
        <w:t xml:space="preserve"> shall be made by execution and delivery by the Administrative Agent, Revolving Lenders and exercising Term Lenders of an Assignment and Acceptance. Upon the date of such purchase and sale,</w:t>
      </w:r>
    </w:p>
    <w:p>
      <w:pPr>
        <w:spacing w:after="0" w:line="1" w:lineRule="exact"/>
        <w:rPr>
          <w:sz w:val="20"/>
          <w:szCs w:val="20"/>
          <w:color w:val="auto"/>
        </w:rPr>
      </w:pPr>
    </w:p>
    <w:p>
      <w:pPr>
        <w:ind w:left="4" w:right="20" w:hanging="4"/>
        <w:spacing w:after="0" w:line="251" w:lineRule="auto"/>
        <w:tabs>
          <w:tab w:leader="none" w:pos="21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exercising Term Lenders shall pay to the Administrative Agent for the Obligations with respect to the Revolving Loans and Swingline Advances owing to the Revolving Lenders and the Revolving Agent, including principal, interest accrued and unpaid thereon, and any fees accrued and unpaid thereon, to the extent earned or due and payable in accordance with the Loan Documents and irrespective of whether allowed or allowable in connection with any bankruptcy or insolvency proceeding, (ii) any contingent indemnification Obligations in respect of asserted indemnity claims payable to the Revolving Lenders or their respective Affiliates (which, in the case of contingent Obligations in respect thereof, shall be satisfied by providing the Administrative Agent cash collateral in an amount equal to 100% of such obligations; it being agreed by the parties hereto that the Administrative Agent shall (A) be entitled to apply such cash collateral solely to satisfy such obligations owing to the selling Revolving Lenders and their respective Affiliates and (B) promptly return any unapplied portion of such cash collateral to the Collateral Agent for the benefit of the Term Lenders at such time as all such Obligations have been paid in full) and (iii) all expenses to the extent owing to the Revolving Lenders in accordance with the Loan Documents shall have been paid in full. Such purchase price and cash collateral shall be remitted by wire transfer of immediately available funds to the Collateral Agent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solely for the account of the selling Revolving Lenders and shall be immediately distributed to such selling Lenders in accordance with their respective ratable shares. Interest and fees shall be calculated to but excluding the Business Day on which such purchase and sale shall occur if the amounts so paid by the Term Lenders are received by the Administrative Agent prior to 2:00 p.m. (New York City time) and interest and fees shall be calculated to and including such Business Day if the amounts so paid by the Term Lenders are received by Administrative Agent later than 2:00 p.m. (New York City time). If, within twelve (12) months after the consummation of the purchase, sale and assumption made pursuant to this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any Term Lender receives any Prepayment Premium solely</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4"/>
          </w:cols>
          <w:pgMar w:left="436" w:top="270" w:right="459" w:bottom="1440" w:gutter="0" w:footer="0" w:header="0"/>
        </w:sectPr>
      </w:pPr>
    </w:p>
    <w:bookmarkStart w:id="322" w:name="page323"/>
    <w:bookmarkEnd w:id="322"/>
    <w:p>
      <w:pPr>
        <w:jc w:val="both"/>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directly arising from the reduction or termination of Revolving Commitments in accordance with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then such Prepayment Premium shall be segregated and held in trust and promptly paid over to the Revolving Agent, for the benefit of the selling Revolving Lenders, in the same form as received, with any necessary endorsements. For the avoidance of doubt, the foregoing sentence shall not apply to any Prepayment Premium payable in respect of the Term Loans.</w:t>
      </w:r>
    </w:p>
    <w:p>
      <w:pPr>
        <w:spacing w:after="0" w:line="180"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Nature of Sale</w:t>
      </w:r>
      <w:r>
        <w:rPr>
          <w:rFonts w:ascii="Times New Roman" w:cs="Times New Roman" w:eastAsia="Times New Roman" w:hAnsi="Times New Roman"/>
          <w:sz w:val="18"/>
          <w:szCs w:val="18"/>
          <w:color w:val="auto"/>
        </w:rPr>
        <w:t xml:space="preserve">. The purchase and sale pursuant to this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shall be expressly made without representation or warranty of any kind by the Revolving Lenders as to the Revolving Obligations or otherwise and without recourse to the Revolving Lenders, except for representations and warranties as to the following made by each selling Lender severally (and not jointly): (i) the amount of the Revolving Obligations being purchased from such selling Lender (including as to the principal of and accrued and unpaid interest on such Revolving Obligations, fees and expenses thereof),</w:t>
      </w:r>
    </w:p>
    <w:p>
      <w:pPr>
        <w:spacing w:after="0" w:line="3" w:lineRule="exact"/>
        <w:rPr>
          <w:sz w:val="20"/>
          <w:szCs w:val="20"/>
          <w:color w:val="auto"/>
        </w:rPr>
      </w:pPr>
    </w:p>
    <w:p>
      <w:pPr>
        <w:ind w:left="4" w:right="100" w:hanging="4"/>
        <w:spacing w:after="0" w:line="267" w:lineRule="auto"/>
        <w:tabs>
          <w:tab w:leader="none" w:pos="269"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such selling Lender owns the Revolving Obligations held by it free and clear of any Liens created by it and (iii) such selling Lender has the full right and power to assign its Revolving Obligations and such assignment has been duly authorized by all necessary corporate action by such selling Lender. Notwithstanding anything herein, each selling Revolving Lender shall retain all of their respective indemnification rights under the Loan Documents arising in respect of any act or omission that occurred on or before the date of such purchase and sale, and in furtherance of the foregoing, no amendment to such indemnification rights or their priority under any waterfall provision shall be amended, modified, waived or terminated without the consent of each affected selling Lender. In connection with any such exercise of the purchase option pursuant to this </w:t>
      </w:r>
      <w:r>
        <w:rPr>
          <w:rFonts w:ascii="Times New Roman" w:cs="Times New Roman" w:eastAsia="Times New Roman" w:hAnsi="Times New Roman"/>
          <w:sz w:val="17"/>
          <w:szCs w:val="17"/>
          <w:u w:val="single" w:color="auto"/>
          <w:color w:val="auto"/>
        </w:rPr>
        <w:t>Section 9.17</w:t>
      </w:r>
      <w:r>
        <w:rPr>
          <w:rFonts w:ascii="Times New Roman" w:cs="Times New Roman" w:eastAsia="Times New Roman" w:hAnsi="Times New Roman"/>
          <w:sz w:val="17"/>
          <w:szCs w:val="17"/>
          <w:color w:val="auto"/>
        </w:rPr>
        <w:t xml:space="preserve">, the purchasing Term Lenders may amend the payment priority of all or any portion of the Revolving Loans and Revolving Commitments so purchased to remove the “super priority” provisions relating thereto and cause such purchased Revolving Loans and Revolving Commitments to be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of payment with the Term Loans hereunder (it being understood that such purchased Revolving Loans and Revolving Commitments shall otherwise contain the same terms and provisions otherwise applicable to the existing Revolving Loans and Revolving Commitments). The Borrower and the Lenders hereby agree that this Agreement may be amended without the consent of any Person to effect the foregoing changes.</w:t>
      </w:r>
    </w:p>
    <w:p>
      <w:pPr>
        <w:spacing w:after="0" w:line="181"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xml:space="preserve">. For the avoidance of doubt, the purchase option of the Term Lenders described in this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may be exercised by such Term Lenders’ respective Affiliates who are Eligible Assignees hereunder.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9.18.</w:t>
      </w:r>
      <w:r>
        <w:rPr>
          <w:rFonts w:ascii="Times New Roman" w:cs="Times New Roman" w:eastAsia="Times New Roman" w:hAnsi="Times New Roman"/>
          <w:sz w:val="18"/>
          <w:szCs w:val="18"/>
          <w:u w:val="single" w:color="auto"/>
          <w:color w:val="auto"/>
        </w:rPr>
        <w:t>Agreements of Revolving Lenders and Term Lenders; Subordination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Each Term Lender and, to the extent its claim arises in connection with a Term Loan or any Commitments related to Term Loans, each other Indemnitee and holder of an Obligation of a Loan Party (collectively, the “</w:t>
      </w:r>
      <w:r>
        <w:rPr>
          <w:rFonts w:ascii="Times New Roman" w:cs="Times New Roman" w:eastAsia="Times New Roman" w:hAnsi="Times New Roman"/>
          <w:sz w:val="18"/>
          <w:szCs w:val="18"/>
          <w:u w:val="single" w:color="auto"/>
          <w:color w:val="auto"/>
        </w:rPr>
        <w:t>Term Creditors</w:t>
      </w:r>
      <w:r>
        <w:rPr>
          <w:rFonts w:ascii="Times New Roman" w:cs="Times New Roman" w:eastAsia="Times New Roman" w:hAnsi="Times New Roman"/>
          <w:sz w:val="18"/>
          <w:szCs w:val="18"/>
          <w:color w:val="auto"/>
        </w:rPr>
        <w:t>”) acknowledges and agrees that because of their differing rights in proceeds of the Collateral, the Obligations arising under or in respect of the Term Loans and the Commitments related to Term Loans (collectively, the “</w:t>
      </w:r>
      <w:r>
        <w:rPr>
          <w:rFonts w:ascii="Times New Roman" w:cs="Times New Roman" w:eastAsia="Times New Roman" w:hAnsi="Times New Roman"/>
          <w:sz w:val="18"/>
          <w:szCs w:val="18"/>
          <w:u w:val="single" w:color="auto"/>
          <w:color w:val="auto"/>
        </w:rPr>
        <w:t>Term Obligations</w:t>
      </w:r>
      <w:r>
        <w:rPr>
          <w:rFonts w:ascii="Times New Roman" w:cs="Times New Roman" w:eastAsia="Times New Roman" w:hAnsi="Times New Roman"/>
          <w:sz w:val="18"/>
          <w:szCs w:val="18"/>
          <w:color w:val="auto"/>
        </w:rPr>
        <w:t>”) are fundamentally different from the obligations arising under or in respect of the Revolving Loans and the Revolving Commitments (and participations therein) (collectively, the “</w:t>
      </w:r>
      <w:r>
        <w:rPr>
          <w:rFonts w:ascii="Times New Roman" w:cs="Times New Roman" w:eastAsia="Times New Roman" w:hAnsi="Times New Roman"/>
          <w:sz w:val="18"/>
          <w:szCs w:val="18"/>
          <w:u w:val="single" w:color="auto"/>
          <w:color w:val="auto"/>
        </w:rPr>
        <w:t>Revolving Obligations</w:t>
      </w:r>
      <w:r>
        <w:rPr>
          <w:rFonts w:ascii="Times New Roman" w:cs="Times New Roman" w:eastAsia="Times New Roman" w:hAnsi="Times New Roman"/>
          <w:sz w:val="18"/>
          <w:szCs w:val="18"/>
          <w:color w:val="auto"/>
        </w:rPr>
        <w:t>”) and must be separately classified in any plan of reorganization proposed or confirmed in any bankruptcy or insolvency proceeding involving the Borrower or any Subsidiary Loan Party as a debtor. No Term Creditor shall seek in any such bankruptcy or insolvency proceeding to be treated as part of the same class of creditors as the Revolving Loans and/or the Revolving Commitments (and participations therein), each other Indemnitee and holder of an Obligation of a Loan Party (collectively, the “</w:t>
      </w:r>
      <w:r>
        <w:rPr>
          <w:rFonts w:ascii="Times New Roman" w:cs="Times New Roman" w:eastAsia="Times New Roman" w:hAnsi="Times New Roman"/>
          <w:sz w:val="18"/>
          <w:szCs w:val="18"/>
          <w:u w:val="single" w:color="auto"/>
          <w:color w:val="auto"/>
        </w:rPr>
        <w:t>Revolving Creditors</w:t>
      </w:r>
      <w:r>
        <w:rPr>
          <w:rFonts w:ascii="Times New Roman" w:cs="Times New Roman" w:eastAsia="Times New Roman" w:hAnsi="Times New Roman"/>
          <w:sz w:val="18"/>
          <w:szCs w:val="18"/>
          <w:color w:val="auto"/>
        </w:rPr>
        <w:t>”) or shall oppose any pleading or motion by the Revolving Creditors for the Revolving Creditors and the Term Creditors to be treated as separate classes of creditors. Notwithstanding the foregoing, and regardless of whether the Term Obligations arising in respect</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4"/>
          </w:cols>
          <w:pgMar w:left="436" w:top="270" w:right="459" w:bottom="1440" w:gutter="0" w:footer="0" w:header="0"/>
        </w:sectPr>
      </w:pPr>
    </w:p>
    <w:bookmarkStart w:id="323" w:name="page324"/>
    <w:bookmarkEnd w:id="32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Term Loans and the Revolving Obligations are separately classified in any such plan of reorganization, the Term Creditors hereby acknowledge and agree that to the extent that the aggregate value of the Collateral exceeds the amount of the Revolving Obligations, the Revolving Creditors shall be entitled to receive, in addition to amounts distributed to them in respect of principal, pre-petition interest and other claims, all amounts owing in respect of interest, and fees, costs and charges incurred subsequent to the commencement of the applicable bankruptcy or insolvency proceeding (regardless of whether such interest, and fees, costs and charges incurred subsequent to the commencement of the applicable bankruptcy or insolvency proceeding is allowed as part of the claims of the Revolving Creditors under Section 506(b) of the Bankruptcy Code or otherwise) payable pursuant to the payment priority provisions set forth in </w:t>
      </w:r>
      <w:r>
        <w:rPr>
          <w:rFonts w:ascii="Times New Roman" w:cs="Times New Roman" w:eastAsia="Times New Roman" w:hAnsi="Times New Roman"/>
          <w:sz w:val="18"/>
          <w:szCs w:val="18"/>
          <w:u w:val="single" w:color="auto"/>
          <w:color w:val="auto"/>
        </w:rPr>
        <w:t>Section 2.18(g)</w:t>
      </w:r>
      <w:r>
        <w:rPr>
          <w:rFonts w:ascii="Times New Roman" w:cs="Times New Roman" w:eastAsia="Times New Roman" w:hAnsi="Times New Roman"/>
          <w:sz w:val="18"/>
          <w:szCs w:val="18"/>
          <w:color w:val="auto"/>
        </w:rPr>
        <w:t xml:space="preserve"> before any distribution (whether pursuant to a plan of reorganization or otherwise) is made in respect of any of the claims held by the Term Creditors;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subject to the foregoing, and after repayment in full of the Revolving Obligations, the Term Creditors shall be entitled to all amounts owing in respect of interest, fees, costs and charges incurred subsequent to the commencement of the applicable bankruptcy or insolvency proceeding (regardless of whether such interest, fees, costs and charges incurred subsequent to the commencement of the applicable bankruptcy or insolvency proceeding is allowed as part of the claims of the Term Creditors under Section 506(b) of the Bankruptcy Code or otherwise). The Term Creditors hereby acknowledge and agree to hold in trust for the benefit of the Revolving Creditors and to turn over to the Revolving Creditors all distributions received or receivable by them in any bankruptcy or insolvency proceeding (whether pursuant to a plan of reorganization or otherwise) for the application of such distributions in accordance with the payment priority provisions set forth in </w:t>
      </w:r>
      <w:r>
        <w:rPr>
          <w:rFonts w:ascii="Times New Roman" w:cs="Times New Roman" w:eastAsia="Times New Roman" w:hAnsi="Times New Roman"/>
          <w:sz w:val="18"/>
          <w:szCs w:val="18"/>
          <w:u w:val="single" w:color="auto"/>
          <w:color w:val="auto"/>
        </w:rPr>
        <w:t>Section 2.18(g)</w:t>
      </w:r>
      <w:r>
        <w:rPr>
          <w:rFonts w:ascii="Times New Roman" w:cs="Times New Roman" w:eastAsia="Times New Roman" w:hAnsi="Times New Roman"/>
          <w:sz w:val="18"/>
          <w:szCs w:val="18"/>
          <w:color w:val="auto"/>
        </w:rPr>
        <w:t xml:space="preserve">, to the extent necessary to effectuate the intent of the preceding sentence, even if such turnover has the effect of reducing the claim or recovery of the Term Creditors. This </w:t>
      </w:r>
      <w:r>
        <w:rPr>
          <w:rFonts w:ascii="Times New Roman" w:cs="Times New Roman" w:eastAsia="Times New Roman" w:hAnsi="Times New Roman"/>
          <w:sz w:val="18"/>
          <w:szCs w:val="18"/>
          <w:u w:val="single" w:color="auto"/>
          <w:color w:val="auto"/>
        </w:rPr>
        <w:t>Section 9.18(a)</w:t>
      </w:r>
      <w:r>
        <w:rPr>
          <w:rFonts w:ascii="Times New Roman" w:cs="Times New Roman" w:eastAsia="Times New Roman" w:hAnsi="Times New Roman"/>
          <w:sz w:val="18"/>
          <w:szCs w:val="18"/>
          <w:color w:val="auto"/>
        </w:rPr>
        <w:t xml:space="preserve"> shall be applicable both before and after the institution of any Bankruptcy Event involving the Borrower or any other Loan Party, including, without limitation, the filing of any petition by or against the Borrower or any other Loan Party under the Bankruptcy Code, or any other Debtor Relief Law, and all converted or succeeding cases in respect thereof, and all references herein to the Borrower or any other Loan Party shall be deemed to apply to the trustee for the Borrower or such other Loan Party and the Borrower or such other Loan Party as debtor-in-possession. The relative rights of the Term Creditors and the Revolving Creditors in or to any distributions from or in respect of any Collateral or proceeds of Collateral shall continue after the institution of any Bankruptcy Event involving the Borrower or any other Loan Party on the same basis as prior to the date of such institution.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is a “subordination agreement” under section 510(a) of the Bankruptcy Code and shall be enforceable in any Bankruptcy Event.</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Bankruptcy Financing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80" w:firstLine="952"/>
        <w:spacing w:after="0" w:line="255" w:lineRule="auto"/>
        <w:rPr>
          <w:sz w:val="20"/>
          <w:szCs w:val="20"/>
          <w:color w:val="auto"/>
        </w:rPr>
      </w:pPr>
      <w:r>
        <w:rPr>
          <w:rFonts w:ascii="Times New Roman" w:cs="Times New Roman" w:eastAsia="Times New Roman" w:hAnsi="Times New Roman"/>
          <w:sz w:val="18"/>
          <w:szCs w:val="18"/>
          <w:color w:val="auto"/>
        </w:rPr>
        <w:t>(i)  If the Borrower or any other Loan Party shall become subject to a case or proceeding under the Bankruptcy Code or any similar Bankruptcy Event, and if, as a debtor-in-possession or otherwise, such party moves for approval of (x) financing under Section 364 of the Bankruptcy Code or similar Debtor Relief Law in connection with a Bankruptcy Event (such financing, “</w:t>
      </w:r>
      <w:r>
        <w:rPr>
          <w:rFonts w:ascii="Times New Roman" w:cs="Times New Roman" w:eastAsia="Times New Roman" w:hAnsi="Times New Roman"/>
          <w:sz w:val="18"/>
          <w:szCs w:val="18"/>
          <w:u w:val="single" w:color="auto"/>
          <w:color w:val="auto"/>
        </w:rPr>
        <w:t>DIP Financing</w:t>
      </w:r>
      <w:r>
        <w:rPr>
          <w:rFonts w:ascii="Times New Roman" w:cs="Times New Roman" w:eastAsia="Times New Roman" w:hAnsi="Times New Roman"/>
          <w:sz w:val="18"/>
          <w:szCs w:val="18"/>
          <w:color w:val="auto"/>
        </w:rPr>
        <w:t>”) to be provided by any Term Lender and/or (y) the use of cash collateral derived from the Collateral under Section 363 of the Bankruptcy Code or similar Debtor Relief Law in connection with a DIP Financing provided by the Term Lenders with respect to such Bankruptcy Event, then each of the Revolving Lenders and the Collateral Agent agree not to object to any use of cash-collateral derived from the Collateral or any such DIP Financing (nor support any other Person or entity objecting to such use of cash collateral or such DIP Financing), so long as either:</w:t>
      </w:r>
    </w:p>
    <w:p>
      <w:pPr>
        <w:spacing w:after="0" w:line="187" w:lineRule="exact"/>
        <w:rPr>
          <w:sz w:val="20"/>
          <w:szCs w:val="20"/>
          <w:color w:val="auto"/>
        </w:rPr>
      </w:pPr>
    </w:p>
    <w:p>
      <w:pPr>
        <w:ind w:right="560" w:firstLine="991"/>
        <w:spacing w:after="0" w:line="284" w:lineRule="auto"/>
        <w:rPr>
          <w:sz w:val="20"/>
          <w:szCs w:val="20"/>
          <w:color w:val="auto"/>
        </w:rPr>
      </w:pPr>
      <w:r>
        <w:rPr>
          <w:rFonts w:ascii="Times New Roman" w:cs="Times New Roman" w:eastAsia="Times New Roman" w:hAnsi="Times New Roman"/>
          <w:sz w:val="18"/>
          <w:szCs w:val="18"/>
          <w:color w:val="auto"/>
        </w:rPr>
        <w:t xml:space="preserve">(1)  such DIP Financing is (1) secured by a Lien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securing the Obligations and (2) subordinated in right of payment only to the Revolving Obligations; 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20"/>
          </w:cols>
          <w:pgMar w:left="440" w:top="270" w:right="439" w:bottom="1440" w:gutter="0" w:footer="0" w:header="0"/>
        </w:sectPr>
      </w:pPr>
    </w:p>
    <w:bookmarkStart w:id="324" w:name="page325"/>
    <w:bookmarkEnd w:id="3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such DIP Financing meets the following requirements:</w:t>
      </w:r>
    </w:p>
    <w:p>
      <w:pPr>
        <w:spacing w:after="0" w:line="115" w:lineRule="exact"/>
        <w:rPr>
          <w:sz w:val="20"/>
          <w:szCs w:val="20"/>
          <w:color w:val="auto"/>
        </w:rPr>
      </w:pPr>
    </w:p>
    <w:p>
      <w:pPr>
        <w:ind w:left="1420" w:right="100" w:firstLine="383"/>
        <w:spacing w:after="0" w:line="267" w:lineRule="auto"/>
        <w:rPr>
          <w:sz w:val="20"/>
          <w:szCs w:val="20"/>
          <w:color w:val="auto"/>
        </w:rPr>
      </w:pPr>
      <w:r>
        <w:rPr>
          <w:rFonts w:ascii="Times New Roman" w:cs="Times New Roman" w:eastAsia="Times New Roman" w:hAnsi="Times New Roman"/>
          <w:sz w:val="18"/>
          <w:szCs w:val="18"/>
          <w:color w:val="auto"/>
        </w:rPr>
        <w:t xml:space="preserve">(A)  if such DIP Financing is secured by a Lien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securing the Obligations, the Revolving Obligations are rolled up in their entirety into such DIP Financing and such rolled up Revolving Obligations are senior in right of payment to the other loans provided in connection with such DIP Financing;</w:t>
      </w:r>
    </w:p>
    <w:p>
      <w:pPr>
        <w:spacing w:after="0" w:line="67" w:lineRule="exact"/>
        <w:rPr>
          <w:sz w:val="20"/>
          <w:szCs w:val="20"/>
          <w:color w:val="auto"/>
        </w:rPr>
      </w:pPr>
    </w:p>
    <w:p>
      <w:pPr>
        <w:ind w:left="1420" w:firstLine="383"/>
        <w:spacing w:after="0" w:line="261" w:lineRule="auto"/>
        <w:rPr>
          <w:sz w:val="20"/>
          <w:szCs w:val="20"/>
          <w:color w:val="auto"/>
        </w:rPr>
      </w:pPr>
      <w:r>
        <w:rPr>
          <w:rFonts w:ascii="Times New Roman" w:cs="Times New Roman" w:eastAsia="Times New Roman" w:hAnsi="Times New Roman"/>
          <w:sz w:val="18"/>
          <w:szCs w:val="18"/>
          <w:color w:val="auto"/>
        </w:rPr>
        <w:t xml:space="preserve">(B)  the Collateral Agent receives replacement Liens and super-priority administrative expense claims as adequate protection for any diminution in value of the Collateral Agent’s interests in the Collateral to the same extent granted in connection with such DIP Financing or use of cash-collateral with the same priority (subject to (x)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and (y) the Liens and claims securing such DIP Financing or use of cash-collateral) as existed prior to such case or proceeding;</w:t>
      </w:r>
    </w:p>
    <w:p>
      <w:pPr>
        <w:spacing w:after="0" w:line="72" w:lineRule="exact"/>
        <w:rPr>
          <w:sz w:val="20"/>
          <w:szCs w:val="20"/>
          <w:color w:val="auto"/>
        </w:rPr>
      </w:pPr>
    </w:p>
    <w:p>
      <w:pPr>
        <w:ind w:left="1420" w:right="20" w:firstLine="383"/>
        <w:spacing w:after="0" w:line="261" w:lineRule="auto"/>
        <w:rPr>
          <w:sz w:val="20"/>
          <w:szCs w:val="20"/>
          <w:color w:val="auto"/>
        </w:rPr>
      </w:pPr>
      <w:r>
        <w:rPr>
          <w:rFonts w:ascii="Times New Roman" w:cs="Times New Roman" w:eastAsia="Times New Roman" w:hAnsi="Times New Roman"/>
          <w:sz w:val="18"/>
          <w:szCs w:val="18"/>
          <w:color w:val="auto"/>
        </w:rPr>
        <w:t>(C)  the agreements governing such DIP Financing or use of cash-collateral do not require (x) the Borrower or any other Loan Party to seek confirmation of a specific plan of reorganization or (y) the liquidation of all or any portion of the Collateral prior to an event of default under such DIP Financing or use of cash-collateral (but may include sale or plan of reorganization milestones providing for the sale of any portion of the Collateral or sale or reorganization of each Loan Party’s business as a going concern);</w:t>
      </w:r>
    </w:p>
    <w:p>
      <w:pPr>
        <w:spacing w:after="0" w:line="72" w:lineRule="exact"/>
        <w:rPr>
          <w:sz w:val="20"/>
          <w:szCs w:val="20"/>
          <w:color w:val="auto"/>
        </w:rPr>
      </w:pPr>
    </w:p>
    <w:p>
      <w:pPr>
        <w:ind w:left="1820" w:right="140"/>
        <w:spacing w:after="0" w:line="375" w:lineRule="auto"/>
        <w:rPr>
          <w:sz w:val="20"/>
          <w:szCs w:val="20"/>
          <w:color w:val="auto"/>
        </w:rPr>
      </w:pPr>
      <w:r>
        <w:rPr>
          <w:rFonts w:ascii="Times New Roman" w:cs="Times New Roman" w:eastAsia="Times New Roman" w:hAnsi="Times New Roman"/>
          <w:sz w:val="18"/>
          <w:szCs w:val="18"/>
          <w:color w:val="auto"/>
        </w:rPr>
        <w:t xml:space="preserve">(D)  such use of cash collateral or DIP Financing does not contravene the terms and conditions set forth in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(E)  the Administrative Agent (or its designee) will be the collateral agent in respect of such DIP Financing; and</w:t>
      </w:r>
    </w:p>
    <w:p>
      <w:pPr>
        <w:spacing w:after="0" w:line="1" w:lineRule="exact"/>
        <w:rPr>
          <w:sz w:val="20"/>
          <w:szCs w:val="20"/>
          <w:color w:val="auto"/>
        </w:rPr>
      </w:pPr>
    </w:p>
    <w:p>
      <w:pPr>
        <w:ind w:left="1420" w:right="80" w:firstLine="383"/>
        <w:spacing w:after="0" w:line="261" w:lineRule="auto"/>
        <w:rPr>
          <w:sz w:val="20"/>
          <w:szCs w:val="20"/>
          <w:color w:val="auto"/>
        </w:rPr>
      </w:pPr>
      <w:r>
        <w:rPr>
          <w:rFonts w:ascii="Times New Roman" w:cs="Times New Roman" w:eastAsia="Times New Roman" w:hAnsi="Times New Roman"/>
          <w:sz w:val="18"/>
          <w:szCs w:val="18"/>
          <w:color w:val="auto"/>
        </w:rPr>
        <w:t xml:space="preserve">(F)  the Term Lenders provide the Revolving Lenders with five (5) Business Days’ prior written notice of the initial proposal for such DIP Financing or use of cash-collateral and any material amendments thereto, which shall include a reasonable description of the material terms thereof (a DIP Financing and/or use of cash collateral complying with this </w:t>
      </w:r>
      <w:r>
        <w:rPr>
          <w:rFonts w:ascii="Times New Roman" w:cs="Times New Roman" w:eastAsia="Times New Roman" w:hAnsi="Times New Roman"/>
          <w:sz w:val="18"/>
          <w:szCs w:val="18"/>
          <w:u w:val="single" w:color="auto"/>
          <w:color w:val="auto"/>
        </w:rPr>
        <w:t>Section 9.18(b)(i)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Conforming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 Lender DIP Financing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Each of the Revolving Lenders and the Collateral Agent agrees that it will not raise any objections (nor support any other Person or entity in objecting) to a Conforming Term Lender DIP Financing, but may raise objections to any other financing proposed or provided by any Term Lender or any other Person without the prior written consent of the Required Revolving Lenders. Each Lender hereby agrees that any Revolving Lenders or any of their respective Affiliates or Approved Funds shall be entitled (but not obligated) to participate pro rata in such DIP Financing. Notwithstanding the foregoing, the Revolving Lenders may raise any objections to any such use of cash collateral or such financing that could be raised by any other creditor of the Borrower or any other Loan Party whose claims are not secured by any Liens on the Collateral, provided that such objections are not based on their status as secured creditors and are not inconsistent with the terms and conditions of this </w:t>
      </w:r>
      <w:r>
        <w:rPr>
          <w:rFonts w:ascii="Times New Roman" w:cs="Times New Roman" w:eastAsia="Times New Roman" w:hAnsi="Times New Roman"/>
          <w:sz w:val="18"/>
          <w:szCs w:val="18"/>
          <w:u w:val="single" w:color="auto"/>
          <w:color w:val="auto"/>
        </w:rPr>
        <w:t>Section 9.18.</w:t>
      </w:r>
    </w:p>
    <w:p>
      <w:pPr>
        <w:spacing w:after="0" w:line="81" w:lineRule="exact"/>
        <w:rPr>
          <w:sz w:val="20"/>
          <w:szCs w:val="20"/>
          <w:color w:val="auto"/>
        </w:rPr>
      </w:pPr>
    </w:p>
    <w:p>
      <w:pPr>
        <w:ind w:left="440" w:firstLine="952"/>
        <w:spacing w:after="0" w:line="282" w:lineRule="auto"/>
        <w:rPr>
          <w:sz w:val="20"/>
          <w:szCs w:val="20"/>
          <w:color w:val="auto"/>
        </w:rPr>
      </w:pPr>
      <w:r>
        <w:rPr>
          <w:rFonts w:ascii="Times New Roman" w:cs="Times New Roman" w:eastAsia="Times New Roman" w:hAnsi="Times New Roman"/>
          <w:sz w:val="18"/>
          <w:szCs w:val="18"/>
          <w:color w:val="auto"/>
        </w:rPr>
        <w:t>(ii)  If the Borrower or any other Loan Party shall become subject to a case or proceeding under the Bankruptcy Code or any similar Bankruptcy Event and if, as a debtor-in-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980"/>
          </w:cols>
          <w:pgMar w:left="440" w:top="270" w:right="479" w:bottom="1440" w:gutter="0" w:footer="0" w:header="0"/>
        </w:sectPr>
      </w:pPr>
    </w:p>
    <w:bookmarkStart w:id="325" w:name="page326"/>
    <w:bookmarkEnd w:id="325"/>
    <w:p>
      <w:pPr>
        <w:ind w:left="440"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possession or otherwise, such party moves for approval of (x) DIP Financing to be provided by any Revolving Lenders under Section 364 of the Bankruptcy Code or similar Debtor Relief Law in connection with a Bankruptcy Event and/or (y) the use of cash collateral derived from the Collateral under Section 363 of the Bankruptcy Code or similar Debtor Relief Law in connection with a DIP Financing provided by any Revolving Lenders with respect to such Bankruptcy Event, and the Term Lenders and their respective Affiliates and Approved Funds decline to provide or offer to provide a DIP Financing, any Revolving Lenders or any of their respective Affiliates or Approved Funds may, directly or indirectly, provide, offer to provide or participate in (by participation, guarantee or similar credit enhancement) any DIP Financing that complies with this </w:t>
      </w:r>
      <w:r>
        <w:rPr>
          <w:rFonts w:ascii="Times New Roman" w:cs="Times New Roman" w:eastAsia="Times New Roman" w:hAnsi="Times New Roman"/>
          <w:sz w:val="18"/>
          <w:szCs w:val="18"/>
          <w:u w:val="single" w:color="auto"/>
          <w:color w:val="auto"/>
        </w:rPr>
        <w:t>Section 9.18(b)(ii)</w:t>
      </w:r>
      <w:r>
        <w:rPr>
          <w:rFonts w:ascii="Times New Roman" w:cs="Times New Roman" w:eastAsia="Times New Roman" w:hAnsi="Times New Roman"/>
          <w:sz w:val="18"/>
          <w:szCs w:val="18"/>
          <w:color w:val="auto"/>
        </w:rPr>
        <w:t xml:space="preserve"> and such DIP Financing may be secured by a Lien junior to,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senior to the Lien securing the Obligations (or any portion thereof). The Term Lenders agree not to object to any such use of cash-collateral derived from the Collateral in connection with a DIP Financing provided by any Revolving Lender or any such DIP Financing (nor support any other Person or entity objecting to such use of cash collateral or such DIP Financing), so long as:</w:t>
      </w:r>
    </w:p>
    <w:p>
      <w:pPr>
        <w:spacing w:after="0" w:line="19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  the Collateral Agent receives replacement Liens and super-priority administrative expense claims as adequate protection for any diminution in value of the Collateral Agent’s interests in the Collateral to secure the Obligations owed to the Term Lenders to the same extent granted in connection with such DIP Financing or use of cash-collateral with the same priority (subject to (x) the payment priority provisions in </w:t>
      </w:r>
      <w:r>
        <w:rPr>
          <w:rFonts w:ascii="Times New Roman" w:cs="Times New Roman" w:eastAsia="Times New Roman" w:hAnsi="Times New Roman"/>
          <w:sz w:val="18"/>
          <w:szCs w:val="18"/>
          <w:u w:val="single" w:color="auto"/>
          <w:color w:val="auto"/>
        </w:rPr>
        <w:t>Section 2.18(g)</w:t>
      </w:r>
      <w:r>
        <w:rPr>
          <w:rFonts w:ascii="Times New Roman" w:cs="Times New Roman" w:eastAsia="Times New Roman" w:hAnsi="Times New Roman"/>
          <w:sz w:val="18"/>
          <w:szCs w:val="18"/>
          <w:color w:val="auto"/>
        </w:rPr>
        <w:t xml:space="preserve"> and (y) the Lien and claims securing such DIP Financing or use of cash-collateral) as existed prior to such case or proceeding;</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(2)  the aggregate principal amount of loans and letters of credit outstanding under such DIP Financing plus the amount of Revolving Obligations outstanding on the commencement of such case under the Bankruptcy Code or other Bankruptcy Event does not exceed an amount to be determined in good faith by the Revolving Lenders and the Term Lenders to fund the operational and administrative costs (net of operating cash) of such case under the Bankruptcy Code or such other Bankruptcy Event;</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(3)  the priority of payment of such DIP Financing is not both junior in right of payment to the Revolving Obligations and simultaneously senior or pari passu in right of payment to the Obligations owing to the Term Lenders;</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(4)  the agreements governing such DIP Financing or use of cash-collateral do not require (1) the Borrower or any other Loan Party to seek confirmation of a specific plan of reorganization or (2) the liquidation of all or any portion of the Collateral prior to an event of default under such DIP Financing or use of cash-collateral (but may include sale or plan of reorganization milestones providing for the sale or reorganization of each Loan Party’s business as a going concern);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   such DIP Financing or use of cash-collateral does not contravene the terms and conditions set forth in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   the Administrative Agent (or its designee) will be the collateral agent in respect of such DIP Financing; and</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  the Revolving Lenders provide the Term Lenders with five (5) Business Days’ prior written notice of the initial proposal for such DIP Financing or use of cash-collateral and any material amendments thereto, which shall include a reasonable description of the material terms thereof (a DIP Financing and/or use of cash collateral complying with this </w:t>
      </w:r>
      <w:r>
        <w:rPr>
          <w:rFonts w:ascii="Times New Roman" w:cs="Times New Roman" w:eastAsia="Times New Roman" w:hAnsi="Times New Roman"/>
          <w:sz w:val="18"/>
          <w:szCs w:val="18"/>
          <w:u w:val="single" w:color="auto"/>
          <w:color w:val="auto"/>
        </w:rPr>
        <w:t>Section 9.18(b)(ii)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Conforming Revolving Lender DIP Financing</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326" w:name="page327"/>
    <w:bookmarkEnd w:id="326"/>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Term Lender agrees that it will not raise any objections to a Conforming Revolving Lender DIP Financing, but may raise objections to any other financing proposed or provided by any Revolving Lender or any other Person without the prior written consent of the Required Term Lenders. Notwithstanding the foregoing, any Term Lender may raise any objections to any use of cash collateral or DIP Financing that could be raised by any other creditor of the Borrower or any other Loan Party whose claims are not secured by any Liens on the Collateral, provided that such objections are not based on their status as secured creditors and are not inconsistent with the terms and conditions of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Credit Bidding</w:t>
      </w:r>
      <w:r>
        <w:rPr>
          <w:rFonts w:ascii="Times New Roman" w:cs="Times New Roman" w:eastAsia="Times New Roman" w:hAnsi="Times New Roman"/>
          <w:sz w:val="18"/>
          <w:szCs w:val="18"/>
          <w:color w:val="auto"/>
        </w:rPr>
        <w:t>. The Revolving Lenders and the Term Lenders hereby acknowledge and agree that the Obligations (or any portion thereof) may not be credit bid by any Revolving Lender, any Term Lender or the Collateral Agent unless (i) (1) the Required Revolving Lenders have consented to such credit bid or (2) the Revolving Obligations are repaid in full in cash in connection with the closing of such credit bid and (ii) the Required Term Lenders have consented to such credit bid. Without limiting the foregoing, the Required Term Lenders may directly (or direct the Collateral Agent on their behalf to) make a credit bid on behalf of all Term Lenders and offset against the purchase price for any Collateral the amount of any Obligations owed to the Term Lenders without the consent of the Revolving Lenders if the Revolving Obligations are repaid in full in connection with the closing of such credit bid.</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Avoidance Issues; Reinstatement</w:t>
      </w:r>
      <w:r>
        <w:rPr>
          <w:rFonts w:ascii="Times New Roman" w:cs="Times New Roman" w:eastAsia="Times New Roman" w:hAnsi="Times New Roman"/>
          <w:sz w:val="18"/>
          <w:szCs w:val="18"/>
          <w:color w:val="auto"/>
        </w:rPr>
        <w:t>. The Revolving Lenders and the Term Lenders hereby acknowledge and agree that, if a Revolving Lender or a Term Lender receives payment or property on account of any Obligation, and the payment is subsequently invalidated, avoided, declared to be fraudulent or preferential, set aside, or otherwise required to be transferred to a trustee, receiver, or a Loan Party or the estate of a Loan Party (a “</w:t>
      </w: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 xml:space="preserve">”), then, to the extent of the Recovery, the Obligations intended to have been satisfied by the payment will be reinstated as Revolving Obligations or Obligations owed to the Term Lenders, as applicable, on the date of the Recovery, and no payment in full of the Revolving Obligations or payment in full of the Obligations owed to the Term Lenders, as applicable, will be deemed to have occurred for all or any purpose hereunder. If this Agreement is terminated prior to a Recovery,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will be reinstated in full force and effect, and such prior termination will not diminish, release, discharge, impair, or otherwise affect the obligations of the parties hereto from the date of reinstatement.</w:t>
      </w:r>
    </w:p>
    <w:p>
      <w:pPr>
        <w:spacing w:after="0" w:line="19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Rights of Loan Parties</w:t>
      </w:r>
      <w:r>
        <w:rPr>
          <w:rFonts w:ascii="Times New Roman" w:cs="Times New Roman" w:eastAsia="Times New Roman" w:hAnsi="Times New Roman"/>
          <w:sz w:val="18"/>
          <w:szCs w:val="18"/>
          <w:color w:val="auto"/>
        </w:rPr>
        <w:t xml:space="preserve">. Notwithstanding anything in this Section 9.18 to the contrary, each Lender and Agent hereby acknowledges and agrees that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is solely for the benefit of the Lenders and Agents party hereto, and that this Section 9.18 shall not be binding on any Loan Party and shall not otherwise restrict, modify, amend, impair or constrain in any way the rights, obligations, claims, defenses, or actions of any Loan Party.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80"/>
          </w:cols>
          <w:pgMar w:left="440" w:top="270" w:right="479" w:bottom="1440" w:gutter="0" w:footer="0" w:header="0"/>
        </w:sectPr>
      </w:pPr>
    </w:p>
    <w:bookmarkStart w:id="327" w:name="page328"/>
    <w:bookmarkEnd w:id="327"/>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AI, Inc. Announces Proposed Convertible Senior Notes Offering to Optimize Capital Structure and Reduce Interest Expense</w:t>
      </w:r>
    </w:p>
    <w:p>
      <w:pPr>
        <w:spacing w:after="0" w:line="133" w:lineRule="exact"/>
        <w:rPr>
          <w:sz w:val="20"/>
          <w:szCs w:val="20"/>
          <w:color w:val="auto"/>
        </w:rPr>
      </w:pPr>
    </w:p>
    <w:p>
      <w:pPr>
        <w:ind w:left="960" w:right="120" w:hanging="424"/>
        <w:spacing w:after="0" w:line="267" w:lineRule="auto"/>
        <w:tabs>
          <w:tab w:leader="none" w:pos="9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portion of the proceeds expected to be used to repay outstanding Term Loans, including immediately paying off the $275MM 2027 Term Loan, reducing interest expense and enhancing financial flexibility. A portion of the proceeds expected to be used to pay for capped call transactions to reduce potential dilution. Additional proceeds expected to be deployed for general corporate purposes.</w:t>
      </w:r>
    </w:p>
    <w:p>
      <w:pPr>
        <w:spacing w:after="0" w:line="17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CHICAGO, June 30, 2025 </w:t>
      </w:r>
      <w:r>
        <w:rPr>
          <w:rFonts w:ascii="Times New Roman" w:cs="Times New Roman" w:eastAsia="Times New Roman" w:hAnsi="Times New Roman"/>
          <w:sz w:val="18"/>
          <w:szCs w:val="18"/>
          <w:color w:val="auto"/>
        </w:rPr>
        <w:t>— Tempus AI, Inc. (“Tempus”) (NASDAQ: TEM), a technology company leading the adoption of AI to advance precision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 and patient care, today announced its intent to offer, subject to market conditions and other factors, $400 million aggregate principal amount of Convertible Senior Notes due in 2030 (the “Notes”) in a private placement (the “Offering”) to persons reasonably believed to be qualified institutional buyers pursuant to Rule 144A under the Securities Act of 1933, as amended (the “Securities Act”). Tempus also intends to grant the initial purchasers of the Notes an over-allotment option to purchase, within a 13-day period beginning on, and including, the date on which the Notes are first issued, up to an additional $60 million aggregate principal amount of Notes.</w:t>
      </w:r>
    </w:p>
    <w:p>
      <w:pPr>
        <w:spacing w:after="0" w:line="18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Notes will be general unsecured obligations of Tempus, will accrue interest payable semiannually in arrears and will mature on July 15, 2030, unless earlier converted, redeemed or repurchased. Upon conversion, Tempus will pay or deliver cash, shares of Tempus’ Class A common stock, par value $0.0001 per share (“Class A common stock”), or a combination of cash and shares of Class A common stock, at its election. The interest rate, initial conversion rate and other terms of the Notes will be determined at the time of pricing of the Offering.</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Tempus expects to use the net proceeds from the Offering to repay $274.7 million principal amount of its outstanding senior secured term loans, plus any unpaid premium and interest, to pay the cost of the capped call transactions described below and for general corporate purposes, including acquisitions or strategic investments in complementary businesses or technologies, working capital, operating expenses, capital expenditures or repayment of additional indebtedness. If the initial purchasers exercise their over-allotment option to purchase additional Notes, Tempus expects to use a portion of the net proceeds from the sale of the additional Notes to enter into additional capped call transactions and for the general corporate purposes described above.</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Notes, including the potential over-allotment Notes, Tempus expects to enter into privately negotiated capped call transactions with one or more of the initial purchasers or affiliates thereof and/or other financial institutions (the “Option Counterparties”). The capped call transactions will cover, subject to customary adjustments, the number of shares of Class A common stock initially underlying the Notes. The capped call transactions are expected generally to reduce the potential dilution to the Class A common stock upon any conversion of Notes and/or offset any cash payments Tempus is required to make in excess of the principal amount of converted Notes, as the case may be, with such reduction and/or offset subject to a cap.</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Tempus expects the Option Counterparties or their respective affiliates will enter into various derivative transactions with respect to the Class A common stock and/or purchase shares of Class A common stock concurrently with or shortly after the pricing of the Notes, including with, or from, certain investors in the Notes. This activity could increase (or reduce the size of any decrease in) the market price of the Class A common stock or the Notes at that time.</w:t>
      </w:r>
    </w:p>
    <w:p>
      <w:pPr>
        <w:sectPr>
          <w:pgSz w:w="11900" w:h="16838" w:orient="portrait"/>
          <w:cols w:equalWidth="0" w:num="1">
            <w:col w:w="11020"/>
          </w:cols>
          <w:pgMar w:left="440" w:top="117" w:right="439" w:bottom="1440" w:gutter="0" w:footer="0" w:header="0"/>
        </w:sectPr>
      </w:pPr>
    </w:p>
    <w:bookmarkStart w:id="328" w:name="page329"/>
    <w:bookmarkEnd w:id="328"/>
    <w:p>
      <w:pPr>
        <w:ind w:right="10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Option Counterparties or their respective affiliates may modify their hedge positions by entering into or unwinding various derivatives with respect to the Class A common stock and/or purchasing or selling Class A common stock or other securities of Tempus in secondary market transactions following the pricing of the Notes and prior to the maturity of the Notes (and are likely to do so during the 20 trading day period beginning on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scheduled trading day prior to the maturity date of the Notes, or, to the extent Tempus exercises the relevant election under the capped call transactions, following any repurchase, redemption or conversion of the Notes). This activity could also cause or avoid an increase or a decrease in the market price of the Class A common stock or the Notes which could affect a noteholder’s ability to convert the Notes and, to the extent the activity occurs during any observation period related to a conversion of Notes, it could affect the number of shares, if any, and value of the consideration that a noteholder will receive upon conversion of its Notes.</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Notes and any shares of Class A common stock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Tempus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and Section 21E of the Securities Exchange Act of 1934, as amended, regarding, among other things, the proposed Offering, including statements concerning the proposed and the anticipated completion, timing and size of the proposed Offering of the Notes, the capped call transactions, the anticipated use of proceeds from the Offering, the impact of the Offering on Tempus’ future interest expense and strategic investments, and the potential impact of the foregoing or related transactions on dilution to holders of the Class A common stock and the market price of the Class A common stock or the Notes or the conversion price of the Notes. These forward-looking statements are based on Tempus’ current assumptions, expectations and beliefs and are subject to substantial risks, uncertainties, assumptions and changes in circumstances that may cause Tempus’ actual results, performance or achievements to differ materially from those expressed or implied in any forward-looking statement. These risks include,</w:t>
      </w:r>
    </w:p>
    <w:p>
      <w:pPr>
        <w:sectPr>
          <w:pgSz w:w="11900" w:h="16838" w:orient="portrait"/>
          <w:cols w:equalWidth="0" w:num="1">
            <w:col w:w="11000"/>
          </w:cols>
          <w:pgMar w:left="440" w:top="270" w:right="459" w:bottom="1440" w:gutter="0" w:footer="0" w:header="0"/>
        </w:sectPr>
      </w:pPr>
    </w:p>
    <w:bookmarkStart w:id="329" w:name="page330"/>
    <w:bookmarkEnd w:id="32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but are not limited to market risks, trends and conditions. These and other risks are more fully described in Tempus’ filings with the Securities and Exchange Commission (“SEC”), including in the section entitled “Risk Factors” in its Annual Report on Form 10-K for the year ended December 31, 2024, filed with the SEC on February 24, 2025, as well as other filings Tempus may make with the SEC in the future. Tempus undertakes no obligation to update any forward-looking statements to reflect events or circumstances after the date of this press release or to reflect new information or the occurrence of unanticipated events,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Erin Carron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media@tempus.com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Krutoholow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investorrelations@tempus.com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Tempus AI, Inc.</w:t>
      </w:r>
    </w:p>
    <w:p>
      <w:pPr>
        <w:sectPr>
          <w:pgSz w:w="11900" w:h="16838" w:orient="portrait"/>
          <w:cols w:equalWidth="0" w:num="1">
            <w:col w:w="10900"/>
          </w:cols>
          <w:pgMar w:left="440" w:top="270" w:right="55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Announces Pricing of Upsized Offering of $650 Million of Convertible Senior Notes</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CHICAGO, June 30, 2025 </w:t>
      </w:r>
      <w:r>
        <w:rPr>
          <w:rFonts w:ascii="Times New Roman" w:cs="Times New Roman" w:eastAsia="Times New Roman" w:hAnsi="Times New Roman"/>
          <w:sz w:val="18"/>
          <w:szCs w:val="18"/>
          <w:color w:val="auto"/>
        </w:rPr>
        <w:t>— Tempus AI, Inc. (“Tempus”) (NASDAQ: TEM), a technology company leading the adoption of AI to advance precision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 and patient care, today announced the pricing of $650 million aggregate principal amount of 0.75% Convertible Senior Notes due 2030 (the “Notes”) in a private placement (the “Offering”) to persons reasonably believed to be qualified institutional buyers pursuant to Rule 144A under the Securities Act of 1933, as amended (the “Securities Act”). The aggregate principal amount of the Offering was increased from the previously announced offering size of $400 million.</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Tempus also granted the initial purchasers of the Notes an over-allotment option to purchase, within a 13-day period beginning on, and including, the date on which the Notes are first issued, up to an additional $100 million aggregate principal amount of Notes. The sale of the Notes to the initial purchasers is expected to close on July 3, 2025, subject to customary closing conditions.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Notes will be general unsecured obligations of Tempus and will accrue interest payable semiannually in arrears on January 15 and July 15 of each year, beginning on January 15, 2026, at a rate of 0.75% per year. The Notes will mature on July 15, 2030, unless earlier converted, redeemed or repurchased.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Tempus estimates that the net proceeds from the Offering will be approximately $625.3 million (or approximately $721.7 million if the initial purchasers exercise their over-allotment option to purchase additional Notes in full), after deducting the initial purchasers’ discounts and commissions and estimated Offering expenses payable by Tempus.</w:t>
      </w:r>
    </w:p>
    <w:p>
      <w:pPr>
        <w:spacing w:after="0" w:line="17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Tempus expects to use the net proceeds from the Offering to repay $274.7 million principal amount of its outstanding senior secured term loans, plus accrued and unpaid premium and interest, to pay the approximately $36.2 million cost of the capped call transactions described below, and for general corporate purposes, which may include acquisitions or strategic investments in complementary businesses or technologies, working capital, operating expenses, capital expenditures and repayment of additional indebtedness. If the initial purchasers exercise their over-allotment option to purchase additional Notes, Tempus expects to use a portion of the net proceeds from the sale of the additional Notes to enter into additional capped call transactions and for the general corporate purposes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April 15, 2030, the Notes will be convertible at the option of the noteholders only if one or more specific conditions are met. On or after</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April 15, 2030 until the close of business on the second scheduled trading day immediately preceding the maturity date, the Notes will be convertible in integral multiples of $1,000 principal amount at the option of the noteholders at any time regardless of these conditions. Upon conversion, Tempus will pay or deliver, as the case may be, cash, shares of Tempus’ Class A common stock, par value $0.0001 per share (“Class A common stock”) or a combination of cash and shares of Class A Common stock, at its election. The initial conversion rate is 11.8778 shares of Class A Common stock per $1,000 principal amount of Notes (equivalent to an initial conversion price of approximately $84.19 per share of Class A Common stock, which represents a conversion premium of approximately 32.5% to the last reported sale price of Class A Common stock on the Nasdaq Global Select Market on June 30, 2025), and will be subject to customary anti-dilution adjustments.</w:t>
      </w:r>
    </w:p>
    <w:p>
      <w:pPr>
        <w:sectPr>
          <w:pgSz w:w="11900" w:h="16838" w:orient="portrait"/>
          <w:cols w:equalWidth="0" w:num="1">
            <w:col w:w="11020"/>
          </w:cols>
          <w:pgMar w:left="440" w:top="117" w:right="439" w:bottom="1440" w:gutter="0" w:footer="0" w:header="0"/>
        </w:sectPr>
      </w:pPr>
    </w:p>
    <w:bookmarkStart w:id="331" w:name="page332"/>
    <w:bookmarkEnd w:id="331"/>
    <w:p>
      <w:pPr>
        <w:ind w:right="4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Tempus may not redeem the Notes prior to July 20, 2028. Tempus may redeem for cash all or any portion of the Notes (subject to the partial redemption limitation described below), at its option, on or after July 20, 2028 and prior to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scheduled trading day immediately preceding the maturity date of the Notes if the last reported sale price of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Tempus provides notice of redemption at a redemption price equal to 100% of the principal amount of the Notes to be redeemed, plus accrued and unpaid interest to, but excluding, the redemption date. If Tempus redeems fewer than all of the outstanding Notes, at least $100 million aggregate principal amount of Notes must be outstanding and not subject to redemption as of, and after giving effect to, delivery of the relevant notice of redemption.</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Tempus undergoes a “fundamental change” (as defined in the indenture that will govern the Notes), then, subject to certain conditions and limited exceptions, holders of the Notes may require Tempus to repurchase for cash all or any portion of their Notes in principal amounts of $1,000 or an integral multiple thereof at a repurchase price equal to 100% of the principal amount of the Notes to be repurchased, plus accrued and unpaid interest, to, but excluding, the fundamental change repurchase date. In addition, following certain corporate events that occur prior to the maturity date of the Notes or if Tempus delivers a notice of redemption, Tempus will, in certain circumstances, increase the conversion rate of the Notes for a holder who elects to convert its Notes in connection with such a corporate event or convert its Notes called (or deemed called) for redemption during the related redemption period, as the case may be.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Tempus entered into privately negotiated capped call transactions with one of the initial purchasers and certain other financial institutions (the “Option Counterparties”). The capped call transactions cover, subject to customary adjustments, the number of shares of Class A common stock initially underlying the Notes. The capped call transactions are expected generally to reduce the potential dilution to the Class A common stock upon any conversion of Notes and/or offset any cash payments Tempus is required to make in excess of the principal amount of converted Notes, as the case may be, with such reduction and/or offset subject to a cap.</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cap price of the capped call transactions relating to the Notes will initially be $111.1950, which represents a premium of 75% over the last reported sale price of the Class A common stock on the Nasdaq Global Select Market on June 30, 2025, and is subject to certain adjustments under the terms of the capped call transactions.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Tempus expects the Option Counterparties or their respective affiliates will enter into various derivative transactions with respect to the Class A common stock and/or purchase shares of Class A common stock concurrently with or shortly after the pricing of the Notes, including with, or from, as the case may be, certain investors in the Notes. This activity could increase (or reduce the size of any decrease in) the market price of the Class A common stock or the Notes at that time.</w:t>
      </w:r>
    </w:p>
    <w:p>
      <w:pPr>
        <w:sectPr>
          <w:pgSz w:w="11900" w:h="16838" w:orient="portrait"/>
          <w:cols w:equalWidth="0" w:num="1">
            <w:col w:w="11000"/>
          </w:cols>
          <w:pgMar w:left="440" w:top="270" w:right="459" w:bottom="1440" w:gutter="0" w:footer="0" w:header="0"/>
        </w:sectPr>
      </w:pPr>
    </w:p>
    <w:bookmarkStart w:id="332" w:name="page333"/>
    <w:bookmarkEnd w:id="332"/>
    <w:p>
      <w:pPr>
        <w:ind w:right="10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Option Counterparties or their respective affiliates may modify their hedge positions by entering into or unwinding various derivatives with respect to the Class A common stock and/or purchasing or selling Class A common stock or other securities of Tempus in secondary market transactions following the pricing of the Notes and prior to the maturity of the Notes (and are likely to do so during the 20 trading day period beginning on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scheduled trading day prior to the maturity date of the Notes, or, to the extent Tempus exercises the relevant election under the capped call transactions, following any repurchase, redemption or conversion of the Notes). This activity could also cause or avoid an increase or a decrease in the market price of the Class A common stock or the Notes which could affect a noteholder’s ability to convert the Notes and, to the extent the activity occurs during any observation period related to a conversion of Notes, it could affect the number of shares, if any, and value of the consideration that a noteholder will receive upon conversion of its Notes.</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Notes and any shares of Class A common stock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Tempus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and Section 21E of the Securities Exchange Act of 1934, as amended, regarding, among other things, the proposed Offering, including statements concerning the proposed and the anticipated completion, timing and size of the proposed Offering of the Notes, the capped call transactions, the anticipated use of proceeds from the Offering, and the potential impact of the foregoing or related transactions on dilution to holders of the Class A common stock and the market price of the Class A common stock or the Notes or the conversion price of the Notes. These forward-looking statements are based on Tempus’ current assumptions, expectations and beliefs and are subject to substantial risks, uncertainties, assumptions and changes in circumstances that may cause Tempus’ actual results, performance or achievements to differ materially from those expressed or implied in any forward-looking statement. These risks include, but are not limited to market risks, trends and conditions. These and other risks are more fully described in Tempus’ filings with the Securities and Exchange Commission (“SEC”), including in the section entitled “Risk Factors” in its Annual Report on Form 10-K for the year ended December 31, 2024, filed with the SEC on February 24, 2025, as well as other filings Tempus may make with the SEC in the future. Tempus undertakes no obligation to update any forward-looking statements to reflect events or circumstances after the date of this press release or to reflect new information or the occurrence of unanticipated events, except as required by law.</w:t>
      </w:r>
    </w:p>
    <w:p>
      <w:pPr>
        <w:sectPr>
          <w:pgSz w:w="11900" w:h="16838" w:orient="portrait"/>
          <w:cols w:equalWidth="0" w:num="1">
            <w:col w:w="11000"/>
          </w:cols>
          <w:pgMar w:left="440" w:top="270" w:right="4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Erin Carron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media@tempus.com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Krutoholow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investorrelations@tempus.com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Tempus AI, Inc.</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1)"/>
      <w:numFmt w:val="decimal"/>
      <w:start w:val="4"/>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1)"/>
      <w:numFmt w:val="lowerRoman"/>
      <w:start w:val="1"/>
    </w:lvl>
  </w:abstractNum>
  <w:abstractNum w:abstractNumId="5">
    <w:nsid w:val="14FCE74E"/>
    <w:multiLevelType w:val="hybridMultilevel"/>
    <w:lvl w:ilvl="0">
      <w:lvlJc w:val="left"/>
      <w:lvlText w:val="(%1)"/>
      <w:numFmt w:val="lowerLetter"/>
      <w:start w:val="1"/>
    </w:lvl>
  </w:abstractNum>
  <w:abstractNum w:abstractNumId="6">
    <w:nsid w:val="6A3DD3E8"/>
    <w:multiLevelType w:val="hybridMultilevel"/>
    <w:lvl w:ilvl="0">
      <w:lvlJc w:val="left"/>
      <w:lvlText w:val="(%1)"/>
      <w:numFmt w:val="lowerLetter"/>
      <w:start w:val="1"/>
    </w:lvl>
  </w:abstractNum>
  <w:abstractNum w:abstractNumId="7">
    <w:nsid w:val="71C91298"/>
    <w:multiLevelType w:val="hybridMultilevel"/>
    <w:lvl w:ilvl="0">
      <w:lvlJc w:val="left"/>
      <w:lvlText w:val="(%1)"/>
      <w:numFmt w:val="lowerLetter"/>
      <w:start w:val="3"/>
    </w:lvl>
  </w:abstractNum>
  <w:abstractNum w:abstractNumId="8">
    <w:nsid w:val="9DAF632"/>
    <w:multiLevelType w:val="hybridMultilevel"/>
    <w:lvl w:ilvl="0">
      <w:lvlJc w:val="left"/>
      <w:lvlText w:val="(%1)"/>
      <w:numFmt w:val="lowerRoman"/>
      <w:start w:val="10"/>
    </w:lvl>
  </w:abstractNum>
  <w:abstractNum w:abstractNumId="9">
    <w:nsid w:val="53299938"/>
    <w:multiLevelType w:val="hybridMultilevel"/>
    <w:lvl w:ilvl="0">
      <w:lvlJc w:val="left"/>
      <w:lvlText w:val="(%1)"/>
      <w:numFmt w:val="lowerLetter"/>
      <w:start w:val="1"/>
    </w:lvl>
  </w:abstractNum>
  <w:abstractNum w:abstractNumId="10">
    <w:nsid w:val="1FBFE8E0"/>
    <w:multiLevelType w:val="hybridMultilevel"/>
    <w:lvl w:ilvl="0">
      <w:lvlJc w:val="left"/>
      <w:lvlText w:val="(%1)"/>
      <w:numFmt w:val="lowerLetter"/>
      <w:start w:val="4"/>
    </w:lvl>
  </w:abstractNum>
  <w:abstractNum w:abstractNumId="11">
    <w:nsid w:val="5092CA79"/>
    <w:multiLevelType w:val="hybridMultilevel"/>
    <w:lvl w:ilvl="0">
      <w:lvlJc w:val="left"/>
      <w:lvlText w:val="(%1)"/>
      <w:numFmt w:val="lowerRoman"/>
      <w:start w:val="3"/>
    </w:lvl>
  </w:abstractNum>
  <w:abstractNum w:abstractNumId="12">
    <w:nsid w:val="1D545C4D"/>
    <w:multiLevelType w:val="hybridMultilevel"/>
    <w:lvl w:ilvl="0">
      <w:lvlJc w:val="left"/>
      <w:lvlText w:val="(%1)"/>
      <w:numFmt w:val="lowerRoman"/>
      <w:start w:val="2"/>
    </w:lvl>
  </w:abstractNum>
  <w:abstractNum w:abstractNumId="13">
    <w:nsid w:val="59ADEA3D"/>
    <w:multiLevelType w:val="hybridMultilevel"/>
    <w:lvl w:ilvl="0">
      <w:lvlJc w:val="left"/>
      <w:lvlText w:val="(%1)"/>
      <w:numFmt w:val="lowerLetter"/>
      <w:start w:val="2"/>
    </w:lvl>
    <w:lvl w:ilvl="1">
      <w:lvlJc w:val="left"/>
      <w:lvlText w:val="(%2)"/>
      <w:numFmt w:val="lowerLetter"/>
      <w:start w:val="9"/>
    </w:lvl>
  </w:abstractNum>
  <w:abstractNum w:abstractNumId="14">
    <w:nsid w:val="288F1A34"/>
    <w:multiLevelType w:val="hybridMultilevel"/>
    <w:lvl w:ilvl="0">
      <w:lvlJc w:val="left"/>
      <w:lvlText w:val="(%1)"/>
      <w:numFmt w:val="lowerRoman"/>
      <w:start w:val="2"/>
    </w:lvl>
  </w:abstractNum>
  <w:abstractNum w:abstractNumId="15">
    <w:nsid w:val="2A155DBC"/>
    <w:multiLevelType w:val="hybridMultilevel"/>
    <w:lvl w:ilvl="0">
      <w:lvlJc w:val="left"/>
      <w:lvlText w:val="(%1)"/>
      <w:numFmt w:val="lowerLetter"/>
      <w:start w:val="1"/>
    </w:lvl>
  </w:abstractNum>
  <w:abstractNum w:abstractNumId="16">
    <w:nsid w:val="1D9F6E5F"/>
    <w:multiLevelType w:val="hybridMultilevel"/>
    <w:lvl w:ilvl="0">
      <w:lvlJc w:val="left"/>
      <w:lvlText w:val="(%1)"/>
      <w:numFmt w:val="lowerRoman"/>
      <w:start w:val="2"/>
    </w:lvl>
  </w:abstractNum>
  <w:abstractNum w:abstractNumId="17">
    <w:nsid w:val="97E1B4E"/>
    <w:multiLevelType w:val="hybridMultilevel"/>
    <w:lvl w:ilvl="0">
      <w:lvlJc w:val="left"/>
      <w:lvlText w:val="(%1)"/>
      <w:numFmt w:val="lowerLetter"/>
      <w:start w:val="2"/>
    </w:lvl>
  </w:abstractNum>
  <w:abstractNum w:abstractNumId="18">
    <w:nsid w:val="51088277"/>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9">
    <w:nsid w:val="1CA0C5FA"/>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20">
    <w:nsid w:val="53584BCB"/>
    <w:multiLevelType w:val="hybridMultilevel"/>
    <w:lvl w:ilvl="0">
      <w:lvlJc w:val="left"/>
      <w:lvlText w:val="(%1)"/>
      <w:numFmt w:val="upperLetter"/>
      <w:start w:val="3"/>
    </w:lvl>
  </w:abstractNum>
  <w:abstractNum w:abstractNumId="21">
    <w:nsid w:val="415E286C"/>
    <w:multiLevelType w:val="hybridMultilevel"/>
    <w:lvl w:ilvl="0">
      <w:lvlJc w:val="left"/>
      <w:lvlText w:val="(%1)"/>
      <w:numFmt w:val="lowerLetter"/>
      <w:start w:val="4"/>
    </w:lvl>
  </w:abstractNum>
  <w:abstractNum w:abstractNumId="22">
    <w:nsid w:val="7C58FD05"/>
    <w:multiLevelType w:val="hybridMultilevel"/>
    <w:lvl w:ilvl="0">
      <w:lvlJc w:val="left"/>
      <w:lvlText w:val="%1"/>
      <w:numFmt w:val="upperLetter"/>
      <w:start w:val="1"/>
    </w:lvl>
    <w:lvl w:ilvl="1">
      <w:lvlJc w:val="left"/>
      <w:lvlText w:val="(%2)"/>
      <w:numFmt w:val="decimal"/>
      <w:start w:val="1"/>
    </w:lvl>
  </w:abstractNum>
  <w:abstractNum w:abstractNumId="23">
    <w:nsid w:val="23D86AAC"/>
    <w:multiLevelType w:val="hybridMultilevel"/>
    <w:lvl w:ilvl="0">
      <w:lvlJc w:val="left"/>
      <w:lvlText w:val="(%1)"/>
      <w:numFmt w:val="upperLetter"/>
      <w:start w:val="24"/>
    </w:lvl>
    <w:lvl w:ilvl="1">
      <w:lvlJc w:val="left"/>
      <w:lvlText w:val="%2"/>
      <w:numFmt w:val="decimal"/>
      <w:start w:val="1"/>
    </w:lvl>
  </w:abstractNum>
  <w:abstractNum w:abstractNumId="24">
    <w:nsid w:val="45E6D486"/>
    <w:multiLevelType w:val="hybridMultilevel"/>
    <w:lvl w:ilvl="0">
      <w:lvlJc w:val="left"/>
      <w:lvlText w:val="(%1)"/>
      <w:numFmt w:val="upperLetter"/>
      <w:start w:val="1"/>
    </w:lvl>
  </w:abstractNum>
  <w:abstractNum w:abstractNumId="25">
    <w:nsid w:val="5C10FE21"/>
    <w:multiLevelType w:val="hybridMultilevel"/>
    <w:lvl w:ilvl="0">
      <w:lvlJc w:val="left"/>
      <w:lvlText w:val="(%1)"/>
      <w:numFmt w:val="upperLetter"/>
      <w:start w:val="3"/>
    </w:lvl>
  </w:abstractNum>
  <w:abstractNum w:abstractNumId="26">
    <w:nsid w:val="E7FFA2B"/>
    <w:multiLevelType w:val="hybridMultilevel"/>
    <w:lvl w:ilvl="0">
      <w:lvlJc w:val="left"/>
      <w:lvlText w:val="(%1)"/>
      <w:numFmt w:val="lowerLetter"/>
      <w:start w:val="5"/>
    </w:lvl>
  </w:abstractNum>
  <w:abstractNum w:abstractNumId="27">
    <w:nsid w:val="3C5991AA"/>
    <w:multiLevelType w:val="hybridMultilevel"/>
    <w:lvl w:ilvl="0">
      <w:lvlJc w:val="left"/>
      <w:lvlText w:val="(%1)"/>
      <w:numFmt w:val="lowerRoman"/>
      <w:start w:val="2"/>
    </w:lvl>
  </w:abstractNum>
  <w:abstractNum w:abstractNumId="28">
    <w:nsid w:val="4BD8591A"/>
    <w:multiLevelType w:val="hybridMultilevel"/>
    <w:lvl w:ilvl="0">
      <w:lvlJc w:val="left"/>
      <w:lvlText w:val="(%1)"/>
      <w:numFmt w:val="lowerRoman"/>
      <w:start w:val="1"/>
    </w:lvl>
  </w:abstractNum>
  <w:abstractNum w:abstractNumId="29">
    <w:nsid w:val="78DF6A55"/>
    <w:multiLevelType w:val="hybridMultilevel"/>
    <w:lvl w:ilvl="0">
      <w:lvlJc w:val="left"/>
      <w:lvlText w:val="(%1)"/>
      <w:numFmt w:val="lowerLetter"/>
      <w:start w:val="2"/>
    </w:lvl>
  </w:abstractNum>
  <w:abstractNum w:abstractNumId="30">
    <w:nsid w:val="39B7AAA2"/>
    <w:multiLevelType w:val="hybridMultilevel"/>
    <w:lvl w:ilvl="0">
      <w:lvlJc w:val="left"/>
      <w:lvlText w:val="(%1)"/>
      <w:numFmt w:val="lowerLetter"/>
      <w:start w:val="2"/>
    </w:lvl>
  </w:abstractNum>
  <w:abstractNum w:abstractNumId="31">
    <w:nsid w:val="2B0D8DBE"/>
    <w:multiLevelType w:val="hybridMultilevel"/>
    <w:lvl w:ilvl="0">
      <w:lvlJc w:val="left"/>
      <w:lvlText w:val="(%1)"/>
      <w:numFmt w:val="lowerLetter"/>
      <w:start w:val="5"/>
    </w:lvl>
  </w:abstractNum>
  <w:abstractNum w:abstractNumId="32">
    <w:nsid w:val="6C80EC70"/>
    <w:multiLevelType w:val="hybridMultilevel"/>
    <w:lvl w:ilvl="0">
      <w:lvlJc w:val="left"/>
      <w:lvlText w:val="(%1)"/>
      <w:numFmt w:val="lowerLetter"/>
      <w:start w:val="8"/>
    </w:lvl>
  </w:abstractNum>
  <w:abstractNum w:abstractNumId="33">
    <w:nsid w:val="379E21B5"/>
    <w:multiLevelType w:val="hybridMultilevel"/>
    <w:lvl w:ilvl="0">
      <w:lvlJc w:val="left"/>
      <w:lvlText w:val="(%1)"/>
      <w:numFmt w:val="lowerLetter"/>
      <w:start w:val="1"/>
    </w:lvl>
  </w:abstractNum>
  <w:abstractNum w:abstractNumId="34">
    <w:nsid w:val="69E373"/>
    <w:multiLevelType w:val="hybridMultilevel"/>
    <w:lvl w:ilvl="0">
      <w:lvlJc w:val="left"/>
      <w:lvlText w:val="(%1)"/>
      <w:numFmt w:val="lowerLetter"/>
      <w:start w:val="6"/>
    </w:lvl>
  </w:abstractNum>
  <w:abstractNum w:abstractNumId="35">
    <w:nsid w:val="2C27173B"/>
    <w:multiLevelType w:val="hybridMultilevel"/>
    <w:lvl w:ilvl="0">
      <w:lvlJc w:val="left"/>
      <w:lvlText w:val="(%1)"/>
      <w:numFmt w:val="lowerLetter"/>
      <w:start w:val="1"/>
    </w:lvl>
  </w:abstractNum>
  <w:abstractNum w:abstractNumId="36">
    <w:nsid w:val="4C9B0904"/>
    <w:multiLevelType w:val="hybridMultilevel"/>
    <w:lvl w:ilvl="0">
      <w:lvlJc w:val="left"/>
      <w:lvlText w:val="(%1)"/>
      <w:numFmt w:val="lowerLetter"/>
      <w:start w:val="5"/>
    </w:lvl>
  </w:abstractNum>
  <w:abstractNum w:abstractNumId="37">
    <w:nsid w:val="6AA7B75C"/>
    <w:multiLevelType w:val="hybridMultilevel"/>
    <w:lvl w:ilvl="0">
      <w:lvlJc w:val="left"/>
      <w:lvlText w:val="(%1)"/>
      <w:numFmt w:val="lowerLetter"/>
      <w:start w:val="25"/>
    </w:lvl>
  </w:abstractNum>
  <w:abstractNum w:abstractNumId="38">
    <w:nsid w:val="1DF029D3"/>
    <w:multiLevelType w:val="hybridMultilevel"/>
    <w:lvl w:ilvl="0">
      <w:lvlJc w:val="left"/>
      <w:lvlText w:val="(%1)"/>
      <w:numFmt w:val="lowerLetter"/>
      <w:start w:val="1"/>
    </w:lvl>
    <w:lvl w:ilvl="1">
      <w:lvlJc w:val="left"/>
      <w:lvlText w:val="(%2)"/>
      <w:numFmt w:val="lowerRoman"/>
      <w:start w:val="1"/>
    </w:lvl>
  </w:abstractNum>
  <w:abstractNum w:abstractNumId="39">
    <w:nsid w:val="5675FF36"/>
    <w:multiLevelType w:val="hybridMultilevel"/>
    <w:lvl w:ilvl="0">
      <w:lvlJc w:val="left"/>
      <w:lvlText w:val="(%1)"/>
      <w:numFmt w:val="lowerLetter"/>
      <w:start w:val="2"/>
    </w:lvl>
  </w:abstractNum>
  <w:abstractNum w:abstractNumId="40">
    <w:nsid w:val="3DD15094"/>
    <w:multiLevelType w:val="hybridMultilevel"/>
    <w:lvl w:ilvl="0">
      <w:lvlJc w:val="left"/>
      <w:lvlText w:val="(%1)"/>
      <w:numFmt w:val="lowerLetter"/>
      <w:start w:val="1"/>
    </w:lvl>
  </w:abstractNum>
  <w:abstractNum w:abstractNumId="41">
    <w:nsid w:val="3DB012B3"/>
    <w:multiLevelType w:val="hybridMultilevel"/>
    <w:lvl w:ilvl="0">
      <w:lvlJc w:val="left"/>
      <w:lvlText w:val="(%1)"/>
      <w:numFmt w:val="lowerLetter"/>
      <w:start w:val="8"/>
    </w:lvl>
  </w:abstractNum>
  <w:abstractNum w:abstractNumId="42">
    <w:nsid w:val="2708C9AF"/>
    <w:multiLevelType w:val="hybridMultilevel"/>
    <w:lvl w:ilvl="0">
      <w:lvlJc w:val="left"/>
      <w:lvlText w:val="(%1)"/>
      <w:numFmt w:val="lowerLetter"/>
      <w:start w:val="1"/>
    </w:lvl>
    <w:lvl w:ilvl="1">
      <w:lvlJc w:val="left"/>
      <w:lvlText w:val="(%2)"/>
      <w:numFmt w:val="lowerRoman"/>
      <w:start w:val="1"/>
    </w:lvl>
  </w:abstractNum>
  <w:abstractNum w:abstractNumId="43">
    <w:nsid w:val="5B25ACE2"/>
    <w:multiLevelType w:val="hybridMultilevel"/>
    <w:lvl w:ilvl="0">
      <w:lvlJc w:val="left"/>
      <w:lvlText w:val="(%1)"/>
      <w:numFmt w:val="lowerLetter"/>
      <w:start w:val="3"/>
    </w:lvl>
  </w:abstractNum>
  <w:abstractNum w:abstractNumId="44">
    <w:nsid w:val="175DFCF0"/>
    <w:multiLevelType w:val="hybridMultilevel"/>
    <w:lvl w:ilvl="0">
      <w:lvlJc w:val="left"/>
      <w:lvlText w:val="(%1)"/>
      <w:numFmt w:val="lowerLetter"/>
      <w:start w:val="1"/>
    </w:lvl>
  </w:abstractNum>
  <w:abstractNum w:abstractNumId="45">
    <w:nsid w:val="4F97E3E4"/>
    <w:multiLevelType w:val="hybridMultilevel"/>
    <w:lvl w:ilvl="0">
      <w:lvlJc w:val="left"/>
      <w:lvlText w:val="(%1)"/>
      <w:numFmt w:val="lowerLetter"/>
      <w:start w:val="25"/>
    </w:lvl>
  </w:abstractNum>
  <w:abstractNum w:abstractNumId="46">
    <w:nsid w:val="53B0A9E"/>
    <w:multiLevelType w:val="hybridMultilevel"/>
    <w:lvl w:ilvl="0">
      <w:lvlJc w:val="left"/>
      <w:lvlText w:val="(%1)"/>
      <w:numFmt w:val="lowerLetter"/>
      <w:start w:val="1"/>
    </w:lvl>
  </w:abstractNum>
  <w:abstractNum w:abstractNumId="47">
    <w:nsid w:val="34FD6B4F"/>
    <w:multiLevelType w:val="hybridMultilevel"/>
    <w:lvl w:ilvl="0">
      <w:lvlJc w:val="left"/>
      <w:lvlText w:val="(%1)"/>
      <w:numFmt w:val="lowerLetter"/>
      <w:start w:val="2"/>
    </w:lvl>
  </w:abstractNum>
  <w:abstractNum w:abstractNumId="48">
    <w:nsid w:val="5915FF32"/>
    <w:multiLevelType w:val="hybridMultilevel"/>
    <w:lvl w:ilvl="0">
      <w:lvlJc w:val="left"/>
      <w:lvlText w:val="(%1)"/>
      <w:numFmt w:val="lowerLetter"/>
      <w:start w:val="1"/>
    </w:lvl>
  </w:abstractNum>
  <w:abstractNum w:abstractNumId="49">
    <w:nsid w:val="56438D15"/>
    <w:multiLevelType w:val="hybridMultilevel"/>
    <w:lvl w:ilvl="0">
      <w:lvlJc w:val="left"/>
      <w:lvlText w:val="(%1)"/>
      <w:numFmt w:val="lowerLetter"/>
      <w:start w:val="1"/>
    </w:lvl>
  </w:abstractNum>
  <w:abstractNum w:abstractNumId="50">
    <w:nsid w:val="519E3149"/>
    <w:multiLevelType w:val="hybridMultilevel"/>
    <w:lvl w:ilvl="0">
      <w:lvlJc w:val="left"/>
      <w:lvlText w:val="(%1)"/>
      <w:numFmt w:val="lowerLetter"/>
      <w:start w:val="1"/>
    </w:lvl>
  </w:abstractNum>
  <w:abstractNum w:abstractNumId="51">
    <w:nsid w:val="2C6E4AFD"/>
    <w:multiLevelType w:val="hybridMultilevel"/>
    <w:lvl w:ilvl="0">
      <w:lvlJc w:val="left"/>
      <w:lvlText w:val="(%1)"/>
      <w:numFmt w:val="lowerLetter"/>
      <w:start w:val="1"/>
    </w:lvl>
  </w:abstractNum>
  <w:abstractNum w:abstractNumId="52">
    <w:nsid w:val="17A1B582"/>
    <w:multiLevelType w:val="hybridMultilevel"/>
    <w:lvl w:ilvl="0">
      <w:lvlJc w:val="left"/>
      <w:lvlText w:val="(%1)"/>
      <w:numFmt w:val="lowerRoman"/>
      <w:start w:val="1"/>
    </w:lvl>
  </w:abstractNum>
  <w:abstractNum w:abstractNumId="53">
    <w:nsid w:val="4DF72E4E"/>
    <w:multiLevelType w:val="hybridMultilevel"/>
    <w:lvl w:ilvl="0">
      <w:lvlJc w:val="left"/>
      <w:lvlText w:val="(%1)"/>
      <w:numFmt w:val="lowerRoman"/>
      <w:start w:val="2"/>
    </w:lvl>
    <w:lvl w:ilvl="1">
      <w:lvlJc w:val="left"/>
      <w:lvlText w:val="(%2)"/>
      <w:numFmt w:val="upperLetter"/>
      <w:start w:val="1"/>
    </w:lvl>
  </w:abstractNum>
  <w:abstractNum w:abstractNumId="54">
    <w:nsid w:val="5046B5A9"/>
    <w:multiLevelType w:val="hybridMultilevel"/>
    <w:lvl w:ilvl="0">
      <w:lvlJc w:val="left"/>
      <w:lvlText w:val="(%1)"/>
      <w:numFmt w:val="lowerRoman"/>
      <w:start w:val="3"/>
    </w:lvl>
  </w:abstractNum>
  <w:abstractNum w:abstractNumId="55">
    <w:nsid w:val="5D888A08"/>
    <w:multiLevelType w:val="hybridMultilevel"/>
    <w:lvl w:ilvl="0">
      <w:lvlJc w:val="left"/>
      <w:lvlText w:val="(%1)"/>
      <w:numFmt w:val="lowerRoman"/>
      <w:start w:val="4"/>
    </w:lvl>
  </w:abstractNum>
  <w:abstractNum w:abstractNumId="56">
    <w:nsid w:val="2A082C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7">
    <w:nsid w:val="5EC6AFD4"/>
    <w:multiLevelType w:val="hybridMultilevel"/>
    <w:lvl w:ilvl="0">
      <w:lvlJc w:val="left"/>
      <w:lvlText w:val="(%1)"/>
      <w:numFmt w:val="lowerLetter"/>
      <w:start w:val="10"/>
    </w:lvl>
    <w:lvl w:ilvl="1">
      <w:lvlJc w:val="left"/>
      <w:lvlText w:val="%2"/>
      <w:numFmt w:val="lowerLetter"/>
      <w:start w:val="1"/>
    </w:lvl>
    <w:lvl w:ilvl="2">
      <w:lvlJc w:val="left"/>
      <w:lvlText w:val="(%3)"/>
      <w:numFmt w:val="lowerRoman"/>
      <w:start w:val="1"/>
    </w:lvl>
  </w:abstractNum>
  <w:abstractNum w:abstractNumId="58">
    <w:nsid w:val="19E21BB2"/>
    <w:multiLevelType w:val="hybridMultilevel"/>
    <w:lvl w:ilvl="0">
      <w:lvlJc w:val="left"/>
      <w:lvlText w:val="(%1)"/>
      <w:numFmt w:val="lowerRoman"/>
      <w:start w:val="4"/>
    </w:lvl>
    <w:lvl w:ilvl="1">
      <w:lvlJc w:val="left"/>
      <w:lvlText w:val="(%2)"/>
      <w:numFmt w:val="upperLetter"/>
      <w:start w:val="1"/>
    </w:lvl>
  </w:abstractNum>
  <w:abstractNum w:abstractNumId="59">
    <w:nsid w:val="75E0858A"/>
    <w:multiLevelType w:val="hybridMultilevel"/>
    <w:lvl w:ilvl="0">
      <w:lvlJc w:val="left"/>
      <w:lvlText w:val="(%1)"/>
      <w:numFmt w:val="lowerLetter"/>
      <w:start w:val="2"/>
    </w:lvl>
  </w:abstractNum>
  <w:abstractNum w:abstractNumId="60">
    <w:nsid w:val="57A61A29"/>
    <w:multiLevelType w:val="hybridMultilevel"/>
    <w:lvl w:ilvl="0">
      <w:lvlJc w:val="left"/>
      <w:lvlText w:val="(%1)"/>
      <w:numFmt w:val="lowerLetter"/>
      <w:start w:val="3"/>
    </w:lvl>
  </w:abstractNum>
  <w:abstractNum w:abstractNumId="61">
    <w:nsid w:val="5399C654"/>
    <w:multiLevelType w:val="hybridMultilevel"/>
    <w:lvl w:ilvl="0">
      <w:lvlJc w:val="left"/>
      <w:lvlText w:val="(%1)"/>
      <w:numFmt w:val="lowerLetter"/>
      <w:start w:val="5"/>
    </w:lvl>
  </w:abstractNum>
  <w:abstractNum w:abstractNumId="62">
    <w:nsid w:val="20EE1348"/>
    <w:multiLevelType w:val="hybridMultilevel"/>
    <w:lvl w:ilvl="0">
      <w:lvlJc w:val="left"/>
      <w:lvlText w:val="(%1)"/>
      <w:numFmt w:val="lowerLetter"/>
      <w:start w:val="9"/>
    </w:lvl>
  </w:abstractNum>
  <w:abstractNum w:abstractNumId="63">
    <w:nsid w:val="4427069A"/>
    <w:multiLevelType w:val="hybridMultilevel"/>
    <w:lvl w:ilvl="0">
      <w:lvlJc w:val="left"/>
      <w:lvlText w:val="%1"/>
      <w:numFmt w:val="lowerLetter"/>
      <w:start w:val="1"/>
    </w:lvl>
    <w:lvl w:ilvl="1">
      <w:lvlJc w:val="left"/>
      <w:lvlText w:val="(%2)"/>
      <w:numFmt w:val="lowerLetter"/>
      <w:start w:val="1"/>
    </w:lvl>
  </w:abstractNum>
  <w:abstractNum w:abstractNumId="64">
    <w:nsid w:val="B37E80A"/>
    <w:multiLevelType w:val="hybridMultilevel"/>
    <w:lvl w:ilvl="0">
      <w:lvlJc w:val="left"/>
      <w:lvlText w:val="(%1)"/>
      <w:numFmt w:val="lowerLetter"/>
      <w:start w:val="2"/>
    </w:lvl>
    <w:lvl w:ilvl="1">
      <w:lvlJc w:val="left"/>
      <w:lvlText w:val="%2"/>
      <w:numFmt w:val="lowerLetter"/>
      <w:start w:val="1"/>
    </w:lvl>
  </w:abstractNum>
  <w:abstractNum w:abstractNumId="65">
    <w:nsid w:val="2157F6BC"/>
    <w:multiLevelType w:val="hybridMultilevel"/>
    <w:lvl w:ilvl="0">
      <w:lvlJc w:val="left"/>
      <w:lvlText w:val="(%1)"/>
      <w:numFmt w:val="lowerLetter"/>
      <w:start w:val="2"/>
    </w:lvl>
  </w:abstractNum>
  <w:abstractNum w:abstractNumId="66">
    <w:nsid w:val="704E1DD5"/>
    <w:multiLevelType w:val="hybridMultilevel"/>
    <w:lvl w:ilvl="0">
      <w:lvlJc w:val="left"/>
      <w:lvlText w:val="(%1)"/>
      <w:numFmt w:val="lowerLetter"/>
      <w:start w:val="5"/>
    </w:lvl>
  </w:abstractNum>
  <w:abstractNum w:abstractNumId="67">
    <w:nsid w:val="57D2F10E"/>
    <w:multiLevelType w:val="hybridMultilevel"/>
    <w:lvl w:ilvl="0">
      <w:lvlJc w:val="left"/>
      <w:lvlText w:val="(%1)"/>
      <w:numFmt w:val="lowerRoman"/>
      <w:start w:val="1"/>
    </w:lvl>
  </w:abstractNum>
  <w:abstractNum w:abstractNumId="68">
    <w:nsid w:val="BFFAE18"/>
    <w:multiLevelType w:val="hybridMultilevel"/>
    <w:lvl w:ilvl="0">
      <w:lvlJc w:val="left"/>
      <w:lvlText w:val="(%1)"/>
      <w:numFmt w:val="lowerLetter"/>
      <w:start w:val="6"/>
    </w:lvl>
  </w:abstractNum>
  <w:abstractNum w:abstractNumId="69">
    <w:nsid w:val="E3E47A8"/>
    <w:multiLevelType w:val="hybridMultilevel"/>
    <w:lvl w:ilvl="0">
      <w:lvlJc w:val="left"/>
      <w:lvlText w:val="(%1)"/>
      <w:numFmt w:val="lowerLetter"/>
      <w:start w:val="1"/>
    </w:lvl>
  </w:abstractNum>
  <w:abstractNum w:abstractNumId="70">
    <w:nsid w:val="2E48F044"/>
    <w:multiLevelType w:val="hybridMultilevel"/>
    <w:lvl w:ilvl="0">
      <w:lvlJc w:val="left"/>
      <w:lvlText w:val="(%1)"/>
      <w:numFmt w:val="lowerLetter"/>
      <w:start w:val="2"/>
    </w:lvl>
  </w:abstractNum>
  <w:abstractNum w:abstractNumId="71">
    <w:nsid w:val="49D0FEAC"/>
    <w:multiLevelType w:val="hybridMultilevel"/>
    <w:lvl w:ilvl="0">
      <w:lvlJc w:val="left"/>
      <w:lvlText w:val="X"/>
      <w:numFmt w:val="bullet"/>
      <w:start w:val="1"/>
    </w:lvl>
  </w:abstractNum>
  <w:abstractNum w:abstractNumId="72">
    <w:nsid w:val="4BEE5A5B"/>
    <w:multiLevelType w:val="hybridMultilevel"/>
    <w:lvl w:ilvl="0">
      <w:lvlJc w:val="left"/>
      <w:lvlText w:val="Y"/>
      <w:numFmt w:val="bullet"/>
      <w:start w:val="1"/>
    </w:lvl>
  </w:abstractNum>
  <w:abstractNum w:abstractNumId="73">
    <w:nsid w:val="5551B9F3"/>
    <w:multiLevelType w:val="hybridMultilevel"/>
    <w:lvl w:ilvl="0">
      <w:lvlJc w:val="left"/>
      <w:lvlText w:val="%1"/>
      <w:numFmt w:val="lowerLetter"/>
      <w:start w:val="1"/>
    </w:lvl>
    <w:lvl w:ilvl="1">
      <w:lvlJc w:val="left"/>
      <w:lvlText w:val="(%2)"/>
      <w:numFmt w:val="lowerLetter"/>
      <w:start w:val="3"/>
    </w:lvl>
  </w:abstractNum>
  <w:abstractNum w:abstractNumId="74">
    <w:nsid w:val="24F6AB8E"/>
    <w:multiLevelType w:val="hybridMultilevel"/>
    <w:lvl w:ilvl="0">
      <w:lvlJc w:val="left"/>
      <w:lvlText w:val="(%1)"/>
      <w:numFmt w:val="lowerLetter"/>
      <w:start w:val="9"/>
    </w:lvl>
    <w:lvl w:ilvl="1">
      <w:lvlJc w:val="left"/>
      <w:lvlText w:val="%2"/>
      <w:numFmt w:val="lowerLetter"/>
      <w:start w:val="1"/>
    </w:lvl>
  </w:abstractNum>
  <w:abstractNum w:abstractNumId="75">
    <w:nsid w:val="634C574C"/>
    <w:multiLevelType w:val="hybridMultilevel"/>
    <w:lvl w:ilvl="0">
      <w:lvlJc w:val="left"/>
      <w:lvlText w:val="(%1)"/>
      <w:numFmt w:val="lowerLetter"/>
      <w:start w:val="22"/>
    </w:lvl>
    <w:lvl w:ilvl="1">
      <w:lvlJc w:val="left"/>
      <w:lvlText w:val="%2"/>
      <w:numFmt w:val="lowerLetter"/>
      <w:start w:val="1"/>
    </w:lvl>
  </w:abstractNum>
  <w:abstractNum w:abstractNumId="76">
    <w:nsid w:val="24E99DD7"/>
    <w:multiLevelType w:val="hybridMultilevel"/>
    <w:lvl w:ilvl="0">
      <w:lvlJc w:val="left"/>
      <w:lvlText w:val="(%1)"/>
      <w:numFmt w:val="decimal"/>
      <w:start w:val="1"/>
    </w:lvl>
  </w:abstractNum>
  <w:abstractNum w:abstractNumId="77">
    <w:nsid w:val="2A31B62D"/>
    <w:multiLevelType w:val="hybridMultilevel"/>
    <w:lvl w:ilvl="0">
      <w:lvlJc w:val="left"/>
      <w:lvlText w:val="(%1)"/>
      <w:numFmt w:val="upperLetter"/>
      <w:start w:val="1"/>
    </w:lvl>
  </w:abstractNum>
  <w:abstractNum w:abstractNumId="78">
    <w:nsid w:val="1849C29B"/>
    <w:multiLevelType w:val="hybridMultilevel"/>
    <w:lvl w:ilvl="0">
      <w:lvlJc w:val="left"/>
      <w:lvlText w:val="(%1)"/>
      <w:numFmt w:val="lowerLetter"/>
      <w:start w:val="4"/>
    </w:lvl>
  </w:abstractNum>
  <w:abstractNum w:abstractNumId="79">
    <w:nsid w:val="7DFF9D09"/>
    <w:multiLevelType w:val="hybridMultilevel"/>
    <w:lvl w:ilvl="0">
      <w:lvlJc w:val="left"/>
      <w:lvlText w:val="C"/>
      <w:numFmt w:val="bullet"/>
      <w:start w:val="1"/>
    </w:lvl>
  </w:abstractNum>
  <w:abstractNum w:abstractNumId="80">
    <w:nsid w:val="754342"/>
    <w:multiLevelType w:val="hybridMultilevel"/>
    <w:lvl w:ilvl="0">
      <w:lvlJc w:val="left"/>
      <w:lvlText w:val="(%1)"/>
      <w:numFmt w:val="lowerLetter"/>
      <w:start w:val="5"/>
    </w:lvl>
  </w:abstractNum>
  <w:abstractNum w:abstractNumId="81">
    <w:nsid w:val="69E7F3E5"/>
    <w:multiLevelType w:val="hybridMultilevel"/>
    <w:lvl w:ilvl="0">
      <w:lvlJc w:val="left"/>
      <w:lvlText w:val="(%1)"/>
      <w:numFmt w:val="lowerLetter"/>
      <w:start w:val="6"/>
    </w:lvl>
  </w:abstractNum>
  <w:abstractNum w:abstractNumId="82">
    <w:nsid w:val="2A6DE806"/>
    <w:multiLevelType w:val="hybridMultilevel"/>
    <w:lvl w:ilvl="0">
      <w:lvlJc w:val="left"/>
      <w:lvlText w:val="(%1)"/>
      <w:numFmt w:val="lowerLetter"/>
      <w:start w:val="8"/>
    </w:lvl>
    <w:lvl w:ilvl="1">
      <w:lvlJc w:val="left"/>
      <w:lvlText w:val="(%2)"/>
      <w:numFmt w:val="lowerRoman"/>
      <w:start w:val="1"/>
    </w:lvl>
  </w:abstractNum>
  <w:abstractNum w:abstractNumId="83">
    <w:nsid w:val="1816F8C4"/>
    <w:multiLevelType w:val="hybridMultilevel"/>
    <w:lvl w:ilvl="0">
      <w:lvlJc w:val="left"/>
      <w:lvlText w:val="(%1)"/>
      <w:numFmt w:val="lowerLetter"/>
      <w:start w:val="5"/>
    </w:lvl>
    <w:lvl w:ilvl="1">
      <w:lvlJc w:val="left"/>
      <w:lvlText w:val="(%2)"/>
      <w:numFmt w:val="lowerRoman"/>
      <w:start w:val="6"/>
    </w:lvl>
  </w:abstractNum>
  <w:abstractNum w:abstractNumId="84">
    <w:nsid w:val="37DF2233"/>
    <w:multiLevelType w:val="hybridMultilevel"/>
    <w:lvl w:ilvl="0">
      <w:lvlJc w:val="left"/>
      <w:lvlText w:val="(%1)"/>
      <w:numFmt w:val="lowerLetter"/>
      <w:start w:val="10"/>
    </w:lvl>
  </w:abstractNum>
  <w:abstractNum w:abstractNumId="85">
    <w:nsid w:val="7AB49DAF"/>
    <w:multiLevelType w:val="hybridMultilevel"/>
    <w:lvl w:ilvl="0">
      <w:lvlJc w:val="left"/>
      <w:lvlText w:val="(%1)"/>
      <w:numFmt w:val="lowerLetter"/>
      <w:start w:val="1"/>
    </w:lvl>
    <w:lvl w:ilvl="1">
      <w:lvlJc w:val="left"/>
      <w:lvlText w:val="(%2)"/>
      <w:numFmt w:val="lowerRoman"/>
      <w:start w:val="1"/>
    </w:lvl>
  </w:abstractNum>
  <w:abstractNum w:abstractNumId="86">
    <w:nsid w:val="759F82CD"/>
    <w:multiLevelType w:val="hybridMultilevel"/>
    <w:lvl w:ilvl="0">
      <w:lvlJc w:val="left"/>
      <w:lvlText w:val="(%1)"/>
      <w:numFmt w:val="lowerRoman"/>
      <w:start w:val="1"/>
    </w:lvl>
  </w:abstractNum>
  <w:abstractNum w:abstractNumId="87">
    <w:nsid w:val="61E74EA3"/>
    <w:multiLevelType w:val="hybridMultilevel"/>
    <w:lvl w:ilvl="0">
      <w:lvlJc w:val="left"/>
      <w:lvlText w:val="(%1)"/>
      <w:numFmt w:val="lowerLetter"/>
      <w:start w:val="2"/>
    </w:lvl>
  </w:abstractNum>
  <w:abstractNum w:abstractNumId="88">
    <w:nsid w:val="597B4D84"/>
    <w:multiLevelType w:val="hybridMultilevel"/>
    <w:lvl w:ilvl="0">
      <w:lvlJc w:val="left"/>
      <w:lvlText w:val="(%1)"/>
      <w:numFmt w:val="lowerLetter"/>
      <w:start w:val="3"/>
    </w:lvl>
  </w:abstractNum>
  <w:abstractNum w:abstractNumId="89">
    <w:nsid w:val="F819E7F"/>
    <w:multiLevelType w:val="hybridMultilevel"/>
    <w:lvl w:ilvl="0">
      <w:lvlJc w:val="left"/>
      <w:lvlText w:val="(%1)"/>
      <w:numFmt w:val="lowerLetter"/>
      <w:start w:val="2"/>
    </w:lvl>
  </w:abstractNum>
  <w:abstractNum w:abstractNumId="90">
    <w:nsid w:val="57C7D42D"/>
    <w:multiLevelType w:val="hybridMultilevel"/>
    <w:lvl w:ilvl="0">
      <w:lvlJc w:val="left"/>
      <w:lvlText w:val="(%1)"/>
      <w:numFmt w:val="lowerLetter"/>
      <w:start w:val="1"/>
    </w:lvl>
  </w:abstractNum>
  <w:abstractNum w:abstractNumId="91">
    <w:nsid w:val="312167AD"/>
    <w:multiLevelType w:val="hybridMultilevel"/>
    <w:lvl w:ilvl="0">
      <w:lvlJc w:val="left"/>
      <w:lvlText w:val="(%1)"/>
      <w:numFmt w:val="lowerLetter"/>
      <w:start w:val="2"/>
    </w:lvl>
  </w:abstractNum>
  <w:abstractNum w:abstractNumId="92">
    <w:nsid w:val="631B64D4"/>
    <w:multiLevelType w:val="hybridMultilevel"/>
    <w:lvl w:ilvl="0">
      <w:lvlJc w:val="left"/>
      <w:lvlText w:val="(%1)"/>
      <w:numFmt w:val="lowerLetter"/>
      <w:start w:val="1"/>
    </w:lvl>
  </w:abstractNum>
  <w:abstractNum w:abstractNumId="93">
    <w:nsid w:val="78B5E776"/>
    <w:multiLevelType w:val="hybridMultilevel"/>
    <w:lvl w:ilvl="0">
      <w:lvlJc w:val="left"/>
      <w:lvlText w:val="(%1)"/>
      <w:numFmt w:val="lowerLetter"/>
      <w:start w:val="2"/>
    </w:lvl>
    <w:lvl w:ilvl="1">
      <w:lvlJc w:val="left"/>
      <w:lvlText w:val="(%2)"/>
      <w:numFmt w:val="lowerRoman"/>
      <w:start w:val="1"/>
    </w:lvl>
  </w:abstractNum>
  <w:abstractNum w:abstractNumId="94">
    <w:nsid w:val="75486E47"/>
    <w:multiLevelType w:val="hybridMultilevel"/>
    <w:lvl w:ilvl="0">
      <w:lvlJc w:val="left"/>
      <w:lvlText w:val="(%1)"/>
      <w:numFmt w:val="lowerRoman"/>
      <w:start w:val="1"/>
    </w:lvl>
  </w:abstractNum>
  <w:abstractNum w:abstractNumId="95">
    <w:nsid w:val="6E534CDE"/>
    <w:multiLevelType w:val="hybridMultilevel"/>
    <w:lvl w:ilvl="0">
      <w:lvlJc w:val="left"/>
      <w:lvlText w:val="(%1)"/>
      <w:numFmt w:val="lowerLetter"/>
      <w:start w:val="3"/>
    </w:lvl>
    <w:lvl w:ilvl="1">
      <w:lvlJc w:val="left"/>
      <w:lvlText w:val="(%2)"/>
      <w:numFmt w:val="lowerRoman"/>
      <w:start w:val="1"/>
    </w:lvl>
  </w:abstractNum>
  <w:abstractNum w:abstractNumId="96">
    <w:nsid w:val="1A0DDE32"/>
    <w:multiLevelType w:val="hybridMultilevel"/>
    <w:lvl w:ilvl="0">
      <w:lvlJc w:val="left"/>
      <w:lvlText w:val="%1"/>
      <w:numFmt w:val="lowerLetter"/>
      <w:start w:val="1"/>
    </w:lvl>
    <w:lvl w:ilvl="1">
      <w:lvlJc w:val="left"/>
      <w:lvlText w:val="(%2)"/>
      <w:numFmt w:val="lowerLetter"/>
      <w:start w:val="4"/>
    </w:lvl>
  </w:abstractNum>
  <w:abstractNum w:abstractNumId="97">
    <w:nsid w:val="65968C1C"/>
    <w:multiLevelType w:val="hybridMultilevel"/>
    <w:lvl w:ilvl="0">
      <w:lvlJc w:val="left"/>
      <w:lvlText w:val="(%1)"/>
      <w:numFmt w:val="lowerLetter"/>
      <w:start w:val="35"/>
    </w:lvl>
    <w:lvl w:ilvl="1">
      <w:lvlJc w:val="left"/>
      <w:lvlText w:val="%2"/>
      <w:numFmt w:val="lowerLetter"/>
      <w:start w:val="1"/>
    </w:lvl>
  </w:abstractNum>
  <w:abstractNum w:abstractNumId="98">
    <w:nsid w:val="46263DEC"/>
    <w:multiLevelType w:val="hybridMultilevel"/>
    <w:lvl w:ilvl="0">
      <w:lvlJc w:val="left"/>
      <w:lvlText w:val="(%1)"/>
      <w:numFmt w:val="lowerRoman"/>
      <w:start w:val="1"/>
    </w:lvl>
  </w:abstractNum>
  <w:abstractNum w:abstractNumId="99">
    <w:nsid w:val="260D8C4A"/>
    <w:multiLevelType w:val="hybridMultilevel"/>
    <w:lvl w:ilvl="0">
      <w:lvlJc w:val="left"/>
      <w:lvlText w:val="(%1)"/>
      <w:numFmt w:val="lowerLetter"/>
      <w:start w:val="2"/>
    </w:lvl>
  </w:abstractNum>
  <w:abstractNum w:abstractNumId="100">
    <w:nsid w:val="73D4D3C4"/>
    <w:multiLevelType w:val="hybridMultilevel"/>
    <w:lvl w:ilvl="0">
      <w:lvlJc w:val="left"/>
      <w:lvlText w:val="(%1)"/>
      <w:numFmt w:val="lowerLetter"/>
      <w:start w:val="3"/>
    </w:lvl>
  </w:abstractNum>
  <w:abstractNum w:abstractNumId="101">
    <w:nsid w:val="746F2E30"/>
    <w:multiLevelType w:val="hybridMultilevel"/>
    <w:lvl w:ilvl="0">
      <w:lvlJc w:val="left"/>
      <w:lvlText w:val="(%1)"/>
      <w:numFmt w:val="lowerLetter"/>
      <w:start w:val="1"/>
    </w:lvl>
  </w:abstractNum>
  <w:abstractNum w:abstractNumId="102">
    <w:nsid w:val="6FDE8AF6"/>
    <w:multiLevelType w:val="hybridMultilevel"/>
    <w:lvl w:ilvl="0">
      <w:lvlJc w:val="left"/>
      <w:lvlText w:val="(%1)"/>
      <w:numFmt w:val="lowerLetter"/>
      <w:start w:val="2"/>
    </w:lvl>
    <w:lvl w:ilvl="1">
      <w:lvlJc w:val="left"/>
      <w:lvlText w:val="(%2)"/>
      <w:numFmt w:val="lowerRoman"/>
      <w:start w:val="1"/>
    </w:lvl>
  </w:abstractNum>
  <w:abstractNum w:abstractNumId="103">
    <w:nsid w:val="3FC32E20"/>
    <w:multiLevelType w:val="hybridMultilevel"/>
    <w:lvl w:ilvl="0">
      <w:lvlJc w:val="left"/>
      <w:lvlText w:val="(%1)"/>
      <w:numFmt w:val="lowerRoman"/>
      <w:start w:val="7"/>
    </w:lvl>
  </w:abstractNum>
  <w:abstractNum w:abstractNumId="104">
    <w:nsid w:val="49C0E823"/>
    <w:multiLevelType w:val="hybridMultilevel"/>
    <w:lvl w:ilvl="0">
      <w:lvlJc w:val="left"/>
      <w:lvlText w:val="(%1)"/>
      <w:numFmt w:val="lowerLetter"/>
      <w:start w:val="4"/>
    </w:lvl>
  </w:abstractNum>
  <w:abstractNum w:abstractNumId="105">
    <w:nsid w:val="14D53685"/>
    <w:multiLevelType w:val="hybridMultilevel"/>
    <w:lvl w:ilvl="0">
      <w:lvlJc w:val="left"/>
      <w:lvlText w:val="(%1)"/>
      <w:numFmt w:val="lowerLetter"/>
      <w:start w:val="1"/>
    </w:lvl>
  </w:abstractNum>
  <w:abstractNum w:abstractNumId="106">
    <w:nsid w:val="230F856C"/>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07">
    <w:nsid w:val="6EAA85FB"/>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108">
    <w:nsid w:val="3F06ECB2"/>
    <w:multiLevelType w:val="hybridMultilevel"/>
    <w:lvl w:ilvl="0">
      <w:lvlJc w:val="left"/>
      <w:lvlText w:val="(%1)"/>
      <w:numFmt w:val="upperLetter"/>
      <w:start w:val="3"/>
    </w:lvl>
  </w:abstractNum>
  <w:abstractNum w:abstractNumId="109">
    <w:nsid w:val="3B594807"/>
    <w:multiLevelType w:val="hybridMultilevel"/>
    <w:lvl w:ilvl="0">
      <w:lvlJc w:val="left"/>
      <w:lvlText w:val="1"/>
      <w:numFmt w:val="bullet"/>
      <w:start w:val="1"/>
    </w:lvl>
  </w:abstractNum>
  <w:abstractNum w:abstractNumId="110">
    <w:nsid w:val="6CAA2304"/>
    <w:multiLevelType w:val="hybridMultilevel"/>
    <w:lvl w:ilvl="0">
      <w:lvlJc w:val="left"/>
      <w:lvlText w:val="2"/>
      <w:numFmt w:val="bullet"/>
      <w:start w:val="1"/>
    </w:lvl>
  </w:abstractNum>
  <w:abstractNum w:abstractNumId="111">
    <w:nsid w:val="3F7C2FF4"/>
    <w:multiLevelType w:val="hybridMultilevel"/>
    <w:lvl w:ilvl="0">
      <w:lvlJc w:val="left"/>
      <w:lvlText w:val="3"/>
      <w:numFmt w:val="bullet"/>
      <w:start w:val="1"/>
    </w:lvl>
  </w:abstractNum>
  <w:abstractNum w:abstractNumId="112">
    <w:nsid w:val="25413BEC"/>
    <w:multiLevelType w:val="hybridMultilevel"/>
    <w:lvl w:ilvl="0">
      <w:lvlJc w:val="left"/>
      <w:lvlText w:val="4"/>
      <w:numFmt w:val="bullet"/>
      <w:start w:val="1"/>
    </w:lvl>
  </w:abstractNum>
  <w:abstractNum w:abstractNumId="113">
    <w:nsid w:val="17180B0B"/>
    <w:multiLevelType w:val="hybridMultilevel"/>
    <w:lvl w:ilvl="0">
      <w:lvlJc w:val="left"/>
      <w:lvlText w:val="5"/>
      <w:numFmt w:val="bullet"/>
      <w:start w:val="1"/>
    </w:lvl>
  </w:abstractNum>
  <w:abstractNum w:abstractNumId="114">
    <w:nsid w:val="579328B9"/>
    <w:multiLevelType w:val="hybridMultilevel"/>
    <w:lvl w:ilvl="0">
      <w:lvlJc w:val="left"/>
      <w:lvlText w:val="6"/>
      <w:numFmt w:val="bullet"/>
      <w:start w:val="1"/>
    </w:lvl>
  </w:abstractNum>
  <w:abstractNum w:abstractNumId="115">
    <w:nsid w:val="5D205E20"/>
    <w:multiLevelType w:val="hybridMultilevel"/>
    <w:lvl w:ilvl="0">
      <w:lvlJc w:val="left"/>
      <w:lvlText w:val="7"/>
      <w:numFmt w:val="bullet"/>
      <w:start w:val="1"/>
    </w:lvl>
  </w:abstractNum>
  <w:abstractNum w:abstractNumId="116">
    <w:nsid w:val="11CCA8BA"/>
    <w:multiLevelType w:val="hybridMultilevel"/>
    <w:lvl w:ilvl="0">
      <w:lvlJc w:val="left"/>
      <w:lvlText w:val="%1."/>
      <w:numFmt w:val="decimal"/>
      <w:start w:val="1"/>
    </w:lvl>
  </w:abstractNum>
  <w:abstractNum w:abstractNumId="117">
    <w:nsid w:val="4D32AB86"/>
    <w:multiLevelType w:val="hybridMultilevel"/>
    <w:lvl w:ilvl="0">
      <w:lvlJc w:val="left"/>
      <w:lvlText w:val="%1."/>
      <w:numFmt w:val="decimal"/>
      <w:start w:val="2"/>
    </w:lvl>
  </w:abstractNum>
  <w:abstractNum w:abstractNumId="118">
    <w:nsid w:val="3F07ACC3"/>
    <w:multiLevelType w:val="hybridMultilevel"/>
    <w:lvl w:ilvl="0">
      <w:lvlJc w:val="left"/>
      <w:lvlText w:val="%1."/>
      <w:numFmt w:val="decimal"/>
      <w:start w:val="3"/>
    </w:lvl>
  </w:abstractNum>
  <w:abstractNum w:abstractNumId="119">
    <w:nsid w:val="6B47F63E"/>
    <w:multiLevelType w:val="hybridMultilevel"/>
    <w:lvl w:ilvl="0">
      <w:lvlJc w:val="left"/>
      <w:lvlText w:val="%1."/>
      <w:numFmt w:val="decimal"/>
      <w:start w:val="4"/>
    </w:lvl>
  </w:abstractNum>
  <w:abstractNum w:abstractNumId="120">
    <w:nsid w:val="5CB44A05"/>
    <w:multiLevelType w:val="hybridMultilevel"/>
    <w:lvl w:ilvl="0">
      <w:lvlJc w:val="left"/>
      <w:lvlText w:val="(%1)"/>
      <w:numFmt w:val="lowerLetter"/>
      <w:start w:val="2"/>
    </w:lvl>
  </w:abstractNum>
  <w:abstractNum w:abstractNumId="121">
    <w:nsid w:val="16CF80F1"/>
    <w:multiLevelType w:val="hybridMultilevel"/>
    <w:lvl w:ilvl="0">
      <w:lvlJc w:val="left"/>
      <w:lvlText w:val="%1."/>
      <w:numFmt w:val="decimal"/>
      <w:start w:val="7"/>
    </w:lvl>
  </w:abstractNum>
  <w:abstractNum w:abstractNumId="122">
    <w:nsid w:val="1C695DEC"/>
    <w:multiLevelType w:val="hybridMultilevel"/>
    <w:lvl w:ilvl="0">
      <w:lvlJc w:val="left"/>
      <w:lvlText w:val="(%1)"/>
      <w:numFmt w:val="lowerLetter"/>
      <w:start w:val="1"/>
    </w:lvl>
    <w:lvl w:ilvl="1">
      <w:lvlJc w:val="left"/>
      <w:lvlText w:val="(%2)"/>
      <w:numFmt w:val="lowerRoman"/>
      <w:start w:val="1"/>
    </w:lvl>
  </w:abstractNum>
  <w:abstractNum w:abstractNumId="123">
    <w:nsid w:val="3FCFAED9"/>
    <w:multiLevelType w:val="hybridMultilevel"/>
    <w:lvl w:ilvl="0">
      <w:lvlJc w:val="left"/>
      <w:lvlText w:val="%1"/>
      <w:numFmt w:val="upperLetter"/>
      <w:start w:val="1"/>
    </w:lvl>
    <w:lvl w:ilvl="1">
      <w:lvlJc w:val="left"/>
      <w:lvlText w:val="(%2)"/>
      <w:numFmt w:val="lowerRoman"/>
      <w:start w:val="3"/>
    </w:lvl>
  </w:abstractNum>
  <w:abstractNum w:abstractNumId="124">
    <w:nsid w:val="F856867"/>
    <w:multiLevelType w:val="hybridMultilevel"/>
    <w:lvl w:ilvl="0">
      <w:lvlJc w:val="left"/>
      <w:lvlText w:val="(%1)"/>
      <w:numFmt w:val="upperLetter"/>
      <w:start w:val="4"/>
    </w:lvl>
    <w:lvl w:ilvl="1">
      <w:lvlJc w:val="left"/>
      <w:lvlText w:val="(%2)"/>
      <w:numFmt w:val="lowerRoman"/>
      <w:start w:val="10"/>
    </w:lvl>
  </w:abstractNum>
  <w:abstractNum w:abstractNumId="125">
    <w:nsid w:val="11B1CC33"/>
    <w:multiLevelType w:val="hybridMultilevel"/>
    <w:lvl w:ilvl="0">
      <w:lvlJc w:val="left"/>
      <w:lvlText w:val="%1"/>
      <w:numFmt w:val="upperLetter"/>
      <w:start w:val="1"/>
    </w:lvl>
    <w:lvl w:ilvl="1">
      <w:lvlJc w:val="left"/>
      <w:lvlText w:val="(%2)"/>
      <w:numFmt w:val="lowerLetter"/>
      <w:start w:val="2"/>
    </w:lvl>
  </w:abstractNum>
  <w:abstractNum w:abstractNumId="126">
    <w:nsid w:val="2E22FBB7"/>
    <w:multiLevelType w:val="hybridMultilevel"/>
    <w:lvl w:ilvl="0">
      <w:lvlJc w:val="left"/>
      <w:lvlText w:val="(%1)"/>
      <w:numFmt w:val="upperLetter"/>
      <w:start w:val="1"/>
    </w:lvl>
    <w:lvl w:ilvl="1">
      <w:lvlJc w:val="left"/>
      <w:lvlText w:val="(%2)"/>
      <w:numFmt w:val="lowerLetter"/>
      <w:start w:val="5"/>
    </w:lvl>
  </w:abstractNum>
  <w:abstractNum w:abstractNumId="127">
    <w:nsid w:val="29934699"/>
    <w:multiLevelType w:val="hybridMultilevel"/>
    <w:lvl w:ilvl="0">
      <w:lvlJc w:val="left"/>
      <w:lvlText w:val="%1."/>
      <w:numFmt w:val="decimal"/>
      <w:start w:val="8"/>
    </w:lvl>
  </w:abstractNum>
  <w:abstractNum w:abstractNumId="128">
    <w:nsid w:val="77485850"/>
    <w:multiLevelType w:val="hybridMultilevel"/>
    <w:lvl w:ilvl="0">
      <w:lvlJc w:val="left"/>
      <w:lvlText w:val="%1"/>
      <w:numFmt w:val="lowerLetter"/>
      <w:start w:val="1"/>
    </w:lvl>
    <w:lvl w:ilvl="1">
      <w:lvlJc w:val="left"/>
      <w:lvlText w:val="(%2)"/>
      <w:numFmt w:val="lowerLetter"/>
      <w:start w:val="1"/>
    </w:lvl>
  </w:abstractNum>
  <w:abstractNum w:abstractNumId="129">
    <w:nsid w:val="744939A3"/>
    <w:multiLevelType w:val="hybridMultilevel"/>
    <w:lvl w:ilvl="0">
      <w:lvlJc w:val="left"/>
      <w:lvlText w:val="(%1)"/>
      <w:numFmt w:val="lowerLetter"/>
      <w:start w:val="24"/>
    </w:lvl>
    <w:lvl w:ilvl="1">
      <w:lvlJc w:val="left"/>
      <w:lvlText w:val="(%2)"/>
      <w:numFmt w:val="lowerLetter"/>
      <w:start w:val="2"/>
    </w:lvl>
  </w:abstractNum>
  <w:abstractNum w:abstractNumId="130">
    <w:nsid w:val="4FA0D2E3"/>
    <w:multiLevelType w:val="hybridMultilevel"/>
    <w:lvl w:ilvl="0">
      <w:lvlJc w:val="left"/>
      <w:lvlText w:val="(%1)"/>
      <w:numFmt w:val="lowerLetter"/>
      <w:start w:val="61"/>
    </w:lvl>
    <w:lvl w:ilvl="1">
      <w:lvlJc w:val="left"/>
      <w:lvlText w:val="%2"/>
      <w:numFmt w:val="lowerLetter"/>
      <w:start w:val="1"/>
    </w:lvl>
  </w:abstractNum>
  <w:abstractNum w:abstractNumId="131">
    <w:nsid w:val="6B1D2C14"/>
    <w:multiLevelType w:val="hybridMultilevel"/>
    <w:lvl w:ilvl="0">
      <w:lvlJc w:val="left"/>
      <w:lvlText w:val="%1"/>
      <w:numFmt w:val="lowerLetter"/>
      <w:start w:val="1"/>
    </w:lvl>
    <w:lvl w:ilvl="1">
      <w:lvlJc w:val="left"/>
      <w:lvlText w:val="(%2)"/>
      <w:numFmt w:val="lowerLetter"/>
      <w:start w:val="4"/>
    </w:lvl>
  </w:abstractNum>
  <w:abstractNum w:abstractNumId="132">
    <w:nsid w:val="68B867D3"/>
    <w:multiLevelType w:val="hybridMultilevel"/>
    <w:lvl w:ilvl="0">
      <w:lvlJc w:val="left"/>
      <w:lvlText w:val="(%1)"/>
      <w:numFmt w:val="lowerLetter"/>
      <w:start w:val="9"/>
    </w:lvl>
    <w:lvl w:ilvl="1">
      <w:lvlJc w:val="left"/>
      <w:lvlText w:val="(%2)"/>
      <w:numFmt w:val="lowerLetter"/>
      <w:start w:val="5"/>
    </w:lvl>
  </w:abstractNum>
  <w:abstractNum w:abstractNumId="133">
    <w:nsid w:val="3F7F5DD9"/>
    <w:multiLevelType w:val="hybridMultilevel"/>
    <w:lvl w:ilvl="0">
      <w:lvlJc w:val="left"/>
      <w:lvlText w:val="(%1)"/>
      <w:numFmt w:val="lowerLetter"/>
      <w:start w:val="6"/>
    </w:lvl>
  </w:abstractNum>
  <w:abstractNum w:abstractNumId="134">
    <w:nsid w:val="2AE05A34"/>
    <w:multiLevelType w:val="hybridMultilevel"/>
    <w:lvl w:ilvl="0">
      <w:lvlJc w:val="left"/>
      <w:lvlText w:val="(%1)"/>
      <w:numFmt w:val="lowerRoman"/>
      <w:start w:val="2"/>
    </w:lvl>
    <w:lvl w:ilvl="1">
      <w:lvlJc w:val="left"/>
      <w:lvlText w:val="(%2)"/>
      <w:numFmt w:val="upperLetter"/>
      <w:start w:val="1"/>
    </w:lvl>
  </w:abstractNum>
  <w:abstractNum w:abstractNumId="135">
    <w:nsid w:val="32794FF7"/>
    <w:multiLevelType w:val="hybridMultilevel"/>
    <w:lvl w:ilvl="0">
      <w:lvlJc w:val="left"/>
      <w:lvlText w:val="(%1)"/>
      <w:numFmt w:val="upperLetter"/>
      <w:start w:val="4"/>
    </w:lvl>
  </w:abstractNum>
  <w:abstractNum w:abstractNumId="136">
    <w:nsid w:val="5454945E"/>
    <w:multiLevelType w:val="hybridMultilevel"/>
    <w:lvl w:ilvl="0">
      <w:lvlJc w:val="left"/>
      <w:lvlText w:val="(%1)"/>
      <w:numFmt w:val="lowerRoman"/>
      <w:start w:val="3"/>
    </w:lvl>
  </w:abstractNum>
  <w:abstractNum w:abstractNumId="137">
    <w:nsid w:val="4DEFDFA0"/>
    <w:multiLevelType w:val="hybridMultilevel"/>
    <w:lvl w:ilvl="0">
      <w:lvlJc w:val="left"/>
      <w:lvlText w:val="(%1)"/>
      <w:numFmt w:val="lowerLetter"/>
      <w:start w:val="7"/>
    </w:lvl>
    <w:lvl w:ilvl="1">
      <w:lvlJc w:val="left"/>
      <w:lvlText w:val="(%2)"/>
      <w:numFmt w:val="lowerRoman"/>
      <w:start w:val="1"/>
    </w:lvl>
  </w:abstractNum>
  <w:abstractNum w:abstractNumId="138">
    <w:nsid w:val="2123D5F2"/>
    <w:multiLevelType w:val="hybridMultilevel"/>
    <w:lvl w:ilvl="0">
      <w:lvlJc w:val="left"/>
      <w:lvlText w:val="(%1)"/>
      <w:numFmt w:val="lowerLetter"/>
      <w:start w:val="10"/>
    </w:lvl>
    <w:lvl w:ilvl="1">
      <w:lvlJc w:val="left"/>
      <w:lvlText w:val="(%2)"/>
      <w:numFmt w:val="lowerRoman"/>
      <w:start w:val="1"/>
    </w:lvl>
  </w:abstractNum>
  <w:abstractNum w:abstractNumId="139">
    <w:nsid w:val="135B8110"/>
    <w:multiLevelType w:val="hybridMultilevel"/>
    <w:lvl w:ilvl="0">
      <w:lvlJc w:val="left"/>
      <w:lvlText w:val="(%1)"/>
      <w:numFmt w:val="lowerLetter"/>
      <w:start w:val="35"/>
    </w:lvl>
    <w:lvl w:ilvl="1">
      <w:lvlJc w:val="left"/>
      <w:lvlText w:val="%2"/>
      <w:numFmt w:val="lowerRoman"/>
      <w:start w:val="1"/>
    </w:lvl>
  </w:abstractNum>
  <w:abstractNum w:abstractNumId="140">
    <w:nsid w:val="94927A8"/>
    <w:multiLevelType w:val="hybridMultilevel"/>
    <w:lvl w:ilvl="0">
      <w:lvlJc w:val="left"/>
      <w:lvlText w:val="%1"/>
      <w:numFmt w:val="lowerLetter"/>
      <w:start w:val="1"/>
    </w:lvl>
    <w:lvl w:ilvl="1">
      <w:lvlJc w:val="left"/>
      <w:lvlText w:val="(%2)"/>
      <w:numFmt w:val="lowerRoman"/>
      <w:start w:val="3"/>
    </w:lvl>
  </w:abstractNum>
  <w:abstractNum w:abstractNumId="141">
    <w:nsid w:val="DCDF8F6"/>
    <w:multiLevelType w:val="hybridMultilevel"/>
    <w:lvl w:ilvl="0">
      <w:lvlJc w:val="left"/>
      <w:lvlText w:val="(%1)"/>
      <w:numFmt w:val="lowerLetter"/>
      <w:start w:val="14"/>
    </w:lvl>
    <w:lvl w:ilvl="1">
      <w:lvlJc w:val="left"/>
      <w:lvlText w:val="(%2)"/>
      <w:numFmt w:val="lowerRoman"/>
      <w:start w:val="1"/>
    </w:lvl>
  </w:abstractNum>
  <w:abstractNum w:abstractNumId="142">
    <w:nsid w:val="52D7B105"/>
    <w:multiLevelType w:val="hybridMultilevel"/>
    <w:lvl w:ilvl="0">
      <w:lvlJc w:val="left"/>
      <w:lvlText w:val="(%1)"/>
      <w:numFmt w:val="lowerLetter"/>
      <w:start w:val="15"/>
    </w:lvl>
    <w:lvl w:ilvl="1">
      <w:lvlJc w:val="left"/>
      <w:lvlText w:val="(%2)"/>
      <w:numFmt w:val="lowerLetter"/>
      <w:start w:val="9"/>
    </w:lvl>
  </w:abstractNum>
  <w:abstractNum w:abstractNumId="143">
    <w:nsid w:val="2E8A63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44">
    <w:nsid w:val="24E60401"/>
    <w:multiLevelType w:val="hybridMultilevel"/>
    <w:lvl w:ilvl="0">
      <w:lvlJc w:val="left"/>
      <w:lvlText w:val="%1"/>
      <w:numFmt w:val="lowerLetter"/>
      <w:start w:val="1"/>
    </w:lvl>
    <w:lvl w:ilvl="1">
      <w:lvlJc w:val="left"/>
      <w:lvlText w:val="(%2)"/>
      <w:numFmt w:val="lowerLetter"/>
      <w:start w:val="21"/>
    </w:lvl>
    <w:lvl w:ilvl="2">
      <w:lvlJc w:val="left"/>
      <w:lvlText w:val="%3"/>
      <w:numFmt w:val="lowerLetter"/>
      <w:start w:val="1"/>
    </w:lvl>
  </w:abstractNum>
  <w:abstractNum w:abstractNumId="145">
    <w:nsid w:val="2A6AD9BE"/>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46">
    <w:nsid w:val="BAAC1B4"/>
    <w:multiLevelType w:val="hybridMultilevel"/>
    <w:lvl w:ilvl="0">
      <w:lvlJc w:val="left"/>
      <w:lvlText w:val="(%1)"/>
      <w:numFmt w:val="lowerLetter"/>
      <w:start w:val="22"/>
    </w:lvl>
  </w:abstractNum>
  <w:abstractNum w:abstractNumId="147">
    <w:nsid w:val="36B2ACBC"/>
    <w:multiLevelType w:val="hybridMultilevel"/>
    <w:lvl w:ilvl="0">
      <w:lvlJc w:val="left"/>
      <w:lvlText w:val="%1"/>
      <w:numFmt w:val="lowerLetter"/>
      <w:start w:val="1"/>
    </w:lvl>
    <w:lvl w:ilvl="1">
      <w:lvlJc w:val="left"/>
      <w:lvlText w:val="(%2)"/>
      <w:numFmt w:val="lowerLetter"/>
      <w:start w:val="1"/>
    </w:lvl>
  </w:abstractNum>
  <w:abstractNum w:abstractNumId="148">
    <w:nsid w:val="779D8544"/>
    <w:multiLevelType w:val="hybridMultilevel"/>
    <w:lvl w:ilvl="0">
      <w:lvlJc w:val="left"/>
      <w:lvlText w:val="(%1)"/>
      <w:numFmt w:val="lowerLetter"/>
      <w:start w:val="61"/>
    </w:lvl>
    <w:lvl w:ilvl="1">
      <w:lvlJc w:val="left"/>
      <w:lvlText w:val="%2"/>
      <w:numFmt w:val="lowerLetter"/>
      <w:start w:val="1"/>
    </w:lvl>
  </w:abstractNum>
  <w:abstractNum w:abstractNumId="149">
    <w:nsid w:val="4AB26E78"/>
    <w:multiLevelType w:val="hybridMultilevel"/>
    <w:lvl w:ilvl="0">
      <w:lvlJc w:val="left"/>
      <w:lvlText w:val="(%1)"/>
      <w:numFmt w:val="lowerLetter"/>
      <w:start w:val="2"/>
    </w:lvl>
  </w:abstractNum>
  <w:abstractNum w:abstractNumId="150">
    <w:nsid w:val="21FAA2FA"/>
    <w:multiLevelType w:val="hybridMultilevel"/>
    <w:lvl w:ilvl="0">
      <w:lvlJc w:val="left"/>
      <w:lvlText w:val="(%1)"/>
      <w:numFmt w:val="lowerLetter"/>
      <w:start w:val="1"/>
    </w:lvl>
  </w:abstractNum>
  <w:abstractNum w:abstractNumId="151">
    <w:nsid w:val="5451CF49"/>
    <w:multiLevelType w:val="hybridMultilevel"/>
    <w:lvl w:ilvl="0">
      <w:lvlJc w:val="left"/>
      <w:lvlText w:val="(%1)"/>
      <w:numFmt w:val="lowerLetter"/>
      <w:start w:val="2"/>
    </w:lvl>
  </w:abstractNum>
  <w:abstractNum w:abstractNumId="152">
    <w:nsid w:val="6181EF69"/>
    <w:multiLevelType w:val="hybridMultilevel"/>
    <w:lvl w:ilvl="0">
      <w:lvlJc w:val="left"/>
      <w:lvlText w:val="(%1)"/>
      <w:numFmt w:val="lowerLetter"/>
      <w:start w:val="1"/>
    </w:lvl>
  </w:abstractNum>
  <w:abstractNum w:abstractNumId="153">
    <w:nsid w:val="3E6400E6"/>
    <w:multiLevelType w:val="hybridMultilevel"/>
    <w:lvl w:ilvl="0">
      <w:lvlJc w:val="left"/>
      <w:lvlText w:val="(%1)"/>
      <w:numFmt w:val="lowerLetter"/>
      <w:start w:val="4"/>
    </w:lvl>
  </w:abstractNum>
  <w:abstractNum w:abstractNumId="154">
    <w:nsid w:val="14217E23"/>
    <w:multiLevelType w:val="hybridMultilevel"/>
    <w:lvl w:ilvl="0">
      <w:lvlJc w:val="left"/>
      <w:lvlText w:val="(%1)"/>
      <w:numFmt w:val="lowerRoman"/>
      <w:start w:val="2"/>
    </w:lvl>
  </w:abstractNum>
  <w:abstractNum w:abstractNumId="155">
    <w:nsid w:val="710757D0"/>
    <w:multiLevelType w:val="hybridMultilevel"/>
    <w:lvl w:ilvl="0">
      <w:lvlJc w:val="left"/>
      <w:lvlText w:val="(%1)"/>
      <w:numFmt w:val="decimal"/>
      <w:start w:val="2"/>
    </w:lvl>
  </w:abstractNum>
  <w:abstractNum w:abstractNumId="156">
    <w:nsid w:val="5015CD1A"/>
    <w:multiLevelType w:val="hybridMultilevel"/>
    <w:lvl w:ilvl="0">
      <w:lvlJc w:val="left"/>
      <w:lvlText w:val="(%1)"/>
      <w:numFmt w:val="upperLetter"/>
      <w:start w:val="1"/>
    </w:lvl>
  </w:abstractNum>
  <w:abstractNum w:abstractNumId="157">
    <w:nsid w:val="424479DA"/>
    <w:multiLevelType w:val="hybridMultilevel"/>
    <w:lvl w:ilvl="0">
      <w:lvlJc w:val="left"/>
      <w:lvlText w:val="(%1)"/>
      <w:numFmt w:val="decimal"/>
      <w:start w:val="3"/>
    </w:lvl>
  </w:abstractNum>
  <w:abstractNum w:abstractNumId="158">
    <w:nsid w:val="1A9A9E69"/>
    <w:multiLevelType w:val="hybridMultilevel"/>
    <w:lvl w:ilvl="0">
      <w:lvlJc w:val="left"/>
      <w:lvlText w:val="(%1)"/>
      <w:numFmt w:val="lowerLetter"/>
      <w:start w:val="2"/>
    </w:lvl>
  </w:abstractNum>
  <w:abstractNum w:abstractNumId="159">
    <w:nsid w:val="475E256A"/>
    <w:multiLevelType w:val="hybridMultilevel"/>
    <w:lvl w:ilvl="0">
      <w:lvlJc w:val="left"/>
      <w:lvlText w:val="(%1)"/>
      <w:numFmt w:val="lowerLetter"/>
      <w:start w:val="3"/>
    </w:lvl>
  </w:abstractNum>
  <w:abstractNum w:abstractNumId="160">
    <w:nsid w:val="368DB37E"/>
    <w:multiLevelType w:val="hybridMultilevel"/>
    <w:lvl w:ilvl="0">
      <w:lvlJc w:val="left"/>
      <w:lvlText w:val="(%1)"/>
      <w:numFmt w:val="lowerRoman"/>
      <w:start w:val="1"/>
    </w:lvl>
  </w:abstractNum>
  <w:abstractNum w:abstractNumId="161">
    <w:nsid w:val="6A3B714C"/>
    <w:multiLevelType w:val="hybridMultilevel"/>
    <w:lvl w:ilvl="0">
      <w:lvlJc w:val="left"/>
      <w:lvlText w:val="(%1)"/>
      <w:numFmt w:val="lowerLetter"/>
      <w:start w:val="4"/>
    </w:lvl>
  </w:abstractNum>
  <w:abstractNum w:abstractNumId="162">
    <w:nsid w:val="327B517E"/>
    <w:multiLevelType w:val="hybridMultilevel"/>
    <w:lvl w:ilvl="0">
      <w:lvlJc w:val="left"/>
      <w:lvlText w:val="(%1)"/>
      <w:numFmt w:val="lowerLetter"/>
      <w:start w:val="5"/>
    </w:lvl>
  </w:abstractNum>
  <w:abstractNum w:abstractNumId="163">
    <w:nsid w:val="1F461B51"/>
    <w:multiLevelType w:val="hybridMultilevel"/>
    <w:lvl w:ilvl="0">
      <w:lvlJc w:val="left"/>
      <w:lvlText w:val="(%1)"/>
      <w:numFmt w:val="lowerLetter"/>
      <w:start w:val="1"/>
    </w:lvl>
  </w:abstractNum>
  <w:abstractNum w:abstractNumId="164">
    <w:nsid w:val="29BACF25"/>
    <w:multiLevelType w:val="hybridMultilevel"/>
    <w:lvl w:ilvl="0">
      <w:lvlJc w:val="left"/>
      <w:lvlText w:val="(%1)"/>
      <w:numFmt w:val="decimal"/>
      <w:start w:val="30"/>
    </w:lvl>
  </w:abstractNum>
  <w:abstractNum w:abstractNumId="165">
    <w:nsid w:val="5D5BABB3"/>
    <w:multiLevelType w:val="hybridMultilevel"/>
    <w:lvl w:ilvl="0">
      <w:lvlJc w:val="left"/>
      <w:lvlText w:val="(%1)"/>
      <w:numFmt w:val="decimal"/>
      <w:start w:val="365"/>
    </w:lvl>
  </w:abstractNum>
  <w:abstractNum w:abstractNumId="166">
    <w:nsid w:val="51BF6B48"/>
    <w:multiLevelType w:val="hybridMultilevel"/>
    <w:lvl w:ilvl="0">
      <w:lvlJc w:val="left"/>
      <w:lvlText w:val="%1."/>
      <w:numFmt w:val="decimal"/>
      <w:start w:val="21"/>
    </w:lvl>
  </w:abstractNum>
  <w:abstractNum w:abstractNumId="167">
    <w:nsid w:val="7E0F6384"/>
    <w:multiLevelType w:val="hybridMultilevel"/>
    <w:lvl w:ilvl="0">
      <w:lvlJc w:val="left"/>
      <w:lvlText w:val="(%1)"/>
      <w:numFmt w:val="lowerRoman"/>
      <w:start w:val="3"/>
    </w:lvl>
  </w:abstractNum>
  <w:abstractNum w:abstractNumId="168">
    <w:nsid w:val="2B4B8B53"/>
    <w:multiLevelType w:val="hybridMultilevel"/>
    <w:lvl w:ilvl="0">
      <w:lvlJc w:val="left"/>
      <w:lvlText w:val="(%1)"/>
      <w:numFmt w:val="lowerLetter"/>
      <w:start w:val="1"/>
    </w:lvl>
  </w:abstractNum>
  <w:abstractNum w:abstractNumId="169">
    <w:nsid w:val="72E3413A"/>
    <w:multiLevelType w:val="hybridMultilevel"/>
    <w:lvl w:ilvl="0">
      <w:lvlJc w:val="left"/>
      <w:lvlText w:val="(%1)"/>
      <w:numFmt w:val="lowerLetter"/>
      <w:start w:val="2"/>
    </w:lvl>
  </w:abstractNum>
  <w:abstractNum w:abstractNumId="170">
    <w:nsid w:val="116AE494"/>
    <w:multiLevelType w:val="hybridMultilevel"/>
    <w:lvl w:ilvl="0">
      <w:lvlJc w:val="left"/>
      <w:lvlText w:val="(%1)"/>
      <w:numFmt w:val="lowerRoman"/>
      <w:start w:val="10"/>
    </w:lvl>
  </w:abstractNum>
  <w:abstractNum w:abstractNumId="171">
    <w:nsid w:val="3494B2FB"/>
    <w:multiLevelType w:val="hybridMultilevel"/>
    <w:lvl w:ilvl="0">
      <w:lvlJc w:val="left"/>
      <w:lvlText w:val="(%1)"/>
      <w:numFmt w:val="lowerLetter"/>
      <w:start w:val="1"/>
    </w:lvl>
  </w:abstractNum>
  <w:abstractNum w:abstractNumId="172">
    <w:nsid w:val="B13A31"/>
    <w:multiLevelType w:val="hybridMultilevel"/>
    <w:lvl w:ilvl="0">
      <w:lvlJc w:val="left"/>
      <w:lvlText w:val="(%1)"/>
      <w:numFmt w:val="decimal"/>
      <w:start w:val="2"/>
    </w:lvl>
  </w:abstractNum>
  <w:abstractNum w:abstractNumId="173">
    <w:nsid w:val="64429599"/>
    <w:multiLevelType w:val="hybridMultilevel"/>
    <w:lvl w:ilvl="0">
      <w:lvlJc w:val="left"/>
      <w:lvlText w:val="(%1)"/>
      <w:numFmt w:val="decimal"/>
      <w:start w:val="30"/>
    </w:lvl>
  </w:abstractNum>
  <w:abstractNum w:abstractNumId="174">
    <w:nsid w:val="631F1690"/>
    <w:multiLevelType w:val="hybridMultilevel"/>
    <w:lvl w:ilvl="0">
      <w:lvlJc w:val="left"/>
      <w:lvlText w:val="(%1)"/>
      <w:numFmt w:val="lowerRoman"/>
      <w:start w:val="2"/>
    </w:lvl>
  </w:abstractNum>
  <w:abstractNum w:abstractNumId="175">
    <w:nsid w:val="25973E32"/>
    <w:multiLevelType w:val="hybridMultilevel"/>
    <w:lvl w:ilvl="0">
      <w:lvlJc w:val="left"/>
      <w:lvlText w:val="(%1)"/>
      <w:numFmt w:val="lowerRoman"/>
      <w:start w:val="1"/>
    </w:lvl>
  </w:abstractNum>
  <w:abstractNum w:abstractNumId="176">
    <w:nsid w:val="EAD6F57"/>
    <w:multiLevelType w:val="hybridMultilevel"/>
    <w:lvl w:ilvl="0">
      <w:lvlJc w:val="left"/>
      <w:lvlText w:val="(%1)"/>
      <w:numFmt w:val="upperLetter"/>
      <w:start w:val="24"/>
    </w:lvl>
  </w:abstractNum>
  <w:abstractNum w:abstractNumId="177">
    <w:nsid w:val="6EC9D844"/>
    <w:multiLevelType w:val="hybridMultilevel"/>
    <w:lvl w:ilvl="0">
      <w:lvlJc w:val="left"/>
      <w:lvlText w:val="(%1)"/>
      <w:numFmt w:val="upperLetter"/>
      <w:start w:val="2"/>
    </w:lvl>
  </w:abstractNum>
  <w:abstractNum w:abstractNumId="178">
    <w:nsid w:val="5C49EAEE"/>
    <w:multiLevelType w:val="hybridMultilevel"/>
    <w:lvl w:ilvl="0">
      <w:lvlJc w:val="left"/>
      <w:lvlText w:val="(%1)"/>
      <w:numFmt w:val="decimal"/>
      <w:start w:val="365"/>
    </w:lvl>
  </w:abstractNum>
  <w:abstractNum w:abstractNumId="179">
    <w:nsid w:val="64AF49B"/>
    <w:multiLevelType w:val="hybridMultilevel"/>
    <w:lvl w:ilvl="0">
      <w:lvlJc w:val="left"/>
      <w:lvlText w:val="(%1)"/>
      <w:numFmt w:val="lowerLetter"/>
      <w:start w:val="24"/>
    </w:lvl>
  </w:abstractNum>
  <w:abstractNum w:abstractNumId="180">
    <w:nsid w:val="397C46BC"/>
    <w:multiLevelType w:val="hybridMultilevel"/>
    <w:lvl w:ilvl="0">
      <w:lvlJc w:val="left"/>
      <w:lvlText w:val="(%1)"/>
      <w:numFmt w:val="upperLetter"/>
      <w:start w:val="2"/>
    </w:lvl>
  </w:abstractNum>
  <w:abstractNum w:abstractNumId="181">
    <w:nsid w:val="7E448DE9"/>
    <w:multiLevelType w:val="hybridMultilevel"/>
    <w:lvl w:ilvl="0">
      <w:lvlJc w:val="left"/>
      <w:lvlText w:val="(%1)"/>
      <w:numFmt w:val="upperLetter"/>
      <w:start w:val="2"/>
    </w:lvl>
  </w:abstractNum>
  <w:abstractNum w:abstractNumId="182">
    <w:nsid w:val="5A9CC3E5"/>
    <w:multiLevelType w:val="hybridMultilevel"/>
    <w:lvl w:ilvl="0">
      <w:lvlJc w:val="left"/>
      <w:lvlText w:val="(%1)"/>
      <w:numFmt w:val="decimal"/>
      <w:start w:val="120"/>
    </w:lvl>
  </w:abstractNum>
  <w:abstractNum w:abstractNumId="183">
    <w:nsid w:val="1AFE3625"/>
    <w:multiLevelType w:val="hybridMultilevel"/>
    <w:lvl w:ilvl="0">
      <w:lvlJc w:val="left"/>
      <w:lvlText w:val="(%1)"/>
      <w:numFmt w:val="lowerRoman"/>
      <w:start w:val="3"/>
    </w:lvl>
  </w:abstractNum>
  <w:abstractNum w:abstractNumId="184">
    <w:nsid w:val="3CA88ECF"/>
    <w:multiLevelType w:val="hybridMultilevel"/>
    <w:lvl w:ilvl="0">
      <w:lvlJc w:val="left"/>
      <w:lvlText w:val="(%1)"/>
      <w:numFmt w:val="lowerRoman"/>
      <w:start w:val="1"/>
    </w:lvl>
  </w:abstractNum>
  <w:abstractNum w:abstractNumId="185">
    <w:nsid w:val="6EBE4208"/>
    <w:multiLevelType w:val="hybridMultilevel"/>
    <w:lvl w:ilvl="0">
      <w:lvlJc w:val="left"/>
      <w:lvlText w:val="(%1)"/>
      <w:numFmt w:val="lowerRoman"/>
      <w:start w:val="2"/>
    </w:lvl>
  </w:abstractNum>
  <w:abstractNum w:abstractNumId="186">
    <w:nsid w:val="C058DF5"/>
    <w:multiLevelType w:val="hybridMultilevel"/>
    <w:lvl w:ilvl="0">
      <w:lvlJc w:val="left"/>
      <w:lvlText w:val="(%1)"/>
      <w:numFmt w:val="upperLetter"/>
      <w:start w:val="2"/>
    </w:lvl>
  </w:abstractNum>
  <w:abstractNum w:abstractNumId="187">
    <w:nsid w:val="CBE5BE9"/>
    <w:multiLevelType w:val="hybridMultilevel"/>
    <w:lvl w:ilvl="0">
      <w:lvlJc w:val="left"/>
      <w:lvlText w:val="(%1)"/>
      <w:numFmt w:val="lowerRoman"/>
      <w:start w:val="20"/>
    </w:lvl>
  </w:abstractNum>
  <w:abstractNum w:abstractNumId="188">
    <w:nsid w:val="3102BBE2"/>
    <w:multiLevelType w:val="hybridMultilevel"/>
    <w:lvl w:ilvl="0">
      <w:lvlJc w:val="left"/>
      <w:lvlText w:val="(%1)"/>
      <w:numFmt w:val="upperLetter"/>
      <w:start w:val="3"/>
    </w:lvl>
  </w:abstractNum>
  <w:abstractNum w:abstractNumId="189">
    <w:nsid w:val="26A02C5E"/>
    <w:multiLevelType w:val="hybridMultilevel"/>
    <w:lvl w:ilvl="0">
      <w:lvlJc w:val="left"/>
      <w:lvlText w:val="(%1)"/>
      <w:numFmt w:val="lowerRoman"/>
      <w:start w:val="7"/>
    </w:lvl>
  </w:abstractNum>
  <w:abstractNum w:abstractNumId="190">
    <w:nsid w:val="541C8153"/>
    <w:multiLevelType w:val="hybridMultilevel"/>
    <w:lvl w:ilvl="0">
      <w:lvlJc w:val="left"/>
      <w:lvlText w:val="(%1)"/>
      <w:numFmt w:val="lowerLetter"/>
      <w:start w:val="1"/>
    </w:lvl>
  </w:abstractNum>
  <w:abstractNum w:abstractNumId="191">
    <w:nsid w:val="67906F60"/>
    <w:multiLevelType w:val="hybridMultilevel"/>
    <w:lvl w:ilvl="0">
      <w:lvlJc w:val="left"/>
      <w:lvlText w:val="(%1)"/>
      <w:numFmt w:val="lowerRoman"/>
      <w:start w:val="2"/>
    </w:lvl>
  </w:abstractNum>
  <w:abstractNum w:abstractNumId="192">
    <w:nsid w:val="10DB9DAA"/>
    <w:multiLevelType w:val="hybridMultilevel"/>
    <w:lvl w:ilvl="0">
      <w:lvlJc w:val="left"/>
      <w:lvlText w:val="(%1)"/>
      <w:numFmt w:val="decimal"/>
      <w:start w:val="2"/>
    </w:lvl>
  </w:abstractNum>
  <w:abstractNum w:abstractNumId="193">
    <w:nsid w:val="697D2D2"/>
    <w:multiLevelType w:val="hybridMultilevel"/>
    <w:lvl w:ilvl="0">
      <w:lvlJc w:val="left"/>
      <w:lvlText w:val="(%1)"/>
      <w:numFmt w:val="lowerLetter"/>
      <w:start w:val="25"/>
    </w:lvl>
  </w:abstractNum>
  <w:abstractNum w:abstractNumId="194">
    <w:nsid w:val="6D68AB2"/>
    <w:multiLevelType w:val="hybridMultilevel"/>
    <w:lvl w:ilvl="0">
      <w:lvlJc w:val="left"/>
      <w:lvlText w:val="(%1)"/>
      <w:numFmt w:val="upperLetter"/>
      <w:start w:val="1"/>
    </w:lvl>
  </w:abstractNum>
  <w:abstractNum w:abstractNumId="195">
    <w:nsid w:val="3A966CD0"/>
    <w:multiLevelType w:val="hybridMultilevel"/>
    <w:lvl w:ilvl="0">
      <w:lvlJc w:val="left"/>
      <w:lvlText w:val="(%1)"/>
      <w:numFmt w:val="upperLetter"/>
      <w:start w:val="8"/>
    </w:lvl>
  </w:abstractNum>
  <w:abstractNum w:abstractNumId="196">
    <w:nsid w:val="63F37E85"/>
    <w:multiLevelType w:val="hybridMultilevel"/>
    <w:lvl w:ilvl="0">
      <w:lvlJc w:val="left"/>
      <w:lvlText w:val="(%1)"/>
      <w:numFmt w:val="upperLetter"/>
      <w:start w:val="1"/>
    </w:lvl>
  </w:abstractNum>
  <w:abstractNum w:abstractNumId="197">
    <w:nsid w:val="5895F5FA"/>
    <w:multiLevelType w:val="hybridMultilevel"/>
    <w:lvl w:ilvl="0">
      <w:lvlJc w:val="left"/>
      <w:lvlText w:val="(%1)"/>
      <w:numFmt w:val="lowerLetter"/>
      <w:start w:val="25"/>
    </w:lvl>
  </w:abstractNum>
  <w:abstractNum w:abstractNumId="198">
    <w:nsid w:val="38A5D054"/>
    <w:multiLevelType w:val="hybridMultilevel"/>
    <w:lvl w:ilvl="0">
      <w:lvlJc w:val="left"/>
      <w:lvlText w:val="(%1)"/>
      <w:numFmt w:val="lowerRoman"/>
      <w:start w:val="1"/>
    </w:lvl>
  </w:abstractNum>
  <w:abstractNum w:abstractNumId="199">
    <w:nsid w:val="F3F09D8"/>
    <w:multiLevelType w:val="hybridMultilevel"/>
    <w:lvl w:ilvl="0">
      <w:lvlJc w:val="left"/>
      <w:lvlText w:val="(%1)"/>
      <w:numFmt w:val="lowerRoman"/>
      <w:start w:val="2"/>
    </w:lvl>
  </w:abstractNum>
  <w:abstractNum w:abstractNumId="200">
    <w:nsid w:val="4B79373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2025-07-03T16:37:05Z</dcterms:created>
  <dcterms:modified xsi:type="dcterms:W3CDTF">2025-07-03T16:37:05Z</dcterms:modified>
</cp:coreProperties>
</file>