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411"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411"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411"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01/29/2025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68,897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53.77</w:t>
            </w:r>
            <w:r>
              <w:rPr>
                <w:rFonts w:ascii="Times New Roman" w:cs="Times New Roman" w:eastAsia="Times New Roman" w:hAnsi="Times New Roman"/>
                <w:sz w:val="22"/>
                <w:szCs w:val="22"/>
                <w:color w:val="008000"/>
                <w:vertAlign w:val="superscript"/>
              </w:rPr>
              <w:t>(2)</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5,702,890</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01/29/2025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10,221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54.45</w:t>
            </w:r>
            <w:r>
              <w:rPr>
                <w:rFonts w:ascii="Times New Roman" w:cs="Times New Roman" w:eastAsia="Times New Roman" w:hAnsi="Times New Roman"/>
                <w:sz w:val="22"/>
                <w:szCs w:val="22"/>
                <w:color w:val="008000"/>
                <w:vertAlign w:val="superscript"/>
              </w:rPr>
              <w:t>(3)</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5,692,669</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01/30/2025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77,626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54.63</w:t>
            </w:r>
            <w:r>
              <w:rPr>
                <w:rFonts w:ascii="Times New Roman" w:cs="Times New Roman" w:eastAsia="Times New Roman" w:hAnsi="Times New Roman"/>
                <w:sz w:val="22"/>
                <w:szCs w:val="22"/>
                <w:color w:val="008000"/>
                <w:vertAlign w:val="superscript"/>
              </w:rPr>
              <w:t>(4)</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5,615,043</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01/31/2025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57,538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57.94</w:t>
            </w:r>
            <w:r>
              <w:rPr>
                <w:rFonts w:ascii="Times New Roman" w:cs="Times New Roman" w:eastAsia="Times New Roman" w:hAnsi="Times New Roman"/>
                <w:sz w:val="22"/>
                <w:szCs w:val="22"/>
                <w:color w:val="008000"/>
                <w:vertAlign w:val="superscript"/>
              </w:rPr>
              <w:t>(5)</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5,557,505</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01/31/2025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24,118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58.84</w:t>
            </w:r>
            <w:r>
              <w:rPr>
                <w:rFonts w:ascii="Times New Roman" w:cs="Times New Roman" w:eastAsia="Times New Roman" w:hAnsi="Times New Roman"/>
                <w:sz w:val="22"/>
                <w:szCs w:val="22"/>
                <w:color w:val="008000"/>
                <w:vertAlign w:val="superscript"/>
              </w:rPr>
              <w:t>(6)</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5,533,387</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01/31/2025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59.86</w:t>
            </w:r>
            <w:r>
              <w:rPr>
                <w:rFonts w:ascii="Times New Roman" w:cs="Times New Roman" w:eastAsia="Times New Roman" w:hAnsi="Times New Roman"/>
                <w:sz w:val="22"/>
                <w:szCs w:val="22"/>
                <w:color w:val="008000"/>
                <w:vertAlign w:val="superscript"/>
              </w:rPr>
              <w:t>(7)</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5,532,987</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75</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9,557,283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26,589,477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4,952,973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248,631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(8)</w:t>
      </w:r>
    </w:p>
    <w:p>
      <w:pPr>
        <w:sectPr>
          <w:pgSz w:w="11900" w:h="16838" w:orient="portrait"/>
          <w:cols w:equalWidth="0" w:num="1">
            <w:col w:w="10960"/>
          </w:cols>
          <w:pgMar w:left="460" w:top="219" w:right="479" w:bottom="41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11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3110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145,966</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Series</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(8)</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1,397,589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$53.33 to $54.32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and (7).</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$54.34 to $54.78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$54.30 to $55.01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$57.46 to $58.455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$58.49 to $59.12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$59.825 to $59.90 inclusive.</w:t>
      </w:r>
    </w:p>
    <w:p>
      <w:pPr>
        <w:spacing w:after="0" w:line="50" w:lineRule="exact"/>
        <w:rPr>
          <w:rFonts w:ascii="Times New Roman" w:cs="Times New Roman" w:eastAsia="Times New Roman" w:hAnsi="Times New Roman"/>
          <w:sz w:val="13"/>
          <w:szCs w:val="13"/>
          <w:color w:val="008000"/>
        </w:rPr>
      </w:pPr>
    </w:p>
    <w:p>
      <w:pPr>
        <w:ind w:left="20" w:right="320" w:firstLine="7"/>
        <w:spacing w:after="0" w:line="249"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Gray Media, LLC, Lightbank Investments 1B, LLC, Lightbank Global LLC, (iii) the manager of the general partner of Innovation Group Investors, L.P. - 2011 Series and Innovation Group Investors, L.P. - Series 1B and (iv) a trustee of Lefkofsky Family Foundation.</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01/31/2025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2025-01-31T20:28:37Z</dcterms:created>
  <dcterms:modified xsi:type="dcterms:W3CDTF">2025-01-31T20:28:37Z</dcterms:modified>
</cp:coreProperties>
</file>