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gif" ContentType="image/gif"/>
  <Override PartName="/word/media/image3.jpeg" ContentType="image/jpeg"/>
  <Override PartName="/word/media/image9.jpeg" ContentType="image/jpeg"/>
  <Override PartName="/word/media/image11.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em-20251231.htm"/>
      <w:bookmarkStart w:id="1" w:name="kstem20251231"/>
      <w:bookmarkEnd w:id="0"/>
      <w:bookmarkEnd w:id="1"/>
      <w:r>
        <w:rPr/>
        <w:t> </w:t>
      </w:r>
    </w:p>
    <w:p>
      <w:pPr>
        <w:pStyle w:val="TextBody"/>
        <w:pBdr>
          <w:top w:val="double" w:sz="6" w:space="1" w:color="000000"/>
        </w:pBdr>
        <w:bidi w:val="0"/>
        <w:spacing w:before="4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ANNUAL REPORT PURSUANT TO SECTION 13 OR 15(d) OF THE SECURITIES EXCHANGE ACT OF 1934</w:t>
            </w:r>
            <w:r>
              <w:rPr>
                <w:rFonts w:ascii="Times New Roman" w:hAnsi="Times New Roman"/>
                <w:color w:val="000000"/>
                <w:sz w:val="16"/>
              </w:rPr>
              <w:t xml:space="preserve"> </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 FOR THE TRANSITION PERIOD FROM TO</w:t>
            </w:r>
            <w:r>
              <w:rPr>
                <w:rFonts w:ascii="Times New Roman" w:hAnsi="Times New Roman"/>
                <w:color w:val="000000"/>
                <w:sz w:val="16"/>
              </w:rPr>
              <w:t xml:space="preserve"> </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 001-42130</w:t>
      </w:r>
    </w:p>
    <w:p>
      <w:pPr>
        <w:pStyle w:val="TextBody"/>
        <w:pBdr>
          <w:bottom w:val="single" w:sz="8"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Tempus AI,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8" w:space="1" w:color="000000"/>
        </w:pBdr>
        <w:bidi w:val="0"/>
        <w:jc w:val="center"/>
        <w:rPr/>
      </w:pPr>
      <w:r>
        <w:rPr/>
        <w:t> </w:t>
      </w:r>
    </w:p>
    <w:tbl>
      <w:tblPr>
        <w:tblW w:w="5160" w:type="dxa"/>
        <w:jc w:val="left"/>
        <w:tblInd w:w="0" w:type="dxa"/>
        <w:tblLayout w:type="fixed"/>
        <w:tblCellMar>
          <w:top w:w="28" w:type="dxa"/>
          <w:left w:w="28" w:type="dxa"/>
          <w:bottom w:w="28" w:type="dxa"/>
          <w:right w:w="28" w:type="dxa"/>
        </w:tblCellMar>
      </w:tblPr>
      <w:tblGrid>
        <w:gridCol w:w="3172"/>
        <w:gridCol w:w="1988"/>
      </w:tblGrid>
      <w:tr>
        <w:trPr/>
        <w:tc>
          <w:tcPr>
            <w:tcW w:w="3172"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r>
      <w:tr>
        <w:trPr/>
        <w:tc>
          <w:tcPr>
            <w:tcW w:w="31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Nevada</w:t>
            </w:r>
          </w:p>
        </w:tc>
        <w:tc>
          <w:tcPr>
            <w:tcW w:w="19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47-4903308</w:t>
            </w:r>
          </w:p>
        </w:tc>
      </w:tr>
      <w:tr>
        <w:trPr/>
        <w:tc>
          <w:tcPr>
            <w:tcW w:w="317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988"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5160" w:type="dxa"/>
            <w:gridSpan w:val="2"/>
            <w:tcBorders/>
            <w:tcMar>
              <w:top w:w="0" w:type="dxa"/>
              <w:left w:w="0" w:type="dxa"/>
              <w:bottom w:w="0" w:type="dxa"/>
              <w:right w:w="0" w:type="dxa"/>
            </w:tcMar>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16"/>
              </w:rPr>
              <w:t>600 West Chicago Avenue, Suite 510</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16"/>
              </w:rPr>
              <w:t>Chicago, IL</w:t>
            </w:r>
            <w:r>
              <w:rPr>
                <w:rFonts w:ascii="Times New Roman" w:hAnsi="Times New Roman"/>
                <w:color w:val="000000"/>
                <w:sz w:val="20"/>
              </w:rPr>
              <w:t xml:space="preserve"> </w:t>
            </w:r>
            <w:r>
              <w:rPr>
                <w:rFonts w:ascii="Times New Roman" w:hAnsi="Times New Roman"/>
                <w:b/>
                <w:color w:val="000000"/>
                <w:sz w:val="16"/>
              </w:rPr>
              <w:t xml:space="preserve">60654 </w:t>
            </w:r>
          </w:p>
        </w:tc>
      </w:tr>
      <w:tr>
        <w:trPr/>
        <w:tc>
          <w:tcPr>
            <w:tcW w:w="516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(Address of Principal Executive Offices, Zip Code)</w:t>
            </w:r>
            <w:r>
              <w:rPr>
                <w:rFonts w:ascii="Times New Roman" w:hAnsi="Times New Roman"/>
                <w:color w:val="000000"/>
                <w:sz w:val="16"/>
              </w:rPr>
              <w:t xml:space="preserve"> </w:t>
            </w:r>
          </w:p>
        </w:tc>
      </w:tr>
      <w:tr>
        <w:trPr/>
        <w:tc>
          <w:tcPr>
            <w:tcW w:w="516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Registrant’s telephone number, including area code: (800) 976-5448 </w:t>
            </w:r>
          </w:p>
        </w:tc>
      </w:tr>
    </w:tbl>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7255" w:type="dxa"/>
        <w:jc w:val="left"/>
        <w:tblInd w:w="0" w:type="dxa"/>
        <w:tblLayout w:type="fixed"/>
        <w:tblCellMar>
          <w:top w:w="28" w:type="dxa"/>
          <w:left w:w="28" w:type="dxa"/>
          <w:bottom w:w="28" w:type="dxa"/>
          <w:right w:w="28" w:type="dxa"/>
        </w:tblCellMar>
      </w:tblPr>
      <w:tblGrid>
        <w:gridCol w:w="3271"/>
        <w:gridCol w:w="146"/>
        <w:gridCol w:w="751"/>
        <w:gridCol w:w="146"/>
        <w:gridCol w:w="294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32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TEM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The Nasdaq Stock Market LLC</w:t>
            </w:r>
          </w:p>
        </w:tc>
      </w:tr>
    </w:tbl>
    <w:p>
      <w:pPr>
        <w:pStyle w:val="TextBody"/>
        <w:bidi w:val="0"/>
        <w:spacing w:before="40" w:after="283"/>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olor w:val="000000"/>
          <w:sz w:val="15"/>
        </w:rPr>
        <w:t>NO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YES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15"/>
        </w:rPr>
        <w:t xml:space="preserve">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15"/>
        </w:rPr>
        <w:t xml:space="preserve">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The aggregate market value of the voting and non-voting common equity held by non-affiliates of the Registrant, as of the last business day of the Registrant's most recently completed second fiscal quarter was approximately $11.0</w:t>
      </w:r>
      <w:r>
        <w:rPr>
          <w:rFonts w:ascii="Times New Roman" w:hAnsi="Times New Roman"/>
          <w:color w:val="000000"/>
          <w:sz w:val="20"/>
        </w:rPr>
        <w:t xml:space="preserve"> </w:t>
      </w:r>
      <w:r>
        <w:rPr>
          <w:rFonts w:ascii="Times New Roman" w:hAnsi="Times New Roman"/>
          <w:color w:val="000000"/>
          <w:sz w:val="15"/>
        </w:rPr>
        <w:t>billion (based on the closing price of the Registrant's Class A common stock on the Nasdaq Global Select Market on June 30, 2025 of $63.54 per share).</w:t>
      </w:r>
    </w:p>
    <w:p>
      <w:pPr>
        <w:pStyle w:val="TextBody"/>
        <w:bidi w:val="0"/>
        <w:spacing w:before="40" w:after="283"/>
        <w:jc w:val="left"/>
        <w:rPr>
          <w:rFonts w:ascii="Times New Roman" w:hAnsi="Times New Roman"/>
          <w:sz w:val="20"/>
        </w:rPr>
      </w:pPr>
      <w:r>
        <w:rPr>
          <w:rFonts w:ascii="Times New Roman" w:hAnsi="Times New Roman"/>
          <w:color w:val="000000"/>
          <w:sz w:val="15"/>
        </w:rPr>
        <w:t>As of February 20, 2026, there were 173,729,901</w:t>
      </w:r>
      <w:r>
        <w:rPr>
          <w:rFonts w:ascii="Times New Roman" w:hAnsi="Times New Roman"/>
          <w:color w:val="000000"/>
          <w:sz w:val="20"/>
        </w:rPr>
        <w:t xml:space="preserve"> </w:t>
      </w:r>
      <w:r>
        <w:rPr>
          <w:rFonts w:ascii="Times New Roman" w:hAnsi="Times New Roman"/>
          <w:color w:val="000000"/>
          <w:sz w:val="15"/>
        </w:rPr>
        <w:t>shares of Class A common stock and 5,043,789</w:t>
      </w:r>
      <w:r>
        <w:rPr>
          <w:rFonts w:ascii="Times New Roman" w:hAnsi="Times New Roman"/>
          <w:color w:val="000000"/>
          <w:sz w:val="20"/>
        </w:rPr>
        <w:t xml:space="preserve"> </w:t>
      </w:r>
      <w:r>
        <w:rPr>
          <w:rFonts w:ascii="Times New Roman" w:hAnsi="Times New Roman"/>
          <w:color w:val="000000"/>
          <w:sz w:val="15"/>
        </w:rPr>
        <w:t>shares of Class B common stock, each with a par value of $0.0001 per share, outstanding.</w:t>
      </w:r>
    </w:p>
    <w:p>
      <w:pPr>
        <w:pStyle w:val="TextBody"/>
        <w:bidi w:val="0"/>
        <w:spacing w:before="4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5"/>
        </w:rPr>
        <w:t>Portions of the Registrant's definitive proxy statement, or the 2026 Proxy Statement, relating to its annual meeting of stockholders to be held in 2026, or the 2026 Annual Meeting, to be filed with the Securities and Exchange Commission, or the SEC, within 120 days after the end of the fiscal year to which this Annual Report on Form 10-K relates, are incorporated herein by reference where indicated. Except with respect to information specifically incorporated by reference in this Annual Report on Form 10-K, such proxy statement is not deemed to be filed a part hereof.</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9"/>
        <w:gridCol w:w="8399"/>
        <w:gridCol w:w="283"/>
        <w:gridCol w:w="604"/>
      </w:tblGrid>
      <w:tr>
        <w:trPr/>
        <w:tc>
          <w:tcPr>
            <w:tcW w:w="919" w:type="dxa"/>
            <w:tcBorders/>
            <w:vAlign w:val="center"/>
          </w:tcPr>
          <w:p>
            <w:pPr>
              <w:pStyle w:val="TableContents"/>
              <w:bidi w:val="0"/>
              <w:spacing w:before="0" w:after="283"/>
              <w:jc w:val="left"/>
              <w:rPr>
                <w:sz w:val="4"/>
                <w:szCs w:val="4"/>
              </w:rPr>
            </w:pPr>
            <w:r>
              <w:rPr>
                <w:sz w:val="4"/>
                <w:szCs w:val="4"/>
              </w:rPr>
            </w:r>
          </w:p>
        </w:tc>
        <w:tc>
          <w:tcPr>
            <w:tcW w:w="83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usiness">
              <w:r>
                <w:rPr>
                  <w:rStyle w:val="InternetLink"/>
                  <w:rFonts w:ascii="Times New Roman" w:hAnsi="Times New Roman"/>
                  <w:color w:val="0000FF"/>
                  <w:sz w:val="20"/>
                  <w:u w:val="single"/>
                </w:rPr>
                <w:t>Business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45</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solved_staff_comments">
              <w:r>
                <w:rPr>
                  <w:rStyle w:val="InternetLink"/>
                  <w:rFonts w:ascii="Times New Roman" w:hAnsi="Times New Roman"/>
                  <w:color w:val="0000FF"/>
                  <w:sz w:val="20"/>
                  <w:u w:val="single"/>
                </w:rPr>
                <w:t>Unresolved Staff Comments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108</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ybersecurity">
              <w:r>
                <w:rPr>
                  <w:rStyle w:val="InternetLink"/>
                  <w:rFonts w:ascii="Times New Roman" w:hAnsi="Times New Roman"/>
                  <w:color w:val="0000FF"/>
                  <w:sz w:val="20"/>
                  <w:u w:val="single"/>
                </w:rPr>
                <w:t>Cybersecurity</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108</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perties">
              <w:r>
                <w:rPr>
                  <w:rStyle w:val="InternetLink"/>
                  <w:rFonts w:ascii="Times New Roman" w:hAnsi="Times New Roman"/>
                  <w:color w:val="0000FF"/>
                  <w:sz w:val="20"/>
                  <w:u w:val="single"/>
                </w:rPr>
                <w:t>Properties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110</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110</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rket_for_registrants_common_equity">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112</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served">
              <w:r>
                <w:rPr>
                  <w:rStyle w:val="InternetLink"/>
                  <w:rFonts w:ascii="Times New Roman" w:hAnsi="Times New Roman"/>
                  <w:color w:val="0000FF"/>
                  <w:sz w:val="20"/>
                  <w:u w:val="single"/>
                </w:rPr>
                <w:t>[Reserved]</w:t>
              </w:r>
            </w:hyperlink>
            <w:hyperlink w:anchor="reserved">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113</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s_discussion_analysis">
              <w:r>
                <w:rPr>
                  <w:rStyle w:val="InternetLink"/>
                  <w:rFonts w:ascii="Times New Roman" w:hAnsi="Times New Roman"/>
                  <w:color w:val="0000FF"/>
                  <w:sz w:val="20"/>
                  <w:u w:val="single"/>
                </w:rPr>
                <w:t>Management’s Discussion and Analysis of Financial Condition and Results of Operations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133</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134</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hanges_in_and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184</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184</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39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other_information">
              <w:r>
                <w:rPr>
                  <w:rStyle w:val="InternetLink"/>
                  <w:rFonts w:ascii="Times New Roman" w:hAnsi="Times New Roman"/>
                  <w:color w:val="0000FF"/>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185</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isclosure_regarding_foreign_jurisdictio">
              <w:r>
                <w:rPr>
                  <w:rStyle w:val="InternetLink"/>
                  <w:rFonts w:ascii="Times New Roman" w:hAnsi="Times New Roman"/>
                  <w:color w:val="0000FF"/>
                  <w:sz w:val="20"/>
                  <w:u w:val="single"/>
                </w:rPr>
                <w:t>Disclosure Regarding Foreign Jurisdictions that Prevent Inspections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irectors_executive_officers_and_corpor">
              <w:r>
                <w:rPr>
                  <w:rStyle w:val="InternetLink"/>
                  <w:rFonts w:ascii="Times New Roman" w:hAnsi="Times New Roman"/>
                  <w:color w:val="0000FF"/>
                  <w:sz w:val="20"/>
                  <w:u w:val="single"/>
                </w:rPr>
                <w:t>Directors, Executive Officers and Corporate Governance</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186</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186</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curity_ownership_of_certain_beneficia">
              <w:r>
                <w:rPr>
                  <w:rStyle w:val="InternetLink"/>
                  <w:rFonts w:ascii="Times New Roman" w:hAnsi="Times New Roman"/>
                  <w:color w:val="0000FF"/>
                  <w:sz w:val="20"/>
                  <w:u w:val="single"/>
                </w:rPr>
                <w:t>Security Ownership of Certain Beneficial Owners and Management and Related Stockholder Matters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186</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ertain_relationships_and_related_tran">
              <w:r>
                <w:rPr>
                  <w:rStyle w:val="InternetLink"/>
                  <w:rFonts w:ascii="Times New Roman" w:hAnsi="Times New Roman"/>
                  <w:color w:val="0000FF"/>
                  <w:sz w:val="20"/>
                  <w:u w:val="single"/>
                </w:rPr>
                <w:t>Certain Relationships and Related Transactions, and Director Independence</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186</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incipal_accounting_fees_and_services">
              <w:r>
                <w:rPr>
                  <w:rStyle w:val="InternetLink"/>
                  <w:rFonts w:ascii="Times New Roman" w:hAnsi="Times New Roman"/>
                  <w:color w:val="0000FF"/>
                  <w:sz w:val="20"/>
                  <w:u w:val="single"/>
                </w:rPr>
                <w:t>Principal Accounting Fees and Services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_financial_statement_schedules">
              <w:r>
                <w:rPr>
                  <w:rStyle w:val="InternetLink"/>
                  <w:rFonts w:ascii="Times New Roman" w:hAnsi="Times New Roman"/>
                  <w:color w:val="0000FF"/>
                  <w:sz w:val="20"/>
                  <w:u w:val="single"/>
                </w:rPr>
                <w:t>Exhibits, Financial Statement Schedules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187</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m_10k_summary">
              <w:r>
                <w:rPr>
                  <w:rStyle w:val="InternetLink"/>
                  <w:rFonts w:ascii="Times New Roman" w:hAnsi="Times New Roman"/>
                  <w:color w:val="0000FF"/>
                  <w:sz w:val="20"/>
                  <w:u w:val="single"/>
                </w:rPr>
                <w:t>Form 10-K Summary</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Annual Report on Form 10-K, including the sections titled “Business” and “Management’s Discussion and Analysis of Financial Condition and Results of Operations,” contains forward-looking statements about us and our industry that involve substantial risks and uncertainties. All statements other than statements of historical facts contained in this Annual Report on Form 10-K or incorporated herein,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Within the meaning of Section 27A of the Securities Act of 1933, as amended, or the Securities Act, and Section 21E of the Securities Exchange Act of 1934, as amended, or the Exchange Act, these forward-looking statements contained in this Annual Report on Form 10-K include, but are not limited to, statements concerning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evolving treatment paradigm for cancer, including physicians’ use of molecular data and targeted oncology therapeutics and the market size for our current and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our business beyond oncology into new disease areas;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addressable market and our expectations regarding our revenue, expenses, capital requirements and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new products and services, including our goals and strategy regarding development and commercialization of our Application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and grow our datasets, including in new disease areas and geographies;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expectation that the growth of our datasets will improve the quality of our products and services and accelerate their adoption;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capture, aggregate, analyze or otherwise utilize genomic data in new ways and in additional diagnostic modalities;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expectation that we will continue to commercialize de-identified records and license them to multiple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acceptance of our publications in peer-reviewed journals or of our presentations at scientific and medical conference presentations;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products, technologies and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competitive companies and technologies and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of Intelligent Diagnostics to be disruptive across a broad set of disease areas and the clinical trial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manage and grow our business by expanding our sales to existing customers or introducing our products to new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macroeconomic conditions, including new and potential tariffs, on us and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payer reimbursement and coverage decisions, including our strategy to increase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intellectual property protection for our products or avoid claims of infringement;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effects of evolving and/or extensive government regulation;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hire and retain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internationally, including through our joint venture, SB Tempus Corp., in Japan;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acquire businesses, form joint ventures or make investments in companies or technologies, including our ability to realize the expected benefits of our acquisitions of Paige.AI, Inc., Ambry Genetics Corporation and Deep 6 AI, Inc;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protect and enforce our intellectual property rights, including our trade secret protected proprietary rights in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service or pay down existing or future debt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pending or threatened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cash needs and our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trends and challenges in our business and the markets in which we operate.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Part I, Item 1A, “Risk Factors”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statements that “we believe” and similar statements reflect our beliefs and opinions on the relevant subject. These statements are based on information available to us as of the date of this Annual Report on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2" w:name="business"/>
      <w:bookmarkEnd w:id="2"/>
      <w:r>
        <w:rPr>
          <w:rFonts w:ascii="Times New Roman" w:hAnsi="Times New Roman"/>
          <w:b/>
          <w:color w:val="000000"/>
          <w:sz w:val="20"/>
        </w:rPr>
        <w:t>Item 1. Business.</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Overview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endeavor to unlock the true power of precision medicine by creating Intelligent Diagnostics through the practical application of artificial intelligence, or AI, in healthcare. Intelligent Diagnostics use AI, including generative and agentic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and the adverse events considered—all have the potential to be refined and enhanced when test results are connected to a patient’s personal profile, enabling the right patient to be routed to the right therapy at the right time.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blood-based biomarker or a genomic mutation, and do not connect and integrate other forms of relevant clinical data, such as outcomes, or adverse events, or pathology results, which are essential for many clinical decisions.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 access to emerging therapies and clinical trials when appropriate.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Our Platform includes proprietary software and dedicated data pipelines that create a network of healthcare institutions through more than 700 unique data connections, many of which supply us with complex multimodal data in near real time, across more than 5,000 healthcare institution sites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Data and applications product line, which we believe has the ability to transform healthcare.</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We have developed multiple products—each based on our Platform—that have allowed us to invest in structuring and harmonizing multimodal data, which is a necessary precursor for deploying AI at scale. Our products are organized under two product lines, </w:t>
      </w:r>
      <w:r>
        <w:rPr>
          <w:rFonts w:ascii="Times New Roman" w:hAnsi="Times New Roman"/>
          <w:i/>
          <w:color w:val="231F20"/>
          <w:sz w:val="20"/>
        </w:rPr>
        <w:t>Diagnostics</w:t>
      </w:r>
      <w:r>
        <w:rPr>
          <w:rFonts w:ascii="Times New Roman" w:hAnsi="Times New Roman"/>
          <w:color w:val="231F20"/>
          <w:sz w:val="20"/>
        </w:rPr>
        <w:t xml:space="preserve">, which comprises our Oncology and Hereditary testing businesses, among others, and </w:t>
      </w:r>
      <w:r>
        <w:rPr>
          <w:rFonts w:ascii="Times New Roman" w:hAnsi="Times New Roman"/>
          <w:i/>
          <w:color w:val="231F20"/>
          <w:sz w:val="20"/>
        </w:rPr>
        <w:t>Data and applications</w:t>
      </w:r>
      <w:r>
        <w:rPr>
          <w:rFonts w:ascii="Times New Roman" w:hAnsi="Times New Roman"/>
          <w:color w:val="231F20"/>
          <w:sz w:val="20"/>
        </w:rPr>
        <w:t>, which includes, our Insights, Next, Trials and Algos businesses, among others</w:t>
      </w:r>
      <w:r>
        <w:rPr>
          <w:rFonts w:ascii="Times New Roman" w:hAnsi="Times New Roman"/>
          <w:i/>
          <w:color w:val="231F20"/>
          <w:sz w:val="20"/>
        </w:rPr>
        <w:t xml:space="preserve">. </w:t>
      </w:r>
      <w:r>
        <w:rPr>
          <w:rFonts w:ascii="Times New Roman" w:hAnsi="Times New Roman"/>
          <w:color w:val="231F20"/>
          <w:sz w:val="20"/>
        </w:rPr>
        <w:t>Each product line is designed to enable and enhance the other,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pStyle w:val="TextBody"/>
        <w:bidi w:val="0"/>
        <w:jc w:val="both"/>
        <w:rPr/>
      </w:pPr>
      <w:r>
        <w:rPr/>
        <w:t> </w:t>
      </w:r>
    </w:p>
    <w:p>
      <w:pPr>
        <w:pStyle w:val="TextBody"/>
        <w:bidi w:val="0"/>
        <w:spacing w:before="39" w:after="283"/>
        <w:jc w:val="center"/>
        <w:rPr/>
      </w:pPr>
      <w:r>
        <w:rPr/>
        <w:drawing>
          <wp:inline distT="0" distB="0" distL="0" distR="0">
            <wp:extent cx="5162550" cy="2114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62550" cy="2114550"/>
                    </a:xfrm>
                    <a:prstGeom prst="rect">
                      <a:avLst/>
                    </a:prstGeom>
                  </pic:spPr>
                </pic:pic>
              </a:graphicData>
            </a:graphic>
          </wp:inline>
        </w:drawing>
      </w:r>
    </w:p>
    <w:p>
      <w:pPr>
        <w:pStyle w:val="TextBody"/>
        <w:bidi w:val="0"/>
        <w:spacing w:before="18" w:after="283"/>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Our </w:t>
      </w:r>
      <w:r>
        <w:rPr>
          <w:rFonts w:ascii="Times New Roman" w:hAnsi="Times New Roman"/>
          <w:i/>
          <w:color w:val="231F20"/>
          <w:sz w:val="20"/>
        </w:rPr>
        <w:t xml:space="preserve">Diagnostics </w:t>
      </w:r>
      <w:r>
        <w:rPr>
          <w:rFonts w:ascii="Times New Roman" w:hAnsi="Times New Roman"/>
          <w:color w:val="231F20"/>
          <w:sz w:val="20"/>
        </w:rPr>
        <w:t xml:space="preserve">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Our </w:t>
      </w:r>
      <w:r>
        <w:rPr>
          <w:rFonts w:ascii="Times New Roman" w:hAnsi="Times New Roman"/>
          <w:i/>
          <w:color w:val="231F20"/>
          <w:sz w:val="20"/>
        </w:rPr>
        <w:t xml:space="preserve">Data and applications </w:t>
      </w:r>
      <w:r>
        <w:rPr>
          <w:rFonts w:ascii="Times New Roman" w:hAnsi="Times New Roman"/>
          <w:color w:val="231F20"/>
          <w:sz w:val="20"/>
        </w:rPr>
        <w:t xml:space="preserve">product line facilitates drug discovery and development for life sciences companies through multiple products, including, among other things, Insights, Trials, Next and Algos. Through our Insights product, we license de-identified libraries of linked clinical, molecular, and imaging data and provide a suite of analytic and cloud-and-compute tools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pharmaceutical and biotechnology companies. Our Trials product leverages the broad network of physicians we work with in oncology to provide clinical trial support for pharmaceutical companies that are looking to reach hard-to-find and underserved patient populations.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Next is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Our Algos product is focused on developing and providing diagnostics that are algorithmic in nature. We currently offer a suite of Algos in oncology, including our TO, HRD, DPYD and Tempus Purist Algos, as defined and described below, among others.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Industry Background</w:t>
      </w:r>
    </w:p>
    <w:p>
      <w:pPr>
        <w:pStyle w:val="TextBody"/>
        <w:bidi w:val="0"/>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The Limitations of Employing Technology, Data, and AI in Healthcare and Precision Medicine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this is changing. Recent technological advancements have facilitated the deployment of modern computational methods, such as AI and machine learning, to improve healthcare. Breakthroughs in cloud computing, imaging technologies, large language models,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Our access to broad and diverse data serves as the basis for our ability to train generative AI models, and we believe our relationships with healthcare institutions provide us with proprietary data to deliver on the promise of AI in healthcare.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Importance of Multimodal Healthcare Data</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and cardiology. Our Platform is purpose built to deploy AI at scale, using multimodal datasets, across disease areas. We believe these differentiators have the potential to transform healthcare.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A New Industry: Intelligent Diagnostics to Advance Precision Medicine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While AI has the potential to broadly impact healthcare, we believe it will transform diagnostics first. Diagnostics, broadly defined, is the process of determining by examination or assessment the nature and 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ability to leverage generative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generative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 (ii) 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 (v) include the outcome and response data of patients who are similarly situated to the patient for whom the test was ordered; and (vi) use generative AI to derive analytical and clinically relevant insights and provide those to the physician and patient. See below for an illustration comparing an Intelligent Diagnostic to a standard genomic test:</w:t>
      </w:r>
    </w:p>
    <w:p>
      <w:pPr>
        <w:pStyle w:val="TextBody"/>
        <w:bidi w:val="0"/>
        <w:jc w:val="left"/>
        <w:rPr/>
      </w:pPr>
      <w:r>
        <w:rPr/>
        <w:t> </w:t>
      </w:r>
    </w:p>
    <w:p>
      <w:pPr>
        <w:pStyle w:val="TextBody"/>
        <w:bidi w:val="0"/>
        <w:jc w:val="center"/>
        <w:rPr/>
      </w:pPr>
      <w:r>
        <w:rPr/>
        <w:drawing>
          <wp:inline distT="0" distB="0" distL="0" distR="0">
            <wp:extent cx="5257800" cy="3295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57800" cy="3295650"/>
                    </a:xfrm>
                    <a:prstGeom prst="rect">
                      <a:avLst/>
                    </a:prstGeom>
                  </pic:spPr>
                </pic:pic>
              </a:graphicData>
            </a:graphic>
          </wp:inline>
        </w:drawing>
      </w:r>
    </w:p>
    <w:p>
      <w:pPr>
        <w:pStyle w:val="TextBody"/>
        <w:bidi w:val="0"/>
        <w:spacing w:before="11" w:after="283"/>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 investigational studies, care pathways, real world evidentiary studies, and phenotypic and morphologic data. We already have the ability to incorporate many of these data elements today.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whether the patient is male or female, old or young, or has diabetes or a heart condition. Nor does the standard test consider the medication the patient has taken or is currently taking, or the adverse events the patient has experienced.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Intelligent Diagnostics, AI, and technology broadly can help solve these problems. We believe our ability to contextualize test results to individual patients, to incorporate real world evidence at scale, to identify patterns across similarly situated patients, will help physicians make better, data-driven decisions— which drug to prescribe, which trial to consider, and so on.</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The Tempus Platform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 diagnostic testing upon request, generate results leveraging our multimodal database, and provide clinical context for a specific patient. Below is a graphic illustrating our Platform’s core functionality.</w:t>
      </w:r>
    </w:p>
    <w:p>
      <w:pPr>
        <w:pStyle w:val="TextBody"/>
        <w:bidi w:val="0"/>
        <w:jc w:val="left"/>
        <w:rPr/>
      </w:pPr>
      <w:r>
        <w:rPr/>
        <w:t> </w:t>
      </w:r>
    </w:p>
    <w:p>
      <w:pPr>
        <w:pStyle w:val="TextBody"/>
        <w:bidi w:val="0"/>
        <w:jc w:val="center"/>
        <w:rPr/>
      </w:pPr>
      <w:r>
        <w:rPr/>
        <w:drawing>
          <wp:inline distT="0" distB="0" distL="0" distR="0">
            <wp:extent cx="5657850" cy="3571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57850" cy="3571875"/>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4" w:after="283"/>
        <w:jc w:val="left"/>
        <w:rPr>
          <w:rFonts w:ascii="Times New Roman" w:hAnsi="Times New Roman"/>
          <w:sz w:val="20"/>
        </w:rPr>
      </w:pPr>
      <w:r>
        <w:rPr>
          <w:rFonts w:ascii="Times New Roman" w:hAnsi="Times New Roman"/>
          <w:color w:val="231F20"/>
          <w:sz w:val="20"/>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same is true in neuropsychiatry.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neuropsychiatry,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Below is a timeline of our Platform’s evolution, both within oncology and into different disease categories:</w:t>
      </w:r>
    </w:p>
    <w:p>
      <w:pPr>
        <w:pStyle w:val="TextBody"/>
        <w:bidi w:val="0"/>
        <w:jc w:val="both"/>
        <w:rPr/>
      </w:pPr>
      <w:r>
        <w:rPr/>
        <w:t> </w:t>
      </w:r>
    </w:p>
    <w:p>
      <w:pPr>
        <w:pStyle w:val="TextBody"/>
        <w:bidi w:val="0"/>
        <w:jc w:val="center"/>
        <w:rPr/>
      </w:pPr>
      <w:r>
        <w:rPr/>
        <w:drawing>
          <wp:inline distT="0" distB="0" distL="0" distR="0">
            <wp:extent cx="6629400" cy="3143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29400" cy="31432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Core Elements of our Platform</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 closed-loop, full- stack, bi-directional integrations between a clinician’s desktop and our laboratory diagnostic capabilities, analytics platform, and repository of multimodal data. Our scaled, interconnected provider network covers more than 55%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 these elements is difficult for competitors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replicate, and together represent a significant competitive advantage. The following diagram represents the different elements of our Platform.</w:t>
      </w:r>
    </w:p>
    <w:p>
      <w:pPr>
        <w:pStyle w:val="TextBody"/>
        <w:bidi w:val="0"/>
        <w:jc w:val="left"/>
        <w:rPr/>
      </w:pPr>
      <w:r>
        <w:rPr/>
        <w:t> </w:t>
      </w:r>
    </w:p>
    <w:p>
      <w:pPr>
        <w:pStyle w:val="TextBody"/>
        <w:bidi w:val="0"/>
        <w:jc w:val="center"/>
        <w:rPr/>
      </w:pPr>
      <w:r>
        <w:rPr/>
        <w:drawing>
          <wp:inline distT="0" distB="0" distL="0" distR="0">
            <wp:extent cx="5943600" cy="3343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343275"/>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Ingestion and Generation of Data</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ingest healthcare data in near real time and at scale, including molecular, clinical, and imaging data. Between our sequencing and data collection efforts, we are connected in some way to more than 55% of all oncologists practicing in the United States, along with a growing number of patients in neuropsychiatry and cardiology. Our methods for collecting and creating data include the following:</w:t>
      </w:r>
    </w:p>
    <w:p>
      <w:pPr>
        <w:pStyle w:val="TextBody"/>
        <w:bidi w:val="0"/>
        <w:spacing w:before="240" w:after="283"/>
        <w:jc w:val="left"/>
        <w:rPr>
          <w:rFonts w:ascii="Times New Roman" w:hAnsi="Times New Roman"/>
          <w:sz w:val="20"/>
        </w:rPr>
      </w:pPr>
      <w:r>
        <w:rPr>
          <w:rFonts w:ascii="Times New Roman" w:hAnsi="Times New Roman"/>
          <w:i/>
          <w:color w:val="231F20"/>
          <w:sz w:val="20"/>
        </w:rPr>
        <w:t xml:space="preserve">Ingesting data through our relationships and partnerships with healthcare providers. </w:t>
      </w:r>
      <w:r>
        <w:rPr>
          <w:rFonts w:ascii="Times New Roman" w:hAnsi="Times New Roman"/>
          <w:color w:val="231F20"/>
          <w:sz w:val="20"/>
        </w:rPr>
        <w:t>We have developed proprietary tools to establish approximately 700 direct data connections, across approximately 5,000 hospitals, many of which are bi-directional. We have established relationships with hundreds of provider networks, including more than 65%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third-party data provider to pull out relevant structured and unstructured data that the provider has agreed to provide to Tempus, including longitudinal follow-up data to the extent the provider has made such data available. To facilitate these data- 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pStyle w:val="TextBody"/>
        <w:bidi w:val="0"/>
        <w:spacing w:before="240" w:after="283"/>
        <w:jc w:val="left"/>
        <w:rPr>
          <w:rFonts w:ascii="Times New Roman" w:hAnsi="Times New Roman"/>
          <w:sz w:val="20"/>
        </w:rPr>
      </w:pPr>
      <w:r>
        <w:rPr>
          <w:rFonts w:ascii="Times New Roman" w:hAnsi="Times New Roman"/>
          <w:i/>
          <w:color w:val="231F20"/>
          <w:sz w:val="20"/>
        </w:rPr>
        <w:t xml:space="preserve">Relationships with industry associations. </w:t>
      </w:r>
      <w:r>
        <w:rPr>
          <w:rFonts w:ascii="Times New Roman" w:hAnsi="Times New Roman"/>
          <w:color w:val="231F20"/>
          <w:sz w:val="20"/>
        </w:rPr>
        <w:t>In addition to healthcare providers, we work with numerous industry associations in the United States, through which we structure and distribute oncology data. We also have agreements in place with large integrated community practices. While our relationships in oncology are widespread, we are making inroads in other disease areas. For example, we have a relationship with a large hospital network to train algorithmic models based on a de-identified subset of more than 3.5 million electrocardiograms, or ECGs, across more than 800,000 patients, with decades of longitudinal clinical data, including outcome and response data. We also have agreements with numerous other institutions through both our sequencing and data efforts to collect and structure multimodal data, and have entered into a variety of partnerships and collaborations across neuropsychiatry, diabetes, and cardiology giving us access to additional clinical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231F20"/>
          <w:sz w:val="20"/>
        </w:rPr>
        <w:t xml:space="preserve">Laboratory diagnostics. </w:t>
      </w:r>
      <w:r>
        <w:rPr>
          <w:rFonts w:ascii="Times New Roman" w:hAnsi="Times New Roman"/>
          <w:color w:val="231F20"/>
          <w:sz w:val="20"/>
        </w:rPr>
        <w:t>In addition to our dedicated data pipelines, we generate data for our Platform from our five high-throughput diagnostic testing labs in Chicago, Atlanta, Raleigh, Aliso Viejo and Minneapolis. Our labs offer a range of anatomical and molecular NGS tests, including a broad portfolio of solid tumor, liquid biopsy, and hereditary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 In February 2025, we acquired Ambry Genetics Corporation, or Ambry, a leader in hereditary cancer screening and the supplier of our germline sequencing (Tempus|xG) for hereditary cancer risk. Ambry’s offerings span multiple disease areas, enabling us to expand beyond oncology into new categories, such as pediatrics, rare disease, cardiology, reproductive health and immunology. Additionally, Ambry’s significant laboratory capabilities on the west coast will continue to help increase our overall footprint in the country.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ingest and generate a variety of different types of data from different sources. The following represents selected data modalities that we collect and aggregate into our database.</w:t>
      </w:r>
    </w:p>
    <w:p>
      <w:pPr>
        <w:pStyle w:val="TextBody"/>
        <w:bidi w:val="0"/>
        <w:jc w:val="left"/>
        <w:rPr/>
      </w:pPr>
      <w:r>
        <w:rPr/>
        <w:t> </w:t>
      </w:r>
    </w:p>
    <w:p>
      <w:pPr>
        <w:pStyle w:val="TextBody"/>
        <w:bidi w:val="0"/>
        <w:jc w:val="center"/>
        <w:rPr/>
      </w:pPr>
      <w:r>
        <w:rPr/>
        <w:drawing>
          <wp:inline distT="0" distB="0" distL="0" distR="0">
            <wp:extent cx="5762625" cy="3629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62625" cy="36290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Proprietary Data Processing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Once data is ingested, we deploy proprietary clinical data abstraction tools, including natural language processing, optical character recognition, and our abstraction software, to structure, harmonize, and de-identify the data we collect. We have developed various software tools, including algorithmic agents that leverage large language models,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 data with the molecular data that we generate in our labs or process from third parties, giving us a more comprehensive profile of patients. Unstructured data housed in physician notes and other documents is processed using OCR and NLP, mapped to Tempus’ Medical Ontology, and routed to 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providing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Proprietary Multimodal Database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near-real 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approximately 1.4 billion documents, across more than 8.6 million de-identified patient records, including over 1.6 billion pages of rich clinical text that we use to train our large language models. The database also includes over 8 million records with imaging data, more than 1,500,000 with matched clinical records linked with genomic information, and more than 360,000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enables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 We also retain the rights to broadly commercialize de-identified data. As the amount of data in our cloud environment continues to grow from its current size of more than 450 petabytes, we believe new applications and opportunities will emerge that are only possible with scale, driving innovations in patient treatment that were previously unattainable. The following diagram represents the growth of our database over time.</w:t>
      </w:r>
    </w:p>
    <w:p>
      <w:pPr>
        <w:pStyle w:val="TextBody"/>
        <w:bidi w:val="0"/>
        <w:jc w:val="left"/>
        <w:rPr/>
      </w:pPr>
      <w:r>
        <w:rPr/>
        <w:t> </w:t>
      </w:r>
    </w:p>
    <w:p>
      <w:pPr>
        <w:pStyle w:val="TextBody"/>
        <w:bidi w:val="0"/>
        <w:jc w:val="center"/>
        <w:rPr/>
      </w:pPr>
      <w:r>
        <w:rPr/>
        <w:drawing>
          <wp:inline distT="0" distB="0" distL="0" distR="0">
            <wp:extent cx="6086475" cy="3086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086475" cy="3086100"/>
                    </a:xfrm>
                    <a:prstGeom prst="rect">
                      <a:avLst/>
                    </a:prstGeom>
                  </pic:spPr>
                </pic:pic>
              </a:graphicData>
            </a:graphic>
          </wp:inline>
        </w:drawing>
      </w:r>
    </w:p>
    <w:p>
      <w:pPr>
        <w:pStyle w:val="TextBody"/>
        <w:bidi w:val="0"/>
        <w:spacing w:before="34"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4" w:after="283"/>
        <w:jc w:val="left"/>
        <w:rPr>
          <w:rFonts w:ascii="Times New Roman" w:hAnsi="Times New Roman"/>
          <w:color w:val="231F20"/>
          <w:sz w:val="20"/>
        </w:rPr>
      </w:pPr>
      <w:r>
        <w:rPr>
          <w:rFonts w:ascii="Times New Roman" w:hAnsi="Times New Roman"/>
          <w:color w:val="231F20"/>
          <w:sz w:val="20"/>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December 31, 2025, our database included the following types of data, among others:</w:t>
      </w:r>
    </w:p>
    <w:p>
      <w:pPr>
        <w:pStyle w:val="TextBody"/>
        <w:bidi w:val="0"/>
        <w:spacing w:before="34" w:after="283"/>
        <w:jc w:val="left"/>
        <w:rPr/>
      </w:pPr>
      <w:r>
        <w:rPr/>
        <w:t> </w:t>
      </w:r>
    </w:p>
    <w:p>
      <w:pPr>
        <w:pStyle w:val="TextBody"/>
        <w:bidi w:val="0"/>
        <w:jc w:val="center"/>
        <w:rPr/>
      </w:pPr>
      <w:r>
        <w:rPr/>
        <w:drawing>
          <wp:inline distT="0" distB="0" distL="0" distR="0">
            <wp:extent cx="5591175" cy="3238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91175" cy="323850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Proprietary Software Tools and Solutions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large language models,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Applications, in the clinical setting.</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are both a healthcare company and a technology company, which we believe allows us to more quickly and effectively develop and deploy AI techniques within our proprietary software systems. To do so, we rely on employees with expertise spanning multiple disciplines, including those with PhDs and other advanced degrees in the scientific fields of machine learning, data science and computational biology, as well as Medical Doctors practicing disciplines such as pathology and oncology. In addition to our diverse employee base, we are able to train AI models using our proprietary and expansive multimodal, de-identified dataset. We leverage our varied expertise and extensive resources to continuously monitor and review the statistical performance of the models used across our Platform to ensure performance and prevent degradation.</w:t>
      </w:r>
    </w:p>
    <w:p>
      <w:pPr>
        <w:pStyle w:val="TextBody"/>
        <w:bidi w:val="0"/>
        <w:spacing w:before="40" w:after="283"/>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We describe below some of the core software applications that form part of our Platform, including examples where we have developed and deployed AI techniques.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External Facing Applications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two primary software applications that serve as interfaces for different markets and allow our customers to interact with our Platform. Hub is our clinical application for physicians and other healthcare providers and is used primarily in our Diagnostics product line as an end-to-end application for healthcare providers who use our NGS tests. Lens is our application for life sciences customers and other healthcare researchers, launched in May 2021. Lens is aligned with Insights, one of our products within Data and applications, and allows users to identify, license, and ultimately analyze cohorts of data for research purposes. We typically enable our customers to access free or charge certain software applications (like Hub) and certain features of other applications (like Lens). However, in some cases we may charge for access to Lens when a customer is interested in some form of customization or access to Lens’ full suite of capabilities.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Hub</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immune infiltrates and neoantigens. Finally, Time on Therapy provides physicians a view into the Tempus Precision Medicine Library, which includes the treatment paths of patients within our de-identified database who display similar molecular or phenotypic profiles to their own patients. These tools enable new patients to potentially benefit from the experience of those that came before.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One example of an AI model whose results are available within Hub, and which illustrates a typical development and validation process for our AI models, is our tumor origin, or TO, algorithm. Our TO algorithm predicts the site of origin for cancer patients whose primary tumor site is unknown using machine learning models trained on tumor RNA expression results from our de-identified multimodal database. We began developing our TO algorithm in 2019, and it was first deployed in a clinical setting in 2021. We developed and trained the TO algorithm, like other machine learning models, by adopting current best practices for AI model development. For example, in developing the TO algorithm, we explored distinct model architectures (logistic regression, random forests and neural networks) and feature selection methods, and we utilized multiple cross validation techniques using both our own and independent third-party datasets. After its launch, we continue to monitor the performance of the TO algorithm by using advanced statistical methods to detect potential model drift or degradation over time. Each TO prediction is reviewed by our board certified pathologists for consistency with underlying data, and the distribution of expected cases is reviewed and assessed against the expected distribution of diagnoses.</w:t>
      </w:r>
    </w:p>
    <w:p>
      <w:pPr>
        <w:pStyle w:val="TextBody"/>
        <w:bidi w:val="0"/>
        <w:jc w:val="left"/>
        <w:rPr/>
      </w:pPr>
      <w:r>
        <w:rPr/>
        <w:t> </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Lens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Lens is our software application for life sciences and advanced precision research. We designed Lens to expose our multimodal, de-identified dataset to two main constituencies: (i) clinicians interested in exploring data related both to their own patients and to similarly situated patients from the broader Tempus dataset, and (ii) pharmaceutical and biotechnology clients that are focused on drug discovery and development and want to explore our dataset and/or supplement their own analytics with our tools and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For clinicians, Lens helps users filter our multimodal database to identify groups of patients that meet their research requirements. It allows browsing, segmenting, selecting, and analyzing cohorts of patients using a 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Our Two Product Lines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products are organized under two product lines, with each designed to enable and enhance the other, thereby creating network effects in the markets in which we operate. Our Diagnostics product line provides a broad range of diagnostic testing services to healthcare providers. Our Data and applications product line monetizes the de-identified data that we collect, leverages artificial intelligence to identify and close care gaps, and facilitates enrollment in clinical trials, which at scale has allowed us to provide a series of data related services to our life sciences customers, such as clinical trial matching. Our Data and applications product line also includes our Next product, an AI platform which leverages our database to provide products and services that help route patients to the optimal therapy and advance research and patient care more broadly, and our Algos product, which is focused on developing and providing diagnostics that are algorithmic in nature.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two product lines and their corresponding product offerings are illustrated in the diagram below:</w:t>
      </w:r>
    </w:p>
    <w:p>
      <w:pPr>
        <w:pStyle w:val="TextBody"/>
        <w:bidi w:val="0"/>
        <w:jc w:val="left"/>
        <w:rPr/>
      </w:pPr>
      <w:r>
        <w:rPr/>
        <w:t> </w:t>
      </w:r>
    </w:p>
    <w:p>
      <w:pPr>
        <w:pStyle w:val="TextBody"/>
        <w:bidi w:val="0"/>
        <w:jc w:val="center"/>
        <w:rPr/>
      </w:pPr>
      <w:r>
        <w:rPr/>
        <w:drawing>
          <wp:inline distT="0" distB="0" distL="0" distR="0">
            <wp:extent cx="5534025" cy="3105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534025" cy="3105150"/>
                    </a:xfrm>
                    <a:prstGeom prst="rect">
                      <a:avLst/>
                    </a:prstGeom>
                  </pic:spPr>
                </pic:pic>
              </a:graphicData>
            </a:graphic>
          </wp:inline>
        </w:drawing>
      </w:r>
    </w:p>
    <w:p>
      <w:pPr>
        <w:pStyle w:val="TextBody"/>
        <w:bidi w:val="0"/>
        <w:jc w:val="both"/>
        <w:rPr/>
      </w:pPr>
      <w:r>
        <w:rPr/>
        <w:t> </w:t>
      </w:r>
    </w:p>
    <w:p>
      <w:pPr>
        <w:pStyle w:val="TextBody"/>
        <w:bidi w:val="0"/>
        <w:jc w:val="left"/>
        <w:rPr>
          <w:rFonts w:ascii="Times New Roman" w:hAnsi="Times New Roman"/>
          <w:color w:val="231F20"/>
          <w:sz w:val="20"/>
        </w:rPr>
      </w:pPr>
      <w:r>
        <w:rPr>
          <w:rFonts w:ascii="Times New Roman" w:hAnsi="Times New Roman"/>
          <w:color w:val="231F20"/>
          <w:sz w:val="20"/>
        </w:rPr>
        <w:t>We believe the interrelated nature of our two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Diagnostics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Diagnostics product line provides a comprehensive suite of Intelligent Diagnostics to healthcare providers, and generates a steady stream of molecular data to help fuel growth in our Data and applications product line. As we run more tests through our laboratories, and as those tests are linked to patient records and clinical outcomes, we grow our data assets and leverage them across all product lines. While we offer diagnostic tests in multiple disease areas, our primary focus is cancer, in which we offer a suite of tests for treatment purposes, which we refer to as our Oncology tests, and a suite of tests focused on hereditary tests acquired through Ambry, which we refer to as our Hereditary tests.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operate five laboratories that provide NGS diagnostics, PCR profiling, and other anatomic and molecular pathology tests. We have broad capabilities across genomic, transcriptomic, proteomic, microbiomic, epigenetic, and methylation-based assays, and our laboratory infrastructure allows us to operate as a high-quality, low-cost NGS provider broadly serving the market. However, unlike other laboratory diagnostic testing providers, many of our tests are connected to clinical data, in some manner, which allows our suite of tests to be self-learning, becoming more accurate and precise with each new test that we run. Furthermore, rather than providing a result based on a single data modality, such as a DNA mutation, our Platform leverages data from other modalities and other patients in an effort to be more comprehensive.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are generally paid for our Diagnostics services by billing insurance companies, or patients directly, who reimburse us for the tests we run, or by billing providers or pharmaceutical companies directly. The following diagram represents a summary of our test offerings as of December 31, 2025:</w:t>
      </w:r>
    </w:p>
    <w:p>
      <w:pPr>
        <w:pStyle w:val="TextBody"/>
        <w:bidi w:val="0"/>
        <w:jc w:val="left"/>
        <w:rPr/>
      </w:pPr>
      <w:r>
        <w:rPr/>
        <w:t> </w:t>
      </w:r>
    </w:p>
    <w:p>
      <w:pPr>
        <w:pStyle w:val="TextBody"/>
        <w:bidi w:val="0"/>
        <w:jc w:val="center"/>
        <w:rPr/>
      </w:pPr>
      <w:r>
        <w:rPr/>
        <w:drawing>
          <wp:inline distT="0" distB="0" distL="0" distR="0">
            <wp:extent cx="5762625" cy="4038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62625" cy="4038600"/>
                    </a:xfrm>
                    <a:prstGeom prst="rect">
                      <a:avLst/>
                    </a:prstGeom>
                  </pic:spPr>
                </pic:pic>
              </a:graphicData>
            </a:graphic>
          </wp:inline>
        </w:drawing>
      </w:r>
    </w:p>
    <w:p>
      <w:pPr>
        <w:pStyle w:val="TextBody"/>
        <w:bidi w:val="0"/>
        <w:jc w:val="left"/>
        <w:rPr/>
      </w:pPr>
      <w:r>
        <w:rPr/>
        <w:t> </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Our Oncology Tests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Platform’s first application was in oncology, where we have built a versatile portfolio of cancer tests spanning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and xR) offering large panel DNA, RNA full transcriptome, and incidental germline findings through normal blood or saliva analyses. Our current offerings also include liquid biopsy (xF), minimal residual disease and treatment response monitoring (xM), whole exome (xE), and hereditary cancer risk (xG). With our acquisition of Ambry in February 2025, we have further expanded and enhanced our inherited risk screening capabilities for cancer and rare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disease patients. Our acquisition of OneOme, Inc., or OneOme, in November 2025 further enhanced our ability to provide pharmacogenetics tests, such as DPYD.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lists our current oncology test offerings: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2"/>
        <w:gridCol w:w="1125"/>
        <w:gridCol w:w="8058"/>
      </w:tblGrid>
      <w:tr>
        <w:trPr/>
        <w:tc>
          <w:tcPr>
            <w:tcW w:w="1022" w:type="dxa"/>
            <w:tcBorders/>
            <w:shd w:fill="FFFFFF" w:val="clear"/>
            <w:vAlign w:val="center"/>
          </w:tcPr>
          <w:p>
            <w:pPr>
              <w:pStyle w:val="TableContents"/>
              <w:bidi w:val="0"/>
              <w:spacing w:before="0" w:after="283"/>
              <w:jc w:val="left"/>
              <w:rPr>
                <w:sz w:val="4"/>
                <w:szCs w:val="4"/>
              </w:rPr>
            </w:pPr>
            <w:r>
              <w:rPr>
                <w:sz w:val="4"/>
                <w:szCs w:val="4"/>
              </w:rPr>
            </w:r>
          </w:p>
        </w:tc>
        <w:tc>
          <w:tcPr>
            <w:tcW w:w="1125" w:type="dxa"/>
            <w:tcBorders/>
            <w:shd w:fill="FFFFFF" w:val="clear"/>
            <w:vAlign w:val="center"/>
          </w:tcPr>
          <w:p>
            <w:pPr>
              <w:pStyle w:val="TableContents"/>
              <w:bidi w:val="0"/>
              <w:spacing w:before="0" w:after="283"/>
              <w:jc w:val="left"/>
              <w:rPr>
                <w:sz w:val="4"/>
                <w:szCs w:val="4"/>
              </w:rPr>
            </w:pPr>
            <w:r>
              <w:rPr>
                <w:sz w:val="4"/>
                <w:szCs w:val="4"/>
              </w:rPr>
            </w:r>
          </w:p>
        </w:tc>
        <w:tc>
          <w:tcPr>
            <w:tcW w:w="8058" w:type="dxa"/>
            <w:tcBorders/>
            <w:shd w:fill="FFFFFF" w:val="clear"/>
            <w:vAlign w:val="center"/>
          </w:tcPr>
          <w:p>
            <w:pPr>
              <w:pStyle w:val="TableContents"/>
              <w:bidi w:val="0"/>
              <w:spacing w:before="0" w:after="283"/>
              <w:jc w:val="left"/>
              <w:rPr>
                <w:sz w:val="4"/>
                <w:szCs w:val="4"/>
              </w:rPr>
            </w:pPr>
            <w:r>
              <w:rPr>
                <w:sz w:val="4"/>
                <w:szCs w:val="4"/>
              </w:rPr>
            </w:r>
          </w:p>
        </w:tc>
      </w:tr>
      <w:tr>
        <w:trPr/>
        <w:tc>
          <w:tcPr>
            <w:tcW w:w="10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231F20"/>
                <w:sz w:val="16"/>
              </w:rPr>
              <w:t>Lab Tests</w:t>
            </w:r>
            <w:r>
              <w:rPr>
                <w:rFonts w:ascii="Times New Roman" w:hAnsi="Times New Roman"/>
                <w:color w:val="231F20"/>
                <w:sz w:val="16"/>
              </w:rPr>
              <w:t xml:space="preserve"> </w:t>
            </w:r>
          </w:p>
        </w:tc>
        <w:tc>
          <w:tcPr>
            <w:tcW w:w="11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231F20"/>
                <w:sz w:val="16"/>
              </w:rPr>
            </w:pPr>
            <w:r>
              <w:rPr>
                <w:rFonts w:ascii="Times New Roman" w:hAnsi="Times New Roman"/>
                <w:b/>
                <w:color w:val="231F20"/>
                <w:sz w:val="16"/>
              </w:rPr>
              <w:t>Launch Year</w:t>
            </w:r>
          </w:p>
        </w:tc>
        <w:tc>
          <w:tcPr>
            <w:tcW w:w="8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231F20"/>
                <w:sz w:val="16"/>
              </w:rPr>
            </w:pPr>
            <w:r>
              <w:rPr>
                <w:rFonts w:ascii="Times New Roman" w:hAnsi="Times New Roman"/>
                <w:b/>
                <w:color w:val="231F20"/>
                <w:sz w:val="16"/>
              </w:rPr>
              <w:t>Description</w:t>
            </w:r>
          </w:p>
        </w:tc>
      </w:tr>
      <w:tr>
        <w:trPr/>
        <w:tc>
          <w:tcPr>
            <w:tcW w:w="10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Oncology tests</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80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Tempus|xT</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rFonts w:ascii="Times New Roman" w:hAnsi="Times New Roman"/>
                <w:color w:val="231F20"/>
                <w:sz w:val="20"/>
              </w:rPr>
            </w:pPr>
            <w:r>
              <w:rPr>
                <w:rFonts w:ascii="Times New Roman" w:hAnsi="Times New Roman"/>
                <w:color w:val="231F20"/>
                <w:sz w:val="20"/>
              </w:rPr>
              <w:t>2017</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Designed to detect actionable oncologic targets by sequencing tumor tissue samples</w:t>
            </w:r>
          </w:p>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Typically associated with incidental germline testing for</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979"/>
              <w:jc w:val="center"/>
              <w:rPr/>
            </w:pPr>
            <w:r>
              <w:rPr/>
              <w:t> </w:t>
            </w:r>
          </w:p>
        </w:tc>
        <w:tc>
          <w:tcPr>
            <w:tcW w:w="8058" w:type="dxa"/>
            <w:tcBorders/>
            <w:tcMar>
              <w:top w:w="0" w:type="dxa"/>
              <w:left w:w="0" w:type="dxa"/>
              <w:bottom w:w="0" w:type="dxa"/>
              <w:right w:w="0" w:type="dxa"/>
            </w:tcMar>
            <w:vAlign w:val="center"/>
          </w:tcPr>
          <w:p>
            <w:pPr>
              <w:pStyle w:val="TableContents"/>
              <w:bidi w:val="0"/>
              <w:spacing w:before="70" w:after="283"/>
              <w:ind w:left="0" w:right="0" w:firstLine="979"/>
              <w:jc w:val="left"/>
              <w:rPr>
                <w:rFonts w:ascii="Times New Roman" w:hAnsi="Times New Roman"/>
                <w:color w:val="231F20"/>
                <w:sz w:val="20"/>
              </w:rPr>
            </w:pPr>
            <w:r>
              <w:rPr>
                <w:rFonts w:ascii="Times New Roman" w:hAnsi="Times New Roman"/>
                <w:color w:val="231F20"/>
                <w:sz w:val="20"/>
              </w:rPr>
              <w:t>matched normal saliva or blood samples, when available</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Fourth generation test that covers 648 genes at 500x coverage spanning approximately 3.6 Mb of genomic space</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Includes full TCR, BCR, and HLA typing for immuno- oncology, or IO, signatures</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Detects TMB, MSI, and fusions</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The test has an approximately 10-day quoted turnaround time</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In our analytical validation, we demonstrated sensitivities &gt;98% for SNVs, &gt;92% for rearrangements / fusions, &gt;92% for CNVs and indels, and 99.9% for MSI.</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Premarket approval (PMA) obtained from the FDA in April 2023</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Awarded Advanced Diagnostic Laboratory Test (ADLT) status</w:t>
            </w:r>
          </w:p>
        </w:tc>
      </w:tr>
      <w:tr>
        <w:trPr/>
        <w:tc>
          <w:tcPr>
            <w:tcW w:w="10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Tempus|xE</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rFonts w:ascii="Times New Roman" w:hAnsi="Times New Roman"/>
                <w:color w:val="231F20"/>
                <w:sz w:val="20"/>
              </w:rPr>
            </w:pPr>
            <w:r>
              <w:rPr>
                <w:rFonts w:ascii="Times New Roman" w:hAnsi="Times New Roman"/>
                <w:color w:val="231F20"/>
                <w:sz w:val="20"/>
              </w:rPr>
              <w:t>2018</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A whole exome cancer assay designed to identify actionable oncologic variants as well as neoantigens across the exome from tissue samples, thus enabling IO applications</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Run at ~150-250x media coverage for approximately 650 of the most significant onco-driving mutations and ~150-200x median coverage for more than 19,000 genes on the panel</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Detects TMB, MSI, and fusions</w:t>
            </w:r>
          </w:p>
        </w:tc>
      </w:tr>
      <w:tr>
        <w:trPr/>
        <w:tc>
          <w:tcPr>
            <w:tcW w:w="10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Tempus|xF</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rFonts w:ascii="Times New Roman" w:hAnsi="Times New Roman"/>
                <w:color w:val="231F20"/>
                <w:sz w:val="20"/>
              </w:rPr>
            </w:pPr>
            <w:r>
              <w:rPr>
                <w:rFonts w:ascii="Times New Roman" w:hAnsi="Times New Roman"/>
                <w:color w:val="231F20"/>
                <w:sz w:val="20"/>
              </w:rPr>
              <w:t>2018</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Next-generation liquid biopsy assay covering 105 genes at approximately 20,000x coverage from peripheral blood samples for solid tumors</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Typically used for oncogenic and resistance mutations that can be detected in cell free DNA, or cfDNA, from a peripheral blood draw</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In our analytical validation, for 0.5% VAF and 30ng of DNA, we demonstrated &gt;99.9% sensitivity for SNVs, 98.8% for indels, &gt;99.9% for CNVs, and 97.4% for rearrangements and fusions. xF also demonstrated 100% sensitivity concordance with Roche AVENIO ctDNA Expanded Kit for indels, CNVs, and rearrangements. We also demonstrated &gt;99.9% specificity for SNVs, indels, and fusions, and 96.2% specificity for CNVs</w:t>
            </w:r>
          </w:p>
        </w:tc>
      </w:tr>
      <w:tr>
        <w:trPr/>
        <w:tc>
          <w:tcPr>
            <w:tcW w:w="10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Tempus|xG</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rFonts w:ascii="Times New Roman" w:hAnsi="Times New Roman"/>
                <w:color w:val="231F20"/>
                <w:sz w:val="20"/>
              </w:rPr>
            </w:pPr>
            <w:r>
              <w:rPr>
                <w:rFonts w:ascii="Times New Roman" w:hAnsi="Times New Roman"/>
                <w:color w:val="231F20"/>
                <w:sz w:val="20"/>
              </w:rPr>
              <w:t>2021</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The xF+ version is a 523 gene panel that includes bTMB, MSI, additional fusions and CNVs</w:t>
            </w:r>
          </w:p>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52 gene inherited cancer germline panel run off whole exome platform at 75x depth of coverage</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 xml:space="preserve">Tests hereditary predisposition across common and well- described cancer syndromes such as breast, ovarian, prostate cancer (BRCA1, BRCA2), pancreatic cancer (CDKN2A, PALB2), colorectal cancer (APC, BMPR1A), and Lynch Syndrome (MLH1, MSH2, MSH6, PMS2, EPCAM) </w:t>
            </w:r>
          </w:p>
        </w:tc>
      </w:tr>
      <w:tr>
        <w:trPr/>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058"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Typically used in patients with a personal and / or family history suggestive of hereditary predisposition to cancer and can guide future diagnostic decisions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1"/>
        <w:gridCol w:w="1028"/>
        <w:gridCol w:w="8266"/>
      </w:tblGrid>
      <w:tr>
        <w:trPr/>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1028" w:type="dxa"/>
            <w:tcBorders/>
            <w:shd w:fill="FFFFFF" w:val="clear"/>
            <w:vAlign w:val="center"/>
          </w:tcPr>
          <w:p>
            <w:pPr>
              <w:pStyle w:val="TableContents"/>
              <w:bidi w:val="0"/>
              <w:spacing w:before="0" w:after="283"/>
              <w:jc w:val="left"/>
              <w:rPr>
                <w:sz w:val="4"/>
                <w:szCs w:val="4"/>
              </w:rPr>
            </w:pPr>
            <w:r>
              <w:rPr>
                <w:sz w:val="4"/>
                <w:szCs w:val="4"/>
              </w:rPr>
            </w:r>
          </w:p>
        </w:tc>
        <w:tc>
          <w:tcPr>
            <w:tcW w:w="8266" w:type="dxa"/>
            <w:tcBorders/>
            <w:shd w:fill="FFFFFF" w:val="clear"/>
            <w:vAlign w:val="center"/>
          </w:tcPr>
          <w:p>
            <w:pPr>
              <w:pStyle w:val="TableContents"/>
              <w:bidi w:val="0"/>
              <w:spacing w:before="0" w:after="283"/>
              <w:jc w:val="left"/>
              <w:rPr>
                <w:sz w:val="4"/>
                <w:szCs w:val="4"/>
              </w:rPr>
            </w:pPr>
            <w:r>
              <w:rPr>
                <w:sz w:val="4"/>
                <w:szCs w:val="4"/>
              </w:rPr>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231F20"/>
                <w:sz w:val="16"/>
              </w:rPr>
              <w:t>Lab Tests</w:t>
            </w:r>
            <w:r>
              <w:rPr>
                <w:rFonts w:ascii="Times New Roman" w:hAnsi="Times New Roman"/>
                <w:color w:val="231F20"/>
                <w:sz w:val="16"/>
              </w:rPr>
              <w:t xml:space="preserve"> </w:t>
            </w:r>
          </w:p>
        </w:tc>
        <w:tc>
          <w:tcPr>
            <w:tcW w:w="10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231F20"/>
                <w:sz w:val="16"/>
              </w:rPr>
            </w:pPr>
            <w:r>
              <w:rPr>
                <w:rFonts w:ascii="Times New Roman" w:hAnsi="Times New Roman"/>
                <w:b/>
                <w:color w:val="231F20"/>
                <w:sz w:val="16"/>
              </w:rPr>
              <w:t>Launch Year</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231F20"/>
                <w:sz w:val="16"/>
              </w:rPr>
            </w:pPr>
            <w:r>
              <w:rPr>
                <w:rFonts w:ascii="Times New Roman" w:hAnsi="Times New Roman"/>
                <w:b/>
                <w:color w:val="231F20"/>
                <w:sz w:val="16"/>
              </w:rPr>
              <w:t>Description</w:t>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266"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The xG+ version is an 88 gene panel covering genes associated with both common and rare hereditary cancers</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Tempus|xR</w:t>
            </w:r>
          </w:p>
        </w:tc>
        <w:tc>
          <w:tcPr>
            <w:tcW w:w="1028" w:type="dxa"/>
            <w:tcBorders/>
            <w:tcMar>
              <w:top w:w="0" w:type="dxa"/>
              <w:left w:w="0" w:type="dxa"/>
              <w:bottom w:w="0" w:type="dxa"/>
              <w:right w:w="0" w:type="dxa"/>
            </w:tcMar>
            <w:vAlign w:val="center"/>
          </w:tcPr>
          <w:p>
            <w:pPr>
              <w:pStyle w:val="TableContents"/>
              <w:bidi w:val="0"/>
              <w:spacing w:before="0" w:after="283"/>
              <w:ind w:left="0" w:right="0" w:firstLine="490"/>
              <w:jc w:val="center"/>
              <w:rPr>
                <w:rFonts w:ascii="Times New Roman" w:hAnsi="Times New Roman"/>
                <w:color w:val="231F20"/>
                <w:sz w:val="20"/>
              </w:rPr>
            </w:pPr>
            <w:r>
              <w:rPr>
                <w:rFonts w:ascii="Times New Roman" w:hAnsi="Times New Roman"/>
                <w:color w:val="231F20"/>
                <w:sz w:val="20"/>
              </w:rPr>
              <w:t>2023</w:t>
            </w:r>
          </w:p>
        </w:tc>
        <w:tc>
          <w:tcPr>
            <w:tcW w:w="8266"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Full transcriptomic profiling assay for solid tumors and hematologic malignancies at 50 million paired end reads, offered as a separate test as of January 2023 (previous paired with xT and xE)</w:t>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266"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Reports clinically relevant fusions for more than 100 targeted genes, as well as altered splicing events for MET exon 14 and EGFRvIII, in an unbiased and comprehensive manner</w:t>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266"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43.4% of patients were matched to a targeted therapy when DNA seq, RNA seq, and immune biomarker assessment were combined, compared to 29.6% of patients who had a therapy match using DNA seq alone</w:t>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266"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Among patients with identified fusions, 29% more patients were identified with a unique clinically actionable fusion that could be matched to a targeted therapy when RNA seq was incorporated, compared to DNA seq alone</w:t>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266"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The test has an approximately 10-day quoted turnaround time</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Tempus|xM</w:t>
            </w:r>
          </w:p>
        </w:tc>
        <w:tc>
          <w:tcPr>
            <w:tcW w:w="1028" w:type="dxa"/>
            <w:tcBorders/>
            <w:tcMar>
              <w:top w:w="0" w:type="dxa"/>
              <w:left w:w="0" w:type="dxa"/>
              <w:bottom w:w="0" w:type="dxa"/>
              <w:right w:w="0" w:type="dxa"/>
            </w:tcMar>
            <w:vAlign w:val="center"/>
          </w:tcPr>
          <w:p>
            <w:pPr>
              <w:pStyle w:val="TableContents"/>
              <w:bidi w:val="0"/>
              <w:spacing w:before="0" w:after="283"/>
              <w:ind w:left="0" w:right="0" w:firstLine="490"/>
              <w:jc w:val="center"/>
              <w:rPr>
                <w:rFonts w:ascii="Times New Roman" w:hAnsi="Times New Roman"/>
                <w:color w:val="231F20"/>
                <w:sz w:val="20"/>
              </w:rPr>
            </w:pPr>
            <w:r>
              <w:rPr>
                <w:rFonts w:ascii="Times New Roman" w:hAnsi="Times New Roman"/>
                <w:color w:val="231F20"/>
                <w:sz w:val="20"/>
              </w:rPr>
              <w:t>2024</w:t>
            </w:r>
          </w:p>
        </w:tc>
        <w:tc>
          <w:tcPr>
            <w:tcW w:w="8266"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Tumor-naive, plasma based assay leveraging variant and methylation workflows to assess residual disease</w:t>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c>
          <w:tcPr>
            <w:tcW w:w="8266" w:type="dxa"/>
            <w:tcBorders/>
            <w:tcMar>
              <w:top w:w="0" w:type="dxa"/>
              <w:left w:w="0" w:type="dxa"/>
              <w:bottom w:w="0" w:type="dxa"/>
              <w:right w:w="0" w:type="dxa"/>
            </w:tcMar>
            <w:vAlign w:val="center"/>
          </w:tcPr>
          <w:p>
            <w:pPr>
              <w:pStyle w:val="TableContents"/>
              <w:bidi w:val="0"/>
              <w:spacing w:before="70" w:after="283"/>
              <w:jc w:val="left"/>
              <w:rPr>
                <w:color w:val="231F20"/>
              </w:rPr>
            </w:pPr>
            <w:r>
              <w:rPr>
                <w:color w:val="231F20"/>
              </w:rPr>
              <w:t>•</w:t>
            </w:r>
          </w:p>
          <w:p>
            <w:pPr>
              <w:pStyle w:val="TableContents"/>
              <w:bidi w:val="0"/>
              <w:spacing w:before="70" w:after="283"/>
              <w:jc w:val="left"/>
              <w:rPr>
                <w:rFonts w:ascii="Times New Roman" w:hAnsi="Times New Roman"/>
                <w:color w:val="231F20"/>
                <w:sz w:val="20"/>
              </w:rPr>
            </w:pPr>
            <w:r>
              <w:rPr>
                <w:rFonts w:ascii="Times New Roman" w:hAnsi="Times New Roman"/>
                <w:color w:val="231F20"/>
                <w:sz w:val="20"/>
              </w:rPr>
              <w:t>Longitudinal clinical performance in resected stage II and III colorectal cancer patients demonstrated prediction of disease-free survival nearly five times superior to standard of care carcinoembryonic antigen (CEA) (adjusted hazard ratio 9.69 vs. 2.13).</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In November 2023, we entered into a Commercialization and Reference Laboratory Agreement with Personalis, Inc., or Personalis, pursuant to which we began marketing Personalis’ Personal Dx test in the United States initially in non-small cell lung cancer and breast cancer, as well as IO treatment response monitoring. Personalis will conduct additional development activities to further analytically validate the test in other indications. Personalis will perform tests ordered by patients through us and will bill such patients or payers.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have long believed that incorporating clinical data in our diagnostic tests has widespread benefits, and have extensively studied the benefits of multiple modalities of data in cancer treatment. For example, as far back as 2019, we learned that combining clinical and molecular data resulted in improved therapy matching for patients in a study that we conducted, the results of which were published in Nature Bio.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pStyle w:val="TextBody"/>
        <w:bidi w:val="0"/>
        <w:jc w:val="left"/>
        <w:rPr/>
      </w:pPr>
      <w:r>
        <w:rPr/>
        <w:t> </w:t>
      </w:r>
    </w:p>
    <w:p>
      <w:pPr>
        <w:pStyle w:val="TextBody"/>
        <w:bidi w:val="0"/>
        <w:jc w:val="center"/>
        <w:rPr/>
      </w:pPr>
      <w:r>
        <w:rPr/>
        <w:drawing>
          <wp:inline distT="0" distB="0" distL="0" distR="0">
            <wp:extent cx="5943600" cy="2752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752725"/>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have long observed similar benefits from testing across modalities.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oncology volume rose from approximately 31,000 samples sequenced in 2018 to approximately 367,500 samples in 2025.</w:t>
      </w:r>
    </w:p>
    <w:p>
      <w:pPr>
        <w:pStyle w:val="TextBody"/>
        <w:bidi w:val="0"/>
        <w:jc w:val="center"/>
        <w:rPr/>
      </w:pPr>
      <w:r>
        <w:rPr/>
        <w:drawing>
          <wp:inline distT="0" distB="0" distL="0" distR="0">
            <wp:extent cx="6381750" cy="4086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381750" cy="4086225"/>
                    </a:xfrm>
                    <a:prstGeom prst="rect">
                      <a:avLst/>
                    </a:prstGeom>
                  </pic:spPr>
                </pic:pic>
              </a:graphicData>
            </a:graphic>
          </wp:inline>
        </w:drawing>
      </w:r>
    </w:p>
    <w:p>
      <w:pPr>
        <w:pStyle w:val="TextBody"/>
        <w:bidi w:val="0"/>
        <w:spacing w:before="35" w:after="283"/>
        <w:jc w:val="left"/>
        <w:rPr/>
      </w:pPr>
      <w:r>
        <w:rPr/>
        <w:t> </w:t>
      </w:r>
    </w:p>
    <w:p>
      <w:pPr>
        <w:pStyle w:val="TextBody"/>
        <w:bidi w:val="0"/>
        <w:spacing w:before="35" w:after="283"/>
        <w:jc w:val="left"/>
        <w:rPr>
          <w:rFonts w:ascii="Times New Roman" w:hAnsi="Times New Roman"/>
          <w:b/>
          <w:i/>
          <w:color w:val="231F20"/>
          <w:sz w:val="20"/>
        </w:rPr>
      </w:pPr>
      <w:r>
        <w:rPr>
          <w:rFonts w:ascii="Times New Roman" w:hAnsi="Times New Roman"/>
          <w:b/>
          <w:i/>
          <w:color w:val="231F20"/>
          <w:sz w:val="20"/>
        </w:rPr>
        <w:t>Our Hereditary Tests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also expanded our offerings by acquiring Ambry in February 2025. Through Ambry, we offer a comprehensive menu of genetic tests focused on inherited conditions across several major clinical areas: hereditary cancer, heart conditions, neurological disorders, and rare diseases. Among other diagnostics, Ambry offers the following tests, which ordered largely by genetic counselors but increasingly by oncologists and other healthcare providers: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Single Gene Sequencing Tests that analyze a specific gene for known or suspected mutations (e.g., BRCA1/BRCA2 testing for breast cancer risk)</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Multigene Panels, such as CancerNext or CardioNext, that simultaneously examine multiple genes associated with a specific set of related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Exome Sequencing, like ExomeNext, which analyzes approximately 20,000 protein-coding genes to identify the cause of undiagnosed rare or complex conditions; and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Paired DNA/RNA Testing, which is branded as +RNAinsight® and analyzes both DNA and functional RNA data to provide more accurate variant classification, potentially resolving variants of uncertain significance (VUS).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lists our current hereditary test offerings: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87"/>
        <w:gridCol w:w="1505"/>
        <w:gridCol w:w="6713"/>
      </w:tblGrid>
      <w:tr>
        <w:trPr/>
        <w:tc>
          <w:tcPr>
            <w:tcW w:w="198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713" w:type="dxa"/>
            <w:tcBorders/>
            <w:vAlign w:val="center"/>
          </w:tcPr>
          <w:p>
            <w:pPr>
              <w:pStyle w:val="TableContents"/>
              <w:bidi w:val="0"/>
              <w:spacing w:before="0" w:after="283"/>
              <w:jc w:val="left"/>
              <w:rPr>
                <w:sz w:val="4"/>
                <w:szCs w:val="4"/>
              </w:rPr>
            </w:pPr>
            <w:r>
              <w:rPr>
                <w:sz w:val="4"/>
                <w:szCs w:val="4"/>
              </w:rPr>
            </w:r>
          </w:p>
        </w:tc>
      </w:tr>
      <w:tr>
        <w:trPr/>
        <w:tc>
          <w:tcPr>
            <w:tcW w:w="19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CancerNext®</w:t>
            </w:r>
          </w:p>
        </w:tc>
        <w:tc>
          <w:tcPr>
            <w:tcW w:w="1505" w:type="dxa"/>
            <w:tcBorders/>
            <w:tcMar>
              <w:top w:w="0" w:type="dxa"/>
              <w:left w:w="0" w:type="dxa"/>
              <w:bottom w:w="0" w:type="dxa"/>
              <w:right w:w="0" w:type="dxa"/>
            </w:tcMar>
            <w:vAlign w:val="center"/>
          </w:tcPr>
          <w:p>
            <w:pPr>
              <w:pStyle w:val="TableContents"/>
              <w:bidi w:val="0"/>
              <w:spacing w:before="0" w:after="283"/>
              <w:ind w:left="0" w:right="0" w:firstLine="979"/>
              <w:jc w:val="center"/>
              <w:rPr>
                <w:rFonts w:ascii="Times New Roman" w:hAnsi="Times New Roman"/>
                <w:color w:val="231F20"/>
                <w:sz w:val="20"/>
              </w:rPr>
            </w:pPr>
            <w:r>
              <w:rPr>
                <w:rFonts w:ascii="Times New Roman" w:hAnsi="Times New Roman"/>
                <w:color w:val="231F20"/>
                <w:sz w:val="20"/>
              </w:rPr>
              <w:t>2012</w:t>
            </w:r>
          </w:p>
        </w:tc>
        <w:tc>
          <w:tcPr>
            <w:tcW w:w="6713"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Guideline-based, pan-cancer test, testing 40 genes, which covers the most common hereditary cancer types, including hereditary breast, ovarian, pancreatic, prostate, colorectal/polyps, endometrial, gastric, small bowel, urothelial, and renal cancers</w:t>
            </w:r>
          </w:p>
        </w:tc>
      </w:tr>
      <w:tr>
        <w:trPr/>
        <w:tc>
          <w:tcPr>
            <w:tcW w:w="1987" w:type="dxa"/>
            <w:tcBorders/>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tcMar>
              <w:top w:w="0" w:type="dxa"/>
              <w:left w:w="0" w:type="dxa"/>
              <w:bottom w:w="0" w:type="dxa"/>
              <w:right w:w="0" w:type="dxa"/>
            </w:tcMar>
            <w:vAlign w:val="center"/>
          </w:tcPr>
          <w:p>
            <w:pPr>
              <w:pStyle w:val="TableContents"/>
              <w:bidi w:val="0"/>
              <w:spacing w:before="0" w:after="283"/>
              <w:ind w:left="0" w:right="0" w:firstLine="979"/>
              <w:jc w:val="left"/>
              <w:rPr/>
            </w:pPr>
            <w:r>
              <w:rPr/>
              <w:t> </w:t>
            </w:r>
          </w:p>
        </w:tc>
        <w:tc>
          <w:tcPr>
            <w:tcW w:w="6713"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The test has an approximately 14-21-day quoted turnaround time</w:t>
            </w:r>
          </w:p>
        </w:tc>
      </w:tr>
      <w:tr>
        <w:trPr/>
        <w:tc>
          <w:tcPr>
            <w:tcW w:w="19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CancerNext-Expanded®</w:t>
            </w:r>
          </w:p>
        </w:tc>
        <w:tc>
          <w:tcPr>
            <w:tcW w:w="1505" w:type="dxa"/>
            <w:tcBorders/>
            <w:tcMar>
              <w:top w:w="0" w:type="dxa"/>
              <w:left w:w="0" w:type="dxa"/>
              <w:bottom w:w="0" w:type="dxa"/>
              <w:right w:w="0" w:type="dxa"/>
            </w:tcMar>
            <w:vAlign w:val="center"/>
          </w:tcPr>
          <w:p>
            <w:pPr>
              <w:pStyle w:val="TableContents"/>
              <w:bidi w:val="0"/>
              <w:spacing w:before="0" w:after="283"/>
              <w:ind w:left="0" w:right="0" w:firstLine="979"/>
              <w:jc w:val="center"/>
              <w:rPr>
                <w:rFonts w:ascii="Times New Roman" w:hAnsi="Times New Roman"/>
                <w:color w:val="231F20"/>
                <w:sz w:val="20"/>
              </w:rPr>
            </w:pPr>
            <w:r>
              <w:rPr>
                <w:rFonts w:ascii="Times New Roman" w:hAnsi="Times New Roman"/>
                <w:color w:val="231F20"/>
                <w:sz w:val="20"/>
              </w:rPr>
              <w:t>2014</w:t>
            </w:r>
          </w:p>
        </w:tc>
        <w:tc>
          <w:tcPr>
            <w:tcW w:w="6713"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Comprehensive, pan-cancer test for hereditary cancer predisposition, testing 77 genes, including those associated with a wide range of hereditary cancers such as breast, ovarian, uterine, colorectal, gastric, pancreatic, prostate, melanoma, renal, central nervous system tumors, pheochromocytoma/paraganglioma, hematologic malignancy, and other rare cancer predisposition conditions. Optional add-ons are available for pancreatitis genes and/or limited evidence genes</w:t>
            </w:r>
          </w:p>
        </w:tc>
      </w:tr>
      <w:tr>
        <w:trPr/>
        <w:tc>
          <w:tcPr>
            <w:tcW w:w="1987" w:type="dxa"/>
            <w:tcBorders/>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tcMar>
              <w:top w:w="0" w:type="dxa"/>
              <w:left w:w="0" w:type="dxa"/>
              <w:bottom w:w="0" w:type="dxa"/>
              <w:right w:w="0" w:type="dxa"/>
            </w:tcMar>
            <w:vAlign w:val="center"/>
          </w:tcPr>
          <w:p>
            <w:pPr>
              <w:pStyle w:val="TableContents"/>
              <w:bidi w:val="0"/>
              <w:spacing w:before="0" w:after="283"/>
              <w:ind w:left="0" w:right="0" w:firstLine="979"/>
              <w:jc w:val="left"/>
              <w:rPr/>
            </w:pPr>
            <w:r>
              <w:rPr/>
              <w:t> </w:t>
            </w:r>
          </w:p>
        </w:tc>
        <w:tc>
          <w:tcPr>
            <w:tcW w:w="6713"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The test has an approximately 14-21-day quoted turnaround time</w:t>
            </w:r>
          </w:p>
        </w:tc>
      </w:tr>
    </w:tbl>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Neuropsychiatry Tests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entered neuropsychiatry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 may work better than another based on the genetic profile of the patient, and our assay is designed to elucidate these differences. The following table describes our nP assay.</w:t>
      </w:r>
    </w:p>
    <w:p>
      <w:pPr>
        <w:pStyle w:val="TextBody"/>
        <w:bidi w:val="0"/>
        <w:spacing w:before="9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06"/>
        <w:gridCol w:w="1001"/>
        <w:gridCol w:w="8098"/>
      </w:tblGrid>
      <w:tr>
        <w:trPr/>
        <w:tc>
          <w:tcPr>
            <w:tcW w:w="110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8098"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1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Tempus|nP</w:t>
            </w:r>
          </w:p>
        </w:tc>
        <w:tc>
          <w:tcPr>
            <w:tcW w:w="1001" w:type="dxa"/>
            <w:tcBorders/>
            <w:tcMar>
              <w:top w:w="0" w:type="dxa"/>
              <w:left w:w="0" w:type="dxa"/>
              <w:bottom w:w="0" w:type="dxa"/>
              <w:right w:w="0" w:type="dxa"/>
            </w:tcMar>
            <w:vAlign w:val="center"/>
          </w:tcPr>
          <w:p>
            <w:pPr>
              <w:pStyle w:val="TableContents"/>
              <w:bidi w:val="0"/>
              <w:spacing w:before="0" w:after="283"/>
              <w:ind w:left="0" w:right="0" w:firstLine="475"/>
              <w:jc w:val="center"/>
              <w:rPr>
                <w:rFonts w:ascii="Times New Roman" w:hAnsi="Times New Roman"/>
                <w:color w:val="000000"/>
                <w:sz w:val="20"/>
              </w:rPr>
            </w:pPr>
            <w:r>
              <w:rPr>
                <w:rFonts w:ascii="Times New Roman" w:hAnsi="Times New Roman"/>
                <w:color w:val="000000"/>
                <w:sz w:val="20"/>
              </w:rPr>
              <w:t>2019</w:t>
            </w:r>
          </w:p>
        </w:tc>
        <w:tc>
          <w:tcPr>
            <w:tcW w:w="8098" w:type="dxa"/>
            <w:tcBorders/>
            <w:tcMar>
              <w:top w:w="0" w:type="dxa"/>
              <w:left w:w="0" w:type="dxa"/>
              <w:bottom w:w="0" w:type="dxa"/>
              <w:right w:w="0" w:type="dxa"/>
            </w:tcMar>
            <w:vAlign w:val="center"/>
          </w:tcPr>
          <w:p>
            <w:pPr>
              <w:pStyle w:val="TableContents"/>
              <w:bidi w:val="0"/>
              <w:ind w:left="0" w:right="0" w:firstLine="475"/>
              <w:jc w:val="left"/>
              <w:rPr>
                <w:rFonts w:ascii="Times New Roman" w:hAnsi="Times New Roman"/>
                <w:color w:val="000000"/>
                <w:sz w:val="20"/>
              </w:rPr>
            </w:pPr>
            <w:r>
              <w:rPr>
                <w:rFonts w:ascii="Times New Roman" w:hAnsi="Times New Roman"/>
                <w:color w:val="000000"/>
                <w:sz w:val="20"/>
              </w:rPr>
              <w:t> Pharmacogenomic profiling for patients with psychiatric conditions; primarily used for depression</w:t>
            </w:r>
          </w:p>
          <w:p>
            <w:pPr>
              <w:pStyle w:val="TableContents"/>
              <w:bidi w:val="0"/>
              <w:ind w:left="0" w:right="0" w:firstLine="475"/>
              <w:jc w:val="left"/>
              <w:rPr>
                <w:rFonts w:ascii="Times New Roman" w:hAnsi="Times New Roman"/>
                <w:color w:val="000000"/>
                <w:sz w:val="20"/>
              </w:rPr>
            </w:pPr>
            <w:r>
              <w:rPr>
                <w:rFonts w:ascii="Times New Roman" w:hAnsi="Times New Roman"/>
                <w:color w:val="000000"/>
                <w:sz w:val="20"/>
              </w:rPr>
              <w:t> Covers 13 validated genes with known roles in pharmacokinetics, pharmacodynamics, and immune response to FDA approved medications that may be prescribed in the neuropsychiatric space</w:t>
            </w:r>
          </w:p>
          <w:p>
            <w:pPr>
              <w:pStyle w:val="TableContents"/>
              <w:bidi w:val="0"/>
              <w:spacing w:before="0" w:after="20"/>
              <w:ind w:left="0" w:right="0" w:firstLine="475"/>
              <w:jc w:val="left"/>
              <w:rPr>
                <w:rFonts w:ascii="Times New Roman" w:hAnsi="Times New Roman"/>
                <w:color w:val="000000"/>
                <w:sz w:val="20"/>
              </w:rPr>
            </w:pPr>
            <w:r>
              <w:rPr>
                <w:rFonts w:ascii="Times New Roman" w:hAnsi="Times New Roman"/>
                <w:color w:val="000000"/>
                <w:sz w:val="20"/>
              </w:rPr>
              <w:t> Uses matrix-assisted laser desorption ionization-time of flight (MALDI-TOF) mass spectrometry to analyze 80 single nucleotide and small insertion-deletion (indel) variants in the 13 genes. Concurrently, DNA fragment analysis is used to analyze copy number variants in CYP2D6 and a large indel in the SLC6A4 promoter</w:t>
            </w:r>
          </w:p>
        </w:tc>
      </w:tr>
    </w:tbl>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we continue to advance the field of psychiatric medicine, we believe our Platform is well suited to extend to additional neurological conditions beyond depression, anxiety, and bipolar disorder.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Data and applications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Data and applications product line consists of Insights, our data-centric product, and a suite of Applications, the primary offerings of which include Trials, Next and Algos. Our Insights product helps facilitate drug discovery and development for life sciences companies and includes, among other capabilities, a tumor-derived biological modeling (or organoid) laboratory, that enables us to provide modeling and screening services to our pharmaceutical and biotech clients. In addition, we offer a series of Applications that leverage AI to advance precision medicine across the healthcare ecosystem. For example, our Trials product identifies patients who may benefit from additional treatment or participation in clinical trials. Our Next product is an AI platform that leverages machine learning to apply an "intelligent layer" onto routinely generated data to proactively identify and minimize care gaps for oncology and cardiology patients. Finally, Algos are purely algorithmic diagnostic tests,developed and deployed based on associations and biomarkers identified through our rich, multi-modal dataset.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One way we measure our data business is based on the remaining total contract value, or the Remaining TCV, that is contractually committed to be delivered in the future. As of December 31, 2025, we have signed contracts with a Remaining TCV of more than $1.1 billion, which includes approximately $300.0 million in additional potential future contractual opt-ins. Remaining TCV is equal to the total potential value of signed contracts and assumes the exercise of all contract options, all discretionary opt-ins, and no early termination. Remaining TCV includes the total potential value of the company’s strategic collaborations with AstraZeneca AB, or AstraZeneca, and GlaxoSmithKline, or GSK, which, although listed under the Data and applications product line, could be satisfied by the purchase of any of the company’s products and services. Remaining TCV excludes any revenue recognized to date on these contracts or any future adjustments made to the contractual value as a result of amendments or terminations.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our ability to meet performance obligations, and the exercise of contractual options or termination rights. Moreover, Remaining TCV may differ from similarly titled metrics presented by other companies and may not be comparable to such other metrics.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Insights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near-real time across multiple modalities and multiple disease areas, allowing us to work with pharmaceutical and biotechnology companies across the drug lifecycle—from discovery, research and development, and, ultimately, commercialization.</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We currently work with 19 of the 20 largest public pharmaceutical companies based on 2024 revenue.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 One metric that illustrates the utility of our data to our customers is “Net Revenue Retention.” Net Revenue Retention compares the annual Insights product revenue generated from all customers that made an Insights purchase in one year to the annual Insights product revenue generated from the same cohort of customers in the subsequent year. Net Revenue Retention is not a calculation of revenue and should be viewed independently of revenue and deferred revenue, as Net Revenue Retention is not intended to be combined with or replace these items. Similarly, Net Revenue Retention is not a forecast of future revenue. Moreover, Net Revenue Retention may differ from similarly titled metrics presented by other companies and may 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comparable to such other metrics. For the year ended December 31, 2025, Net Revenue Retention was approximately 126% compared to the same cohort of customers for the period ended December 31, 2024.</w:t>
      </w:r>
    </w:p>
    <w:p>
      <w:pPr>
        <w:pStyle w:val="TextBody"/>
        <w:bidi w:val="0"/>
        <w:jc w:val="left"/>
        <w:rPr/>
      </w:pPr>
      <w:r>
        <w:rPr/>
        <w:t> </w:t>
      </w:r>
    </w:p>
    <w:p>
      <w:pPr>
        <w:pStyle w:val="TextBody"/>
        <w:bidi w:val="0"/>
        <w:jc w:val="center"/>
        <w:rPr/>
      </w:pPr>
      <w:r>
        <w:rPr/>
        <w:drawing>
          <wp:inline distT="0" distB="0" distL="0" distR="0">
            <wp:extent cx="6238875" cy="3009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238875" cy="300990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Because many of our data profiles regularly update with clinical outcome and response data over time, the utility of a single de-identified record may increase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has the potential to increase over time, in a manner similar to a content company where you pay to create content and then monetize the content over time as people subscribe to access the content.</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Tumor Derived Biological Modeling—Organoids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to our efforts to collect vast amounts of phenotypic, morphologic, and molecular data, we have built a large, biological modeling lab that allows us to test various theories in vitro through our large repository of tumor-derived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 (iv) 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and have received approximately 6,500 tumor samples to date.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Applications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offer a series of Applications, most of which leverage AI, to both advance precision medicine research and optimize patient care. We describe some of our primary Applications below.</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Trials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Trials offering leverages the broad network of physicians we work with in oncology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Trials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 laboratory and provider; and (iv) an analytic engine able to stratify patients and follow each unique patient journey ensuring that patients actually enroll in the studies.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Our clinical trial matching offering is called the TIME Trial® program, which we launched in June of 2019. Since its introduction, this program continues to gain significant traction with more than 1,400 clinical trials signed into the network. More than 40,000 patients were identified for potential enrollment into clinical trials in our network as of December 31, 2025. We believe the breadth of our network, the data to which we have near real-time access, and our relationships with oncologists enable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us to offer a clinical trial matching service that has the potential to materially expand patient access to and accelerate enrollment in clinical trials in the United States.</w:t>
      </w:r>
    </w:p>
    <w:p>
      <w:pPr>
        <w:pStyle w:val="TextBody"/>
        <w:bidi w:val="0"/>
        <w:spacing w:before="40" w:after="283"/>
        <w:jc w:val="left"/>
        <w:rPr/>
      </w:pPr>
      <w:r>
        <w:rPr/>
        <w:t> </w:t>
      </w:r>
    </w:p>
    <w:p>
      <w:pPr>
        <w:pStyle w:val="TextBody"/>
        <w:bidi w:val="0"/>
        <w:jc w:val="center"/>
        <w:rPr/>
      </w:pPr>
      <w:r>
        <w:rPr/>
        <w:drawing>
          <wp:inline distT="0" distB="0" distL="0" distR="0">
            <wp:extent cx="6219825" cy="3495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219825" cy="3495675"/>
                    </a:xfrm>
                    <a:prstGeom prst="rect">
                      <a:avLst/>
                    </a:prstGeom>
                  </pic:spPr>
                </pic:pic>
              </a:graphicData>
            </a:graphic>
          </wp:inline>
        </w:drawing>
      </w:r>
    </w:p>
    <w:p>
      <w:pPr>
        <w:pStyle w:val="TextBody"/>
        <w:bidi w:val="0"/>
        <w:jc w:val="left"/>
        <w:rPr/>
      </w:pPr>
      <w:r>
        <w:rPr/>
        <w:t> </w:t>
      </w:r>
    </w:p>
    <w:p>
      <w:pPr>
        <w:pStyle w:val="TextBody"/>
        <w:bidi w:val="0"/>
        <w:spacing w:before="34" w:after="283"/>
        <w:jc w:val="left"/>
        <w:rPr>
          <w:rFonts w:ascii="Times New Roman" w:hAnsi="Times New Roman"/>
          <w:color w:val="231F20"/>
          <w:sz w:val="20"/>
        </w:rPr>
      </w:pPr>
      <w:r>
        <w:rPr>
          <w:rFonts w:ascii="Times New Roman" w:hAnsi="Times New Roman"/>
          <w:color w:val="231F20"/>
          <w:sz w:val="20"/>
        </w:rPr>
        <w:t>One of the primary benefits of our Trials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Trials product taking approximately 10 days on average in 2025. A comparison of our average time from site initiation to patient consent with the industry average is below:</w:t>
      </w:r>
    </w:p>
    <w:p>
      <w:pPr>
        <w:pStyle w:val="TextBody"/>
        <w:bidi w:val="0"/>
        <w:spacing w:before="34" w:after="283"/>
        <w:jc w:val="left"/>
        <w:rPr/>
      </w:pPr>
      <w:r>
        <w:rPr/>
        <w:t> </w:t>
      </w:r>
    </w:p>
    <w:p>
      <w:pPr>
        <w:pStyle w:val="TextBody"/>
        <w:bidi w:val="0"/>
        <w:jc w:val="center"/>
        <w:rPr/>
      </w:pPr>
      <w:r>
        <w:rPr/>
        <w:drawing>
          <wp:inline distT="0" distB="0" distL="0" distR="0">
            <wp:extent cx="5943600" cy="3181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3181350"/>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 subsequently renamed Tempus Compass, LLC, or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Next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Next application is an AI platform that leverages machine learning to apply an “intelligent layer” on top of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For example, the Next application can monitor clinical data in real-time to identify patients suffering from non-small cell lung cancer (NSCLC) who have not received testing to identify potential EGFR mutations, a biomarker that could help determine an appropriate course of treatment. In the cardiology space, Next can help identify patients who might be at higher risk of atrial fibrillation through the use of an FDA-cleared algorithmic diagnostic. We discuss further below some of our other algorithmic diagnostic tests in cardiology. The ultimate goal of Next is to leverage AI to identify and close care gaps wherever they might exist to ensure each patient is receiving the appropriate care at the appropriate time.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Algos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vastness of our dataset, along with our connected platform, creates an opportunity to use data to algorithmically diagnose and treat patients. For example, we are focused on developing and providing diagnostics that are wholly algorithmic in nature, as well as implementing new software as a medical device, and building and deploying clinical decision support tools.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using sophisticated analytical tools. In addition, we find the strength of our analytic models, and our ability to deploy them clinically, improves as we add additional datasets. While we plan to continue developing our own proprietary software and algorithms, from time to time, we also utilize open source technologies or in-license technologies from third parties.</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Oncology Algos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believe our robust, multimodal dataset creates an opportunity for Algos that otherwise would not be possible and allows us to build AI models at scale, clinically validate them, and deploy the resulting Algos into clinical practice. We currently offer a suite of Algos in oncology, and have more in various stages of development. As of December 31, 2025, more than 123,000 molecular oncology Algos have been ordered with our various genomic assays. Most of the Algos we currently offer are part of our xR assay, and we do not bill separately for them. Some Algos will likely yield little to no reimbursement until their clinical utility is established or will be ordered separately with our existing NGS assays or diagnostics to enhance the actionable information for physicians, and some may obtain reimbursement at prevailing rates for comparable tests.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44"/>
        <w:gridCol w:w="1102"/>
        <w:gridCol w:w="7459"/>
      </w:tblGrid>
      <w:tr>
        <w:trPr/>
        <w:tc>
          <w:tcPr>
            <w:tcW w:w="1644"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shd w:fill="FFFFFF" w:val="clear"/>
            <w:vAlign w:val="center"/>
          </w:tcPr>
          <w:p>
            <w:pPr>
              <w:pStyle w:val="TableContents"/>
              <w:bidi w:val="0"/>
              <w:spacing w:before="0" w:after="283"/>
              <w:jc w:val="left"/>
              <w:rPr>
                <w:sz w:val="4"/>
                <w:szCs w:val="4"/>
              </w:rPr>
            </w:pPr>
            <w:r>
              <w:rPr>
                <w:sz w:val="4"/>
                <w:szCs w:val="4"/>
              </w:rPr>
            </w:r>
          </w:p>
        </w:tc>
        <w:tc>
          <w:tcPr>
            <w:tcW w:w="7459" w:type="dxa"/>
            <w:tcBorders/>
            <w:shd w:fill="FFFFFF" w:val="clear"/>
            <w:vAlign w:val="center"/>
          </w:tcPr>
          <w:p>
            <w:pPr>
              <w:pStyle w:val="TableContents"/>
              <w:bidi w:val="0"/>
              <w:spacing w:before="0" w:after="283"/>
              <w:jc w:val="left"/>
              <w:rPr>
                <w:sz w:val="4"/>
                <w:szCs w:val="4"/>
              </w:rPr>
            </w:pPr>
            <w:r>
              <w:rPr>
                <w:sz w:val="4"/>
                <w:szCs w:val="4"/>
              </w:rPr>
            </w:r>
          </w:p>
        </w:tc>
      </w:tr>
      <w:tr>
        <w:trPr/>
        <w:tc>
          <w:tcPr>
            <w:tcW w:w="16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Algo</w:t>
            </w:r>
          </w:p>
        </w:tc>
        <w:tc>
          <w:tcPr>
            <w:tcW w:w="11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Launch Year</w:t>
            </w:r>
          </w:p>
        </w:tc>
        <w:tc>
          <w:tcPr>
            <w:tcW w:w="7459"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2746"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b/>
                <w:color w:val="000000"/>
                <w:sz w:val="20"/>
              </w:rPr>
            </w:pPr>
            <w:r>
              <w:rPr>
                <w:rFonts w:ascii="Times New Roman" w:hAnsi="Times New Roman"/>
                <w:b/>
                <w:color w:val="000000"/>
                <w:sz w:val="20"/>
              </w:rPr>
              <w:t>Oncology</w:t>
            </w:r>
          </w:p>
        </w:tc>
        <w:tc>
          <w:tcPr>
            <w:tcW w:w="74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4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Tumor Origin (“TO”) Test</w:t>
            </w:r>
          </w:p>
        </w:tc>
        <w:tc>
          <w:tcPr>
            <w:tcW w:w="1102" w:type="dxa"/>
            <w:tcBorders/>
            <w:tcMar>
              <w:top w:w="0" w:type="dxa"/>
              <w:left w:w="0" w:type="dxa"/>
              <w:bottom w:w="0" w:type="dxa"/>
              <w:right w:w="0" w:type="dxa"/>
            </w:tcMar>
            <w:vAlign w:val="center"/>
          </w:tcPr>
          <w:p>
            <w:pPr>
              <w:pStyle w:val="TableContents"/>
              <w:bidi w:val="0"/>
              <w:spacing w:before="0" w:after="20"/>
              <w:ind w:left="0" w:right="0" w:firstLine="475"/>
              <w:jc w:val="right"/>
              <w:rPr>
                <w:rFonts w:ascii="Times New Roman" w:hAnsi="Times New Roman"/>
                <w:color w:val="000000"/>
                <w:sz w:val="20"/>
              </w:rPr>
            </w:pPr>
            <w:r>
              <w:rPr>
                <w:rFonts w:ascii="Times New Roman" w:hAnsi="Times New Roman"/>
                <w:color w:val="000000"/>
                <w:sz w:val="20"/>
              </w:rPr>
              <w:t>2021</w:t>
            </w:r>
          </w:p>
        </w:tc>
        <w:tc>
          <w:tcPr>
            <w:tcW w:w="7459" w:type="dxa"/>
            <w:tcBorders/>
            <w:tcMar>
              <w:top w:w="0" w:type="dxa"/>
              <w:left w:w="0" w:type="dxa"/>
              <w:bottom w:w="0" w:type="dxa"/>
              <w:right w:w="0" w:type="dxa"/>
            </w:tcMar>
            <w:vAlign w:val="center"/>
          </w:tcPr>
          <w:p>
            <w:pPr>
              <w:pStyle w:val="TableContents"/>
              <w:bidi w:val="0"/>
              <w:ind w:left="0" w:right="0" w:firstLine="475"/>
              <w:jc w:val="left"/>
              <w:rPr>
                <w:rFonts w:ascii="Times New Roman" w:hAnsi="Times New Roman"/>
                <w:color w:val="000000"/>
                <w:sz w:val="20"/>
              </w:rPr>
            </w:pPr>
            <w:r>
              <w:rPr>
                <w:rFonts w:ascii="Times New Roman" w:hAnsi="Times New Roman"/>
                <w:color w:val="000000"/>
                <w:sz w:val="20"/>
              </w:rPr>
              <w:t> Predicts the site of origin for cancer patients whose primary tumor site is unknown using tumor RNA expression results</w:t>
            </w:r>
          </w:p>
          <w:p>
            <w:pPr>
              <w:pStyle w:val="TableContents"/>
              <w:bidi w:val="0"/>
              <w:spacing w:before="0" w:after="283"/>
              <w:ind w:left="0" w:right="0" w:firstLine="475"/>
              <w:jc w:val="left"/>
              <w:rPr>
                <w:rFonts w:ascii="Times New Roman" w:hAnsi="Times New Roman"/>
                <w:color w:val="000000"/>
                <w:sz w:val="20"/>
              </w:rPr>
            </w:pPr>
            <w:r>
              <w:rPr>
                <w:rFonts w:ascii="Times New Roman" w:hAnsi="Times New Roman"/>
                <w:color w:val="000000"/>
                <w:sz w:val="20"/>
              </w:rPr>
              <w:t xml:space="preserve"> Intended use of the TO test is for cancers of unknown primary, or CUPs, and may help clinicians make more informed decisions where other clinical information like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1"/>
        <w:gridCol w:w="1035"/>
        <w:gridCol w:w="6669"/>
      </w:tblGrid>
      <w:tr>
        <w:trPr/>
        <w:tc>
          <w:tcPr>
            <w:tcW w:w="2501" w:type="dxa"/>
            <w:tcBorders/>
            <w:shd w:fill="FFFFFF" w:val="clear"/>
            <w:vAlign w:val="center"/>
          </w:tcPr>
          <w:p>
            <w:pPr>
              <w:pStyle w:val="TableContents"/>
              <w:bidi w:val="0"/>
              <w:spacing w:before="0" w:after="283"/>
              <w:jc w:val="left"/>
              <w:rPr>
                <w:sz w:val="4"/>
                <w:szCs w:val="4"/>
              </w:rPr>
            </w:pPr>
            <w:r>
              <w:rPr>
                <w:sz w:val="4"/>
                <w:szCs w:val="4"/>
              </w:rPr>
            </w:r>
          </w:p>
        </w:tc>
        <w:tc>
          <w:tcPr>
            <w:tcW w:w="1035" w:type="dxa"/>
            <w:tcBorders/>
            <w:shd w:fill="FFFFFF" w:val="clear"/>
            <w:vAlign w:val="center"/>
          </w:tcPr>
          <w:p>
            <w:pPr>
              <w:pStyle w:val="TableContents"/>
              <w:bidi w:val="0"/>
              <w:spacing w:before="0" w:after="283"/>
              <w:jc w:val="left"/>
              <w:rPr>
                <w:sz w:val="4"/>
                <w:szCs w:val="4"/>
              </w:rPr>
            </w:pPr>
            <w:r>
              <w:rPr>
                <w:sz w:val="4"/>
                <w:szCs w:val="4"/>
              </w:rPr>
            </w:r>
          </w:p>
        </w:tc>
        <w:tc>
          <w:tcPr>
            <w:tcW w:w="6669" w:type="dxa"/>
            <w:tcBorders/>
            <w:shd w:fill="FFFFFF" w:val="clear"/>
            <w:vAlign w:val="center"/>
          </w:tcPr>
          <w:p>
            <w:pPr>
              <w:pStyle w:val="TableContents"/>
              <w:bidi w:val="0"/>
              <w:spacing w:before="0" w:after="283"/>
              <w:jc w:val="left"/>
              <w:rPr>
                <w:sz w:val="4"/>
                <w:szCs w:val="4"/>
              </w:rPr>
            </w:pPr>
            <w:r>
              <w:rPr>
                <w:sz w:val="4"/>
                <w:szCs w:val="4"/>
              </w:rPr>
            </w:r>
          </w:p>
        </w:tc>
      </w:tr>
      <w:tr>
        <w:trPr/>
        <w:tc>
          <w:tcPr>
            <w:tcW w:w="2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Algo</w:t>
            </w:r>
          </w:p>
        </w:tc>
        <w:tc>
          <w:tcPr>
            <w:tcW w:w="10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Launch Year</w:t>
            </w:r>
          </w:p>
        </w:tc>
        <w:tc>
          <w:tcPr>
            <w:tcW w:w="6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2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6669" w:type="dxa"/>
            <w:tcBorders/>
            <w:tcMar>
              <w:top w:w="0" w:type="dxa"/>
              <w:left w:w="0" w:type="dxa"/>
              <w:bottom w:w="0" w:type="dxa"/>
              <w:right w:w="0" w:type="dxa"/>
            </w:tcMar>
            <w:vAlign w:val="center"/>
          </w:tcPr>
          <w:p>
            <w:pPr>
              <w:pStyle w:val="TableContents"/>
              <w:bidi w:val="0"/>
              <w:ind w:left="0" w:right="0" w:firstLine="475"/>
              <w:jc w:val="left"/>
              <w:rPr>
                <w:rFonts w:ascii="Times New Roman" w:hAnsi="Times New Roman"/>
                <w:color w:val="000000"/>
                <w:sz w:val="20"/>
              </w:rPr>
            </w:pPr>
            <w:r>
              <w:rPr>
                <w:rFonts w:ascii="Times New Roman" w:hAnsi="Times New Roman"/>
                <w:color w:val="000000"/>
                <w:sz w:val="20"/>
              </w:rPr>
              <w:t>imaging and immunohistochemistry results do not provide a definitive diagnosis</w:t>
            </w:r>
          </w:p>
          <w:p>
            <w:pPr>
              <w:pStyle w:val="TableContents"/>
              <w:bidi w:val="0"/>
              <w:ind w:left="0" w:right="0" w:firstLine="475"/>
              <w:jc w:val="left"/>
              <w:rPr>
                <w:rFonts w:ascii="Times New Roman" w:hAnsi="Times New Roman"/>
                <w:color w:val="000000"/>
                <w:sz w:val="20"/>
              </w:rPr>
            </w:pPr>
            <w:r>
              <w:rPr>
                <w:rFonts w:ascii="Times New Roman" w:hAnsi="Times New Roman"/>
                <w:color w:val="000000"/>
                <w:sz w:val="20"/>
              </w:rPr>
              <w:t> Uses information from analysis of nucleic acids by NGS performed as part of a separately ordered genomic or transcriptomic test</w:t>
            </w:r>
          </w:p>
          <w:p>
            <w:pPr>
              <w:pStyle w:val="TableContents"/>
              <w:bidi w:val="0"/>
              <w:ind w:left="0" w:right="0" w:firstLine="475"/>
              <w:jc w:val="left"/>
              <w:rPr>
                <w:rFonts w:ascii="Times New Roman" w:hAnsi="Times New Roman"/>
                <w:color w:val="000000"/>
                <w:sz w:val="20"/>
              </w:rPr>
            </w:pPr>
            <w:r>
              <w:rPr>
                <w:rFonts w:ascii="Times New Roman" w:hAnsi="Times New Roman"/>
                <w:color w:val="000000"/>
                <w:sz w:val="20"/>
              </w:rPr>
              <w:t> Built using a large internal database of more than 20,000 annotated tumors with transcriptomic molecular data. By comparing the molecular profile (transcriptome) of the patient’s cancer with profiles of other cancers in our database, we can help pinpoint the origin of the patient’s cancer, potentially helping to inform the course of therapy</w:t>
            </w:r>
          </w:p>
          <w:p>
            <w:pPr>
              <w:pStyle w:val="TableContents"/>
              <w:bidi w:val="0"/>
              <w:spacing w:before="0" w:after="20"/>
              <w:ind w:left="0" w:right="0" w:firstLine="475"/>
              <w:jc w:val="left"/>
              <w:rPr>
                <w:rFonts w:ascii="Times New Roman" w:hAnsi="Times New Roman"/>
                <w:color w:val="000000"/>
                <w:sz w:val="20"/>
              </w:rPr>
            </w:pPr>
            <w:r>
              <w:rPr>
                <w:rFonts w:ascii="Times New Roman" w:hAnsi="Times New Roman"/>
                <w:color w:val="000000"/>
                <w:sz w:val="20"/>
              </w:rPr>
              <w:t> Ordered on approximately 10% of our solid tumor profiles</w:t>
            </w:r>
          </w:p>
        </w:tc>
      </w:tr>
      <w:tr>
        <w:trPr/>
        <w:tc>
          <w:tcPr>
            <w:tcW w:w="2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tcBorders/>
            <w:tcMar>
              <w:top w:w="0" w:type="dxa"/>
              <w:left w:w="0" w:type="dxa"/>
              <w:bottom w:w="0" w:type="dxa"/>
              <w:right w:w="0" w:type="dxa"/>
            </w:tcMar>
            <w:vAlign w:val="center"/>
          </w:tcPr>
          <w:p>
            <w:pPr>
              <w:pStyle w:val="TableContents"/>
              <w:bidi w:val="0"/>
              <w:spacing w:before="0" w:after="283"/>
              <w:jc w:val="left"/>
              <w:rPr/>
            </w:pPr>
            <w:r>
              <w:rPr/>
              <w:t> </w:t>
            </w:r>
          </w:p>
        </w:tc>
        <w:tc>
          <w:tcPr>
            <w:tcW w:w="6669"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50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Homologous Recombination Deficiency (“HRD”) Test</w:t>
            </w:r>
          </w:p>
        </w:tc>
        <w:tc>
          <w:tcPr>
            <w:tcW w:w="1035" w:type="dxa"/>
            <w:tcBorders/>
            <w:tcMar>
              <w:top w:w="0" w:type="dxa"/>
              <w:left w:w="0" w:type="dxa"/>
              <w:bottom w:w="0" w:type="dxa"/>
              <w:right w:w="0" w:type="dxa"/>
            </w:tcMar>
            <w:vAlign w:val="center"/>
          </w:tcPr>
          <w:p>
            <w:pPr>
              <w:pStyle w:val="TableContents"/>
              <w:bidi w:val="0"/>
              <w:spacing w:before="0" w:after="20"/>
              <w:ind w:left="0" w:right="0" w:firstLine="475"/>
              <w:jc w:val="right"/>
              <w:rPr>
                <w:rFonts w:ascii="Times New Roman" w:hAnsi="Times New Roman"/>
                <w:color w:val="000000"/>
                <w:sz w:val="20"/>
              </w:rPr>
            </w:pPr>
            <w:r>
              <w:rPr>
                <w:rFonts w:ascii="Times New Roman" w:hAnsi="Times New Roman"/>
                <w:color w:val="000000"/>
                <w:sz w:val="20"/>
              </w:rPr>
              <w:t>2020</w:t>
            </w:r>
          </w:p>
        </w:tc>
        <w:tc>
          <w:tcPr>
            <w:tcW w:w="6669" w:type="dxa"/>
            <w:tcBorders/>
            <w:tcMar>
              <w:top w:w="0" w:type="dxa"/>
              <w:left w:w="0" w:type="dxa"/>
              <w:bottom w:w="0" w:type="dxa"/>
              <w:right w:w="0" w:type="dxa"/>
            </w:tcMar>
            <w:vAlign w:val="center"/>
          </w:tcPr>
          <w:p>
            <w:pPr>
              <w:pStyle w:val="TableContents"/>
              <w:bidi w:val="0"/>
              <w:ind w:left="0" w:right="0" w:firstLine="475"/>
              <w:jc w:val="left"/>
              <w:rPr>
                <w:rFonts w:ascii="Times New Roman" w:hAnsi="Times New Roman"/>
                <w:color w:val="000000"/>
                <w:sz w:val="20"/>
              </w:rPr>
            </w:pPr>
            <w:r>
              <w:rPr>
                <w:rFonts w:ascii="Times New Roman" w:hAnsi="Times New Roman"/>
                <w:color w:val="000000"/>
                <w:sz w:val="20"/>
              </w:rPr>
              <w:t> A DNA-based algorithmic test that helps identify if a patient has HRD, providing a comprehensive view into a patient’s ability to repair double-stranded DNA breaks</w:t>
            </w:r>
          </w:p>
          <w:p>
            <w:pPr>
              <w:pStyle w:val="TableContents"/>
              <w:bidi w:val="0"/>
              <w:ind w:left="0" w:right="0" w:firstLine="475"/>
              <w:jc w:val="left"/>
              <w:rPr>
                <w:rFonts w:ascii="Times New Roman" w:hAnsi="Times New Roman"/>
                <w:color w:val="000000"/>
                <w:sz w:val="20"/>
              </w:rPr>
            </w:pPr>
            <w:r>
              <w:rPr>
                <w:rFonts w:ascii="Times New Roman" w:hAnsi="Times New Roman"/>
                <w:color w:val="000000"/>
                <w:sz w:val="20"/>
              </w:rPr>
              <w:t> HRD status can be used to identify patients who may be sensitive to PARP inhibitors and/or platinum-based chemotherapy</w:t>
            </w:r>
          </w:p>
          <w:p>
            <w:pPr>
              <w:pStyle w:val="TableContents"/>
              <w:bidi w:val="0"/>
              <w:ind w:left="0" w:right="0" w:firstLine="475"/>
              <w:jc w:val="left"/>
              <w:rPr>
                <w:rFonts w:ascii="Times New Roman" w:hAnsi="Times New Roman"/>
                <w:color w:val="000000"/>
                <w:sz w:val="20"/>
              </w:rPr>
            </w:pPr>
            <w:r>
              <w:rPr>
                <w:rFonts w:ascii="Times New Roman" w:hAnsi="Times New Roman"/>
                <w:color w:val="000000"/>
                <w:sz w:val="20"/>
              </w:rPr>
              <w:t> Takes into account results from our solid tumor profiling, giving a full view into commonly mutated genes in the HR-pathway, along with a genome wide l LOH score, giving a clinician a complete view of HRD status</w:t>
            </w:r>
          </w:p>
          <w:p>
            <w:pPr>
              <w:pStyle w:val="TableContents"/>
              <w:bidi w:val="0"/>
              <w:ind w:left="0" w:right="0" w:firstLine="475"/>
              <w:jc w:val="left"/>
              <w:rPr>
                <w:rFonts w:ascii="Times New Roman" w:hAnsi="Times New Roman"/>
                <w:color w:val="000000"/>
                <w:sz w:val="20"/>
              </w:rPr>
            </w:pPr>
            <w:r>
              <w:rPr>
                <w:rFonts w:ascii="Times New Roman" w:hAnsi="Times New Roman"/>
                <w:color w:val="000000"/>
                <w:sz w:val="20"/>
              </w:rPr>
              <w:t> Can be ordered across all major cancer subtypes and does not require additional tissue from the patient</w:t>
            </w:r>
          </w:p>
          <w:p>
            <w:pPr>
              <w:pStyle w:val="TableContents"/>
              <w:bidi w:val="0"/>
              <w:spacing w:before="0" w:after="20"/>
              <w:ind w:left="0" w:right="0" w:firstLine="475"/>
              <w:jc w:val="left"/>
              <w:rPr>
                <w:rFonts w:ascii="Times New Roman" w:hAnsi="Times New Roman"/>
                <w:color w:val="000000"/>
                <w:sz w:val="20"/>
              </w:rPr>
            </w:pPr>
            <w:r>
              <w:rPr>
                <w:rFonts w:ascii="Times New Roman" w:hAnsi="Times New Roman"/>
                <w:color w:val="000000"/>
                <w:sz w:val="20"/>
              </w:rPr>
              <w:t> Currently incorporating RNA into a second version of the algorithm, which is intended to improve prediction</w:t>
            </w:r>
          </w:p>
        </w:tc>
      </w:tr>
      <w:tr>
        <w:trPr/>
        <w:tc>
          <w:tcPr>
            <w:tcW w:w="2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tcBorders/>
            <w:tcMar>
              <w:top w:w="0" w:type="dxa"/>
              <w:left w:w="0" w:type="dxa"/>
              <w:bottom w:w="0" w:type="dxa"/>
              <w:right w:w="0" w:type="dxa"/>
            </w:tcMar>
            <w:vAlign w:val="center"/>
          </w:tcPr>
          <w:p>
            <w:pPr>
              <w:pStyle w:val="TableContents"/>
              <w:bidi w:val="0"/>
              <w:spacing w:before="0" w:after="283"/>
              <w:jc w:val="left"/>
              <w:rPr/>
            </w:pPr>
            <w:r>
              <w:rPr/>
              <w:t> </w:t>
            </w:r>
          </w:p>
        </w:tc>
        <w:tc>
          <w:tcPr>
            <w:tcW w:w="6669"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50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Dihydropyrimidine Dehydrogenase Deficiency (“DPYD”) Test</w:t>
            </w:r>
          </w:p>
        </w:tc>
        <w:tc>
          <w:tcPr>
            <w:tcW w:w="103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2021</w:t>
            </w:r>
          </w:p>
        </w:tc>
        <w:tc>
          <w:tcPr>
            <w:tcW w:w="6669"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color w:val="000000"/>
                <w:sz w:val="20"/>
              </w:rPr>
              <w:t xml:space="preserve"> Identifies certain alterations in the </w:t>
            </w:r>
            <w:r>
              <w:rPr>
                <w:rFonts w:ascii="Times New Roman" w:hAnsi="Times New Roman"/>
                <w:i/>
                <w:color w:val="000000"/>
                <w:sz w:val="20"/>
              </w:rPr>
              <w:t>DPYD</w:t>
            </w:r>
            <w:r>
              <w:rPr>
                <w:rFonts w:ascii="Times New Roman" w:hAnsi="Times New Roman"/>
                <w:color w:val="000000"/>
                <w:sz w:val="20"/>
              </w:rPr>
              <w:t>gene, which may be associated with a patient’s potential toxicity to 5-FU/Capecitabine chemotherapy based on the associated drug labeling and guidelines from the Clinical Pharmacogenomics Implementation Consortium, or CPIC.</w:t>
            </w:r>
          </w:p>
          <w:p>
            <w:pPr>
              <w:pStyle w:val="TableContents"/>
              <w:bidi w:val="0"/>
              <w:jc w:val="left"/>
              <w:rPr>
                <w:rFonts w:ascii="Times New Roman" w:hAnsi="Times New Roman"/>
                <w:sz w:val="20"/>
              </w:rPr>
            </w:pPr>
            <w:r>
              <w:rPr>
                <w:rFonts w:ascii="Times New Roman" w:hAnsi="Times New Roman"/>
                <w:color w:val="000000"/>
                <w:sz w:val="20"/>
              </w:rPr>
              <w:t xml:space="preserve"> Provides insight into the potential likelihood of a patient developing severe or even fatal toxicity of 5-FU/Capecitabine chemotherapy by covering five SNVs in </w:t>
            </w:r>
            <w:r>
              <w:rPr>
                <w:rFonts w:ascii="Times New Roman" w:hAnsi="Times New Roman"/>
                <w:i/>
                <w:color w:val="000000"/>
                <w:sz w:val="20"/>
              </w:rPr>
              <w:t>DPYD</w:t>
            </w:r>
            <w:r>
              <w:rPr>
                <w:rFonts w:ascii="Times New Roman" w:hAnsi="Times New Roman"/>
                <w:color w:val="000000"/>
                <w:sz w:val="20"/>
              </w:rPr>
              <w:t> genes, providing a more complete patient profile. According to CPIC, 5-7% of patients test positive for DPYD deficiency and should be considered for monitoring or dose reduction.</w:t>
            </w:r>
          </w:p>
          <w:p>
            <w:pPr>
              <w:pStyle w:val="TableContents"/>
              <w:bidi w:val="0"/>
              <w:jc w:val="left"/>
              <w:rPr>
                <w:rFonts w:ascii="Times New Roman" w:hAnsi="Times New Roman"/>
                <w:color w:val="000000"/>
                <w:sz w:val="20"/>
              </w:rPr>
            </w:pPr>
            <w:r>
              <w:rPr>
                <w:rFonts w:ascii="Times New Roman" w:hAnsi="Times New Roman"/>
                <w:color w:val="000000"/>
                <w:sz w:val="20"/>
              </w:rPr>
              <w:t> This algorithm uses sequencing data generated as a part of a separately-ordered Tempus|xT Solid Tumor + Normal test.</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 Tempus DPYD is available pan-cancer although it is most relevant in colorectal, breast, pancreatic and GI cancer patients who are being considered for treatment with 5-FU/Capecitabine chemotherapy.</w:t>
            </w:r>
          </w:p>
        </w:tc>
      </w:tr>
      <w:tr>
        <w:trPr/>
        <w:tc>
          <w:tcPr>
            <w:tcW w:w="2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tcBorders/>
            <w:tcMar>
              <w:top w:w="0" w:type="dxa"/>
              <w:left w:w="0" w:type="dxa"/>
              <w:bottom w:w="0" w:type="dxa"/>
              <w:right w:w="0" w:type="dxa"/>
            </w:tcMar>
            <w:vAlign w:val="center"/>
          </w:tcPr>
          <w:p>
            <w:pPr>
              <w:pStyle w:val="TableContents"/>
              <w:bidi w:val="0"/>
              <w:spacing w:before="0" w:after="283"/>
              <w:jc w:val="left"/>
              <w:rPr/>
            </w:pPr>
            <w:r>
              <w:rPr/>
              <w:t> </w:t>
            </w:r>
          </w:p>
        </w:tc>
        <w:tc>
          <w:tcPr>
            <w:tcW w:w="6669"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50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Times New Roman" w:hAnsi="Times New Roman"/>
                <w:color w:val="000000"/>
                <w:sz w:val="20"/>
              </w:rPr>
              <w:t>Tempus Purist</w:t>
            </w:r>
            <w:r>
              <w:rPr>
                <w:rFonts w:ascii="Times New Roman" w:hAnsi="Times New Roman"/>
                <w:color w:val="000000"/>
                <w:sz w:val="10"/>
              </w:rPr>
              <w:t>SM</w:t>
            </w:r>
          </w:p>
        </w:tc>
        <w:tc>
          <w:tcPr>
            <w:tcW w:w="1035" w:type="dxa"/>
            <w:tcBorders/>
            <w:tcMar>
              <w:top w:w="0" w:type="dxa"/>
              <w:left w:w="0" w:type="dxa"/>
              <w:bottom w:w="0" w:type="dxa"/>
              <w:right w:w="0" w:type="dxa"/>
            </w:tcMar>
            <w:vAlign w:val="center"/>
          </w:tcPr>
          <w:p>
            <w:pPr>
              <w:pStyle w:val="TableContents"/>
              <w:bidi w:val="0"/>
              <w:spacing w:before="0" w:after="20"/>
              <w:ind w:left="0" w:right="0" w:firstLine="475"/>
              <w:jc w:val="right"/>
              <w:rPr>
                <w:rFonts w:ascii="Times New Roman" w:hAnsi="Times New Roman"/>
                <w:color w:val="000000"/>
                <w:sz w:val="20"/>
              </w:rPr>
            </w:pPr>
            <w:r>
              <w:rPr>
                <w:rFonts w:ascii="Times New Roman" w:hAnsi="Times New Roman"/>
                <w:color w:val="000000"/>
                <w:sz w:val="20"/>
              </w:rPr>
              <w:t>2023</w:t>
            </w:r>
          </w:p>
        </w:tc>
        <w:tc>
          <w:tcPr>
            <w:tcW w:w="6669"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sz w:val="20"/>
              </w:rPr>
            </w:pPr>
            <w:r>
              <w:rPr>
                <w:rFonts w:ascii="Times New Roman" w:hAnsi="Times New Roman"/>
                <w:color w:val="000000"/>
                <w:sz w:val="20"/>
              </w:rPr>
              <w:t> Tempus Purist</w:t>
            </w:r>
            <w:r>
              <w:rPr>
                <w:rFonts w:ascii="Times New Roman" w:hAnsi="Times New Roman"/>
                <w:color w:val="000000"/>
                <w:sz w:val="10"/>
              </w:rPr>
              <w:t>SM</w:t>
            </w:r>
            <w:r>
              <w:rPr>
                <w:rFonts w:ascii="Times New Roman" w:hAnsi="Times New Roman"/>
                <w:color w:val="000000"/>
                <w:sz w:val="20"/>
              </w:rPr>
              <w:t> test is an algorithm that classifies pancreatic ductal adenocarcinomas (PDAC) patients into one of two subtypes (basal-like or classical).</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6"/>
        <w:gridCol w:w="904"/>
        <w:gridCol w:w="8775"/>
      </w:tblGrid>
      <w:tr>
        <w:trPr/>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904" w:type="dxa"/>
            <w:tcBorders/>
            <w:shd w:fill="FFFFFF" w:val="clear"/>
            <w:vAlign w:val="center"/>
          </w:tcPr>
          <w:p>
            <w:pPr>
              <w:pStyle w:val="TableContents"/>
              <w:bidi w:val="0"/>
              <w:spacing w:before="0" w:after="283"/>
              <w:jc w:val="left"/>
              <w:rPr>
                <w:sz w:val="4"/>
                <w:szCs w:val="4"/>
              </w:rPr>
            </w:pPr>
            <w:r>
              <w:rPr>
                <w:sz w:val="4"/>
                <w:szCs w:val="4"/>
              </w:rPr>
            </w:r>
          </w:p>
        </w:tc>
        <w:tc>
          <w:tcPr>
            <w:tcW w:w="8775" w:type="dxa"/>
            <w:tcBorders/>
            <w:shd w:fill="FFFFFF" w:val="clear"/>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Algo</w:t>
            </w:r>
          </w:p>
        </w:tc>
        <w:tc>
          <w:tcPr>
            <w:tcW w:w="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Launch Year</w:t>
            </w:r>
          </w:p>
        </w:tc>
        <w:tc>
          <w:tcPr>
            <w:tcW w:w="8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775" w:type="dxa"/>
            <w:tcBorders/>
            <w:tcMar>
              <w:top w:w="0" w:type="dxa"/>
              <w:left w:w="0" w:type="dxa"/>
              <w:bottom w:w="0" w:type="dxa"/>
              <w:right w:w="0" w:type="dxa"/>
            </w:tcMar>
            <w:vAlign w:val="center"/>
          </w:tcPr>
          <w:p>
            <w:pPr>
              <w:pStyle w:val="TableContents"/>
              <w:bidi w:val="0"/>
              <w:ind w:left="0" w:right="0" w:firstLine="475"/>
              <w:jc w:val="left"/>
              <w:rPr>
                <w:rFonts w:ascii="Times New Roman" w:hAnsi="Times New Roman"/>
                <w:color w:val="000000"/>
                <w:sz w:val="20"/>
              </w:rPr>
            </w:pPr>
            <w:r>
              <w:rPr>
                <w:rFonts w:ascii="Times New Roman" w:hAnsi="Times New Roman"/>
                <w:color w:val="000000"/>
                <w:sz w:val="20"/>
              </w:rPr>
              <w:t> Patients with the basal subtype have a worse prognosis and are less likely to benefit from FOLFIRINOX therapy than classical patients.</w:t>
            </w:r>
          </w:p>
          <w:p>
            <w:pPr>
              <w:pStyle w:val="TableContents"/>
              <w:bidi w:val="0"/>
              <w:ind w:left="0" w:right="0" w:firstLine="475"/>
              <w:jc w:val="left"/>
              <w:rPr>
                <w:rFonts w:ascii="Times New Roman" w:hAnsi="Times New Roman"/>
                <w:color w:val="000000"/>
                <w:sz w:val="20"/>
              </w:rPr>
            </w:pPr>
            <w:r>
              <w:rPr>
                <w:rFonts w:ascii="Times New Roman" w:hAnsi="Times New Roman"/>
                <w:color w:val="000000"/>
                <w:sz w:val="20"/>
              </w:rPr>
              <w:t> Uses information from nucleic acids by NGS performed as part of a separately ordered genomic or transcriptomic test.</w:t>
            </w:r>
          </w:p>
          <w:p>
            <w:pPr>
              <w:pStyle w:val="TableContents"/>
              <w:bidi w:val="0"/>
              <w:spacing w:before="0" w:after="20"/>
              <w:ind w:left="0" w:right="0" w:firstLine="475"/>
              <w:jc w:val="left"/>
              <w:rPr>
                <w:rFonts w:ascii="Times New Roman" w:hAnsi="Times New Roman"/>
                <w:color w:val="000000"/>
                <w:sz w:val="20"/>
              </w:rPr>
            </w:pPr>
            <w:r>
              <w:rPr>
                <w:rFonts w:ascii="Times New Roman" w:hAnsi="Times New Roman"/>
                <w:color w:val="000000"/>
                <w:sz w:val="20"/>
              </w:rPr>
              <w:t> USES a k-top scoring pair (k-TSP) method (8 top scoring pairs, 16 genes in total) to assign a basal probability score. Patients with a basal probability score of ≥50 are categorized as basal subtype, while those with basal probability score &lt;50 are categorized as classical subtype.</w:t>
            </w:r>
          </w:p>
        </w:tc>
      </w:tr>
    </w:tbl>
    <w:p>
      <w:pPr>
        <w:pStyle w:val="TextBody"/>
        <w:bidi w:val="0"/>
        <w:jc w:val="left"/>
        <w:rPr/>
      </w:pPr>
      <w:r>
        <w:rPr/>
        <w:t> </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Our Cardiology Algos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Heart disease is the leading cause of death in the United States. About 700,000 Americans die from heart disease annually, with more than 11% of American adults diagnosed with heart disease and millions of patients suffering 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cardiology, we ingest multimodal data and use algorithms to identify potential care gaps across 15 disease areas and continuously monitor patient data to find at-risk patients who may be falling through a care gap unbeknownst to their physician, and automatically notify care teams of any needed follow-up or disease progression. Around 150 hospitals nationwide are currently powered by Tempus Next and more than 60,000 patients are screened per month.</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We are also developing algorithmic models that aid clinicians in identifying patients at increased risk of developing atrial fibrillation, or AFib, along with a variety of other cardiac conditions. These Algos are trained using a de-identified subset from approximately 3.5 million ECGs, across more than 800,000 patients, with decades of longitudinal clinical data, including outcome and response data. The FDA granted Tempus breakthrough status for our first ECG software device, which employs a diagnostic algorithm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CHA2DS2-VASc score of ≥4)).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3"/>
        <w:gridCol w:w="741"/>
        <w:gridCol w:w="8171"/>
      </w:tblGrid>
      <w:tr>
        <w:trPr/>
        <w:tc>
          <w:tcPr>
            <w:tcW w:w="1293"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8171" w:type="dxa"/>
            <w:tcBorders/>
            <w:shd w:fill="FFFFFF" w:val="clear"/>
            <w:vAlign w:val="center"/>
          </w:tcPr>
          <w:p>
            <w:pPr>
              <w:pStyle w:val="TableContents"/>
              <w:bidi w:val="0"/>
              <w:spacing w:before="0" w:after="283"/>
              <w:jc w:val="left"/>
              <w:rPr>
                <w:sz w:val="4"/>
                <w:szCs w:val="4"/>
              </w:rPr>
            </w:pPr>
            <w:r>
              <w:rPr>
                <w:sz w:val="4"/>
                <w:szCs w:val="4"/>
              </w:rPr>
            </w:r>
          </w:p>
        </w:tc>
      </w:tr>
      <w:tr>
        <w:trPr/>
        <w:tc>
          <w:tcPr>
            <w:tcW w:w="1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Algo</w:t>
            </w:r>
          </w:p>
        </w:tc>
        <w:tc>
          <w:tcPr>
            <w:tcW w:w="7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Launch</w:t>
              <w:br/>
              <w:t>Year</w:t>
            </w:r>
          </w:p>
        </w:tc>
        <w:tc>
          <w:tcPr>
            <w:tcW w:w="8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203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Cardiology</w:t>
            </w:r>
          </w:p>
        </w:tc>
        <w:tc>
          <w:tcPr>
            <w:tcW w:w="8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Atrial Fibrillation Test</w:t>
            </w:r>
          </w:p>
        </w:tc>
        <w:tc>
          <w:tcPr>
            <w:tcW w:w="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(in</w:t>
              <w:br/>
              <w:t>clinical</w:t>
              <w:br/>
              <w:t>trial</w:t>
              <w:br/>
              <w:t>setting)</w:t>
            </w:r>
          </w:p>
        </w:tc>
        <w:tc>
          <w:tcPr>
            <w:tcW w:w="817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We have developed an algorithm designed to predict AFib from a normal ECG for certain populations.</w:t>
            </w:r>
          </w:p>
          <w:p>
            <w:pPr>
              <w:pStyle w:val="TableContents"/>
              <w:bidi w:val="0"/>
              <w:jc w:val="both"/>
              <w:rPr>
                <w:rFonts w:ascii="Times New Roman" w:hAnsi="Times New Roman"/>
                <w:color w:val="000000"/>
                <w:sz w:val="20"/>
              </w:rPr>
            </w:pPr>
            <w:r>
              <w:rPr>
                <w:rFonts w:ascii="Times New Roman" w:hAnsi="Times New Roman"/>
                <w:color w:val="000000"/>
                <w:sz w:val="20"/>
              </w:rPr>
              <w:t> About 3.5% of patients who receive ECGs appear not to have AFib but will develop AFib, acute coronary syndrome, or similar condition within one year. This Algo is designed to predict major cardiac trauma and stroke risk from these normal ECG results.</w:t>
            </w:r>
          </w:p>
          <w:p>
            <w:pPr>
              <w:pStyle w:val="TableContents"/>
              <w:bidi w:val="0"/>
              <w:jc w:val="both"/>
              <w:rPr>
                <w:rFonts w:ascii="Times New Roman" w:hAnsi="Times New Roman"/>
                <w:sz w:val="20"/>
              </w:rPr>
            </w:pPr>
            <w:r>
              <w:rPr>
                <w:rFonts w:ascii="Times New Roman" w:hAnsi="Times New Roman"/>
                <w:color w:val="000000"/>
                <w:sz w:val="20"/>
              </w:rPr>
              <w:t> The Tempus AFib test received FDA breakthrough designation in March 2021 for patients 40 years of age and older, without pre-existing or concurrent AFib or atrial flutter, and who are at elevated risk of stroke based on a commonly used clinical stroke risk assessment tool (i.e., CHA</w:t>
            </w:r>
            <w:r>
              <w:rPr>
                <w:rFonts w:ascii="Times New Roman" w:hAnsi="Times New Roman"/>
                <w:color w:val="000000"/>
                <w:sz w:val="10"/>
              </w:rPr>
              <w:t>2</w:t>
            </w:r>
            <w:r>
              <w:rPr>
                <w:rFonts w:ascii="Times New Roman" w:hAnsi="Times New Roman"/>
                <w:color w:val="000000"/>
                <w:sz w:val="20"/>
              </w:rPr>
              <w:t>DS</w:t>
            </w:r>
            <w:r>
              <w:rPr>
                <w:rFonts w:ascii="Times New Roman" w:hAnsi="Times New Roman"/>
                <w:color w:val="000000"/>
                <w:sz w:val="10"/>
              </w:rPr>
              <w:t>2</w:t>
            </w:r>
            <w:r>
              <w:rPr>
                <w:rFonts w:ascii="Times New Roman" w:hAnsi="Times New Roman"/>
                <w:color w:val="000000"/>
                <w:sz w:val="20"/>
              </w:rPr>
              <w:t>-VASc score of ≥4).</w:t>
            </w:r>
          </w:p>
          <w:p>
            <w:pPr>
              <w:pStyle w:val="TableContents"/>
              <w:bidi w:val="0"/>
              <w:spacing w:before="0" w:after="20"/>
              <w:jc w:val="both"/>
              <w:rPr>
                <w:rFonts w:ascii="Times New Roman" w:hAnsi="Times New Roman"/>
                <w:color w:val="000000"/>
                <w:sz w:val="20"/>
              </w:rPr>
            </w:pPr>
            <w:r>
              <w:rPr>
                <w:rFonts w:ascii="Times New Roman" w:hAnsi="Times New Roman"/>
                <w:color w:val="000000"/>
                <w:sz w:val="20"/>
              </w:rPr>
              <w:t> We are also advancing Algos that are designed to predict aortic stenosis, and we are working on other disease areas within cardiology, such as low ejection fraction and familial hypercholesterolemia.</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In addition to algorithms based on NGS testing or in the cardiology space, we currently offer more than 50 algorithms and are continuing to develop additional algorithms derived from radiologic images and digital pathology slides. In October 2022, we acquired Arterys, Inc., a company that provides a platform to derive insights from radiologic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 In August 2025, we acquired Paige, Inc., or Paige, a company specializing in digital pathology. Founded in 2017, Paige has developed and deployed several applications, including the first FDA-cleared AI application in pathology, allowing researchers and pathologists to better detect cancer, which enables care teams to make more precise and informed treatment decisions. Paige has developed and refined its products through a dataset that includes almost 7 million digitized pathology slide images and associated clinical and molecular data, stripped of patient identifiers to protect privacy. Leveraging a dataset of de-identified data and images that spans numerous countries and diverse genders, races, ethnicities, and regions, Paige has also developed the first million-slide foundation model for cancer, empowering researchers and life sciences companies to better understand pathology data, and enabling the advancement of drug discovery and development.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Commercialization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our two product lines.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Diagnostics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primary customers in our Diagnostics product line, which is largely made up of molecular testing in both Oncology and Hereditary, are healthcare providers, such as physicians and genetic counselors, who order our tests, and bio-pharma companies who use them to conduct research. When we sell our tests to healthcare providers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provider side, we commercialize our Diagnostics products in the United States to clinicians and healthcare providers largely through our dedicated clinical sales organization, that calls on individual doctors, genetic counselors, medical practices, or other healthcare institutions. As of December 31, 2025, our clinical sales organization in the United States included approximately 205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 with clinical specialists with extensive medical affairs experience who provide molecular support in the field.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 physician starts using Tempus, if they order more than 5 oncology NGS tests from us, their 12-month retention rate is 87%.</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we believe that interactions among treating physicians help drive adoption of our products. We are focused on key opinion leaders in the industry through direct outreach and indirect marketing efforts. As of December 31, 2025, we have either published or been acknowledged in more than 2,000 publications,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&gt;800 total peer-reviewed articles published in major journals, including publications such as </w:t>
      </w:r>
      <w:r>
        <w:rPr>
          <w:rFonts w:ascii="Times New Roman" w:hAnsi="Times New Roman"/>
          <w:i/>
          <w:color w:val="231F20"/>
          <w:sz w:val="20"/>
        </w:rPr>
        <w:t>Nature Biotechnology, Clinical Breast Cancer</w:t>
      </w:r>
      <w:r>
        <w:rPr>
          <w:rFonts w:ascii="Times New Roman" w:hAnsi="Times New Roman"/>
          <w:color w:val="231F20"/>
          <w:sz w:val="20"/>
        </w:rPr>
        <w:t xml:space="preserve">, </w:t>
      </w:r>
      <w:r>
        <w:rPr>
          <w:rFonts w:ascii="Times New Roman" w:hAnsi="Times New Roman"/>
          <w:i/>
          <w:color w:val="231F20"/>
          <w:sz w:val="20"/>
        </w:rPr>
        <w:t xml:space="preserve">Nature Medicine, </w:t>
      </w:r>
      <w:r>
        <w:rPr>
          <w:rFonts w:ascii="Times New Roman" w:hAnsi="Times New Roman"/>
          <w:color w:val="231F20"/>
          <w:sz w:val="20"/>
        </w:rPr>
        <w:t xml:space="preserve">and </w:t>
      </w:r>
      <w:r>
        <w:rPr>
          <w:rFonts w:ascii="Times New Roman" w:hAnsi="Times New Roman"/>
          <w:i/>
          <w:color w:val="231F20"/>
          <w:sz w:val="20"/>
        </w:rPr>
        <w:t>Cell</w:t>
      </w:r>
      <w:r>
        <w:rPr>
          <w:rFonts w:ascii="Times New Roman" w:hAnsi="Times New Roman"/>
          <w:color w:val="231F20"/>
          <w:sz w:val="20"/>
        </w:rPr>
        <w: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&gt;1,000 total abstracts based on clinical and research data that have been accepted and presented at major scientific conferences.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&gt;200 oral presentations at scientific meetings such as the ASCO, ASCO Gastrointestinal and Genitourinary Cancer Symposiums, San Antonio Breast Cancer Symposium, and the American Heart Association Scientific Sessions.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We have a similar strategy in neuropsychiatry, in which we aim to increase the commercial adoption of our nP test for depression as part of the rapidly growing market for pharmacogenomic testing, with a goal to better understand, diagnose and treat neuropsychiatric disorders.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commercial strategy for other disease areas is expected to follow our strategy in oncology and hereditary, which is to focus on offering a broad range of molecular diagnostics to the market, that are connected to clinical data, so we can track how molecular results correlate with outcomes and responses, thereby making our tests smarter and more personalized overtime.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Research Testing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Another component of our genomic testing involves testing performed in a research capacity, either by healthcare providers, such as academic medical centers or bio-pharma companies.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it relates to selling our Diagnostic products to bio-pharma, we have a dedicated team of sales executives focused on calling on biotech and pharmaceutical companies who use genomic sequencing services 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Data and applications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to our field sales force, our Data and applications products rely on a dedicated business development team focused on enterprise sales to pharmaceutical and biotech companies in the United States and abroad. Our strategy with each customer is to demonstrate the value proposition of our Platform, de-identified datasets, and broader product portfolio, and then to expand the utilization of our Data and applications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early stage research and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discovery of new targets and mechanisms of acquired resistance; </w:t>
      </w:r>
    </w:p>
    <w:p>
      <w:pPr>
        <w:pStyle w:val="TextBody"/>
        <w:bidi w:val="0"/>
        <w:jc w:val="left"/>
        <w:rPr>
          <w:rFonts w:ascii="Times New Roman" w:hAnsi="Times New Roman"/>
          <w:color w:val="000000"/>
          <w:sz w:val="20"/>
        </w:rPr>
      </w:pPr>
      <w:r>
        <w:rPr>
          <w:rFonts w:ascii="Times New Roman" w:hAnsi="Times New Roman"/>
          <w:color w:val="000000"/>
          <w:sz w:val="20"/>
        </w:rPr>
        <w:t xml:space="preserve"> clinical trial patient identification and enrollment;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Analytic services, including cloud and compute.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of December 31, 2025, we had approximately 30 sales executives in our Data and applications product line development organization. We divide these individuals by both geography and strategic account to ensure consistency and coordination across our sales efforts.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business development personnel contacting life sciences companies is also responsible for commercializing our Applications. Our primary Application product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we continuously seek to bring new clinical diagnostic algorithms to market. We develop Algos in three ways: (i) we may develop them internally based on our robust de-identified dataset; (ii) we may collaborate with a third party to develop Algos together (again leveraging our de-identified dataset); and (iii) we may license an existing Algo from a third party. Once we clinically validate an Algo, we typically bring it to market through our existing provider network by leveraging our Diagnostics sales force. For example, our HRD and TO Algos in oncology have been added to our standard requisition forms, online portal, and EHR integrations. Treating clinicians can order these Algos at the same time they place their standard clinical testing orders for our other Diagnostics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commercialization of future Algos will depend the nature of each and whether we are able to bill insurance separately. When we do so, we expect reimbursement will be limited for most Algos at launch and may grow over time as we build additional evidence to support the clinical utility and benefit of each Algo.</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Competition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Our Diagnostics product line primarily faces competition from diagnostics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Natera, Neogenomics,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neuropsychiatry include Myriad Genetics, Inc. and Genomind, Inc. Our primary competitors for our hereditary tests include GeneDx, Variantyx, and Baylor Genetics.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Data and applications product line primarily faces competition from companies that help pharmaceutical and biotechnology companies acquire data to inform drug discovery and development. Our main competitors in this area are Flatiron Health, Inc., IQVIA Holdings Inc., ConcertAI, and others. Our Data and applications products also face competition from CROs, such as Fortrea, ICON, Syneos, PPD, and others, who provide data and clinical trial matching services to pharmaceutical and biotechnology companies.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Applications products face competition from providers that are focused on providing laboratory testing or algorithm-based diagnostics for the disease and application areas in which our Algos are focused. With respect to Trials, our primary competitors include IQVIA, PPD, ICON and Syneos Health. With respect to Algos,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For further discussion of the risks we face relating to competition, see the section titled “Risk factors— Risks Related to Our Business and Strategy.”</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Payer coverage and reimbursement</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Clinical Testing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Laboratory tests such as our genomic tests, as with most other healthcare services, are classified for reimbursement purposes under a coding system maintained by the American Medical Association known as current procedure terminology, or CPT, which we use to bill and receive reimbursement for our tests. CPT codes are associated with the particular test that we have provided to the patient, but do not always precisely describe the testing offered.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of December 31, 2025, we had received payment on approximately 55% of our clinical oncology NGS tests and 50% of our hereditary tests across all payers performed from January 1, 2023 through December 31, 2024. We calculated this metric on a trailing basis based on payer adjudication timing. However, we continued to perform our NGS tests through December 31, 2025. For the years ended December 31, 2025, 2024 and 2023, our average reimbursement for NGS tests in oncology (i.e., excluding hereditary testing) was approximately $1,600, $1,510 and $1,450, respectively. For the year ended December 31, 2025 and 2024, our average reimbursement for NGS tests in hereditary testing was approximately $770 and $760, on a pro forma basis, for which pro forma amounts have been calculated after applying the Company's accounting policies. Our strategy to improve reimbursement is as follows:</w:t>
      </w:r>
    </w:p>
    <w:p>
      <w:pPr>
        <w:pStyle w:val="TextBody"/>
        <w:bidi w:val="0"/>
        <w:spacing w:before="2"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Continue to work with NGS, our local MAC in Chicago, to maintain coverage of current assays, obtain coverage of new assays through engagement and reconsideration requests, and to continue various appeals when coverage is denied.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Continue to work with our new MAC, Palmetto, which covers our tests when performed out of our newest lab in Raleigh, North Carolina, to get the technical assessment of our assays approved and coverage policy in place for reimbursement.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Continue to seek FDA approval of additional assays.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Continue to work with commercial payers to both get in network and get our assay approved and reimbursement at a higher rate than it currently is. </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At present, we have a team that is dedicated to the above, and if we are successful we would expect our reimbursement per assay to be more in line with other NGS providers who have adopted similar strategies, such as FMI and Guardant.</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Algos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and are reimbursed through our xR assay,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sum, we expect that reimbursement for our Diagnostics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currently perform our laboratory tests in our clinical laboratories in Chicago, Atlanta, Raleigh, Aliso Viejo, and, effective December 2025, Minneapolis, Minnesota through our acquisition of OneOme. Our Chicago, Atlanta, Raleigh, Aliso Viejo and Minneapolis laboratories are CAP-accredited and CLIA-certified, and licensed in other states including, among others, New York, California, Maryland, Pennsylvania, and Rhode Island.</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scale our laboratories have been able to achieve in the approximately 10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At present, for our xT and xF tests, our laboratory workflows enable us to successfully deliver results over 98% of the time, assuming tissue is received that meets the minimum requirements we have outlined for our assays.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2025, our average turnaround time for our xT assays was approximately nine days, and our average turnaround time for xF was approximately eight days.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Strategic Collaborations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AstraZeneca and Pathos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we entered into a series of agreements with AstraZeneca AB, or AstraZeneca, and Pathos regarding both the development of a foundation large multimodal model in the field of oncology, or the Foundation Model, and the licensing of certain de-identified multi-modal data to assist in the development of the Foundation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we entered into a Statement of Work with AstraZeneca under the previously disclosed Master Services Agreement, dated November 17, 2021, as amended in October 2022, February 2023 and December 2023 (and as further amended from time to time, together with the Statement of Work, collectively referred to herein as the MSA). Pursuant to the MSA, (i) we will ensure that Pathos develops, and we provide AstraZeneca with, a Foundation Model which has been developed, validated, and maintained using de-identified datasets contributed by us, (ii) the Foundation Model will be developed, validated, and maintained by Pathos, (iii) AstraZeneca will pay us a fee of $35 million, and (iv) a syndicate of investors including AstraZeneca will contemporaneously execute a Stock Purchase Agreement with Pathos, or the SPA, as part of a preferred stock financing round of sufficient size given the obligations described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entered into an Order Form with Pathos under the previously disclosed Amended and Restated Master Agreement, restated effective February 12, 2024, (the Amended and Restated Master Agreement and the Order Form collectively referred to herein as the “Pathos Master Agreement”). Pursuant to the Pathos Master Agreement, (i) Pathos will be responsible for Foundation Model development activities under the MSA, (ii) we will license Pathos a comprehensive de-identified multi-modal dataset for the sole purpose of assisting in the development and training of the Foundation Model under the MSA, (iii) Pathos will pay us data license fees of $200 million over a three-year period, including an upfront payment of $50 million that has been paid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2025 (iv) we will receive a license to use the Foundation Model upon its completion (with certain field restrictions and the right of sublicense to AstraZeneca), and (v) in consideration of Pathos’ commitments under the Pathos Master Agreement, we will pay Pathos $35 million, of which $25 million has been paid to date. Pathos, in its sole discretion, may pay up to 50% of the data license fees owed to us in shares of Pathos’ Series D Preferred Stock.</w:t>
      </w:r>
    </w:p>
    <w:p>
      <w:pPr>
        <w:pStyle w:val="TextBody"/>
        <w:bidi w:val="0"/>
        <w:spacing w:before="360" w:after="283"/>
        <w:jc w:val="left"/>
        <w:rPr>
          <w:rFonts w:ascii="Times New Roman" w:hAnsi="Times New Roman"/>
          <w:sz w:val="20"/>
        </w:rPr>
      </w:pPr>
      <w:r>
        <w:rPr>
          <w:rFonts w:ascii="Times New Roman" w:hAnsi="Times New Roman"/>
          <w:b/>
          <w:i/>
          <w:color w:val="231F20"/>
          <w:sz w:val="20"/>
        </w:rPr>
        <w:t>AstraZeneca</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2021, we entered into the MSA with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2026, unless terminated sooner. The minimum commitment may increase from $220 million to $320 million through December 2028 at AstraZeneca's election.</w:t>
      </w:r>
    </w:p>
    <w:p>
      <w:pPr>
        <w:pStyle w:val="TextBody"/>
        <w:bidi w:val="0"/>
        <w:spacing w:before="360" w:after="283"/>
        <w:jc w:val="left"/>
        <w:rPr>
          <w:rFonts w:ascii="Times New Roman" w:hAnsi="Times New Roman"/>
          <w:sz w:val="20"/>
        </w:rPr>
      </w:pPr>
      <w:r>
        <w:rPr>
          <w:rFonts w:ascii="Times New Roman" w:hAnsi="Times New Roman"/>
          <w:b/>
          <w:i/>
          <w:color w:val="231F20"/>
          <w:sz w:val="20"/>
        </w:rPr>
        <w:t>GlaxoSmithKline</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August 2022, we entered into a Strategic Collaboration Agreement, or, as amended in May 2024, the GSK Agreement, with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Recursion Master Agreement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Quality Assurance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 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Supply Chain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Tecan US, Inc. We rely on standard commercial carriers for the delivery of samples to our laboratories.</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 We have updated and amended the Google Cloud Agreement from time to time and signed an extension in February 2025.</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Laboratory Workflow Applications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With respect to the provision of laboratory services, in addition to Hub, our consumer- facing application, we have developed multiple software tools that facilitate back-end processing, workflow, and report generation. Our back-office software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stack was custom developed around our workflow, allowing us to automate material components of our laboratory and order generation process. The following diagram represents the software applications supporting our laboratory workflow.</w:t>
      </w:r>
    </w:p>
    <w:p>
      <w:pPr>
        <w:pStyle w:val="TextBody"/>
        <w:bidi w:val="0"/>
        <w:jc w:val="left"/>
        <w:rPr/>
      </w:pPr>
      <w:r>
        <w:rPr/>
        <w:t> </w:t>
      </w:r>
    </w:p>
    <w:p>
      <w:pPr>
        <w:pStyle w:val="TextBody"/>
        <w:bidi w:val="0"/>
        <w:jc w:val="center"/>
        <w:rPr/>
      </w:pPr>
      <w:r>
        <w:rPr/>
        <w:drawing>
          <wp:inline distT="0" distB="0" distL="0" distR="0">
            <wp:extent cx="5943600" cy="43719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4371975"/>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hAnsi="Times New Roman"/>
          <w:i/>
          <w:color w:val="231F20"/>
          <w:sz w:val="20"/>
        </w:rPr>
        <w:t xml:space="preserve">Tempus One, </w:t>
      </w:r>
      <w:r>
        <w:rPr>
          <w:rFonts w:ascii="Times New Roman" w:hAnsi="Times New Roman"/>
          <w:color w:val="231F20"/>
          <w:sz w:val="20"/>
        </w:rPr>
        <w:t>which is an application available in Hub or via mobile applications and which has AI assistant capabilities and relays information contained in our oncology reports and supporting database to physicians through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hAnsi="Times New Roman"/>
          <w:i/>
          <w:color w:val="231F20"/>
          <w:sz w:val="20"/>
        </w:rPr>
        <w:t xml:space="preserve">, </w:t>
      </w:r>
      <w:r>
        <w:rPr>
          <w:rFonts w:ascii="Times New Roman" w:hAnsi="Times New Roman"/>
          <w:color w:val="231F20"/>
          <w:sz w:val="20"/>
        </w:rPr>
        <w:t>and other similar applications we develop, thereby enhancing the amount of information readily available to our ordering physicians.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Data Structuring Applications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we perform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We have also developed data abstraction tools that leverage artificial intelligence in a manner that significantly reduces the human cost of our abstraction efforts.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Information Security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Intellectual Property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 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of December 31, 2025, our patent portfolio and patent applications included 230 issued U.S. patents and allowed applications, 210 pending U.S. non-provisional patent applications, 5 pending U.S. provisional patent applications, 18 pending Patent Cooperation Treaty (international) patent applications, 138 issued foreign patents, 341 pending foreign patent applications, 31 licensed issued U.S. patents, 22 licensed pending U.S. patent application, 17 licensed issued foreign patents and 24 licensed pending foreign patent applications. Our issued patents are expected to begin expiring in 2033, assuming payment of all appropriate maintenance, renewal, annuity or other governmental fees. These patents and applications generally fall into four broad categories:</w:t>
      </w:r>
    </w:p>
    <w:p>
      <w:pPr>
        <w:pStyle w:val="TextBody"/>
        <w:bidi w:val="0"/>
        <w:jc w:val="left"/>
        <w:rPr>
          <w:rFonts w:ascii="Times New Roman" w:hAnsi="Times New Roman"/>
          <w:color w:val="000000"/>
          <w:sz w:val="20"/>
        </w:rPr>
      </w:pPr>
      <w:r>
        <w:rPr>
          <w:rFonts w:ascii="Times New Roman" w:hAnsi="Times New Roman"/>
          <w:color w:val="000000"/>
          <w:sz w:val="20"/>
        </w:rPr>
        <w:t xml:space="preserve"> applications and patents relating to our Platform, including claims directed to product ordering processes; data processing and multimodal data analytics;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applications and patents relating to our Diagnostics business, including claims directed to detecting and monitoring cancer and other diseases by determining genetic variations and other biomarkers in biological samples;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applications and patents relating to our Data business, including claims directed to analysis of healthcare records and patient outcomes;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applications and patents related to our Algos business, including claims directed to machine learning diagnostics and predictions in cancer and cardiology. </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 xml:space="preserve">The term of individual patents depends upon the legal term of the patents in the countries in which they are obtained. In most countries in which we file or intend to file, including the United States, the patent term is 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protecting our platform, products, services, technologies and processes. In addition, any patents that we may hold, whether owned or licensed, may be challenged, circumvented or invalidated by third parties.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success of our business strategy also depends in part on our continued ability to protect our branded services, and we own registered trademarks on “TEMPUS” and product related brand names in the United States and worldwide.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Government Regulation</w:t>
      </w:r>
    </w:p>
    <w:p>
      <w:pPr>
        <w:pStyle w:val="TextBody"/>
        <w:bidi w:val="0"/>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Regulation of Medical Devices in the United States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our diagnostic products and services are subject to regulation by the FDA under the Federal Food, Drug, and Cosmetic Act of 1938 and its implementing regulations, collectively referred to as the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FDA Premarket Clearance and Approval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 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Emergency Use Authorization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pStyle w:val="TextBody"/>
        <w:bidi w:val="0"/>
        <w:jc w:val="left"/>
        <w:rPr/>
      </w:pPr>
      <w:r>
        <w:rPr/>
        <w:t> </w:t>
      </w:r>
    </w:p>
    <w:p>
      <w:pPr>
        <w:pStyle w:val="TextBody"/>
        <w:bidi w:val="0"/>
        <w:spacing w:before="34" w:after="283"/>
        <w:jc w:val="left"/>
        <w:rPr>
          <w:rFonts w:ascii="Times New Roman" w:hAnsi="Times New Roman"/>
          <w:color w:val="231F20"/>
          <w:sz w:val="20"/>
        </w:rPr>
      </w:pPr>
      <w:r>
        <w:rPr>
          <w:rFonts w:ascii="Times New Roman" w:hAnsi="Times New Roman"/>
          <w:color w:val="231F20"/>
          <w:sz w:val="20"/>
        </w:rPr>
        <w:t>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Department of Health and Human Services, or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pStyle w:val="TextBody"/>
        <w:bidi w:val="0"/>
        <w:spacing w:before="34" w:after="283"/>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FDA also may revise or revoke an EUA if the circumstances justifying its issuance no longer exist, the criteria for its issuance are no longer met, or other circumstances make a revision or revocation appropriate to protect the public health or safety.</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Clinical Trials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Post-market Regulation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After a device is cleared or approved for marketing, numerous and pervasive regulatory requirements continue to apply. These include: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establishment of registration and device listing with the FDA;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QSR requirements, which require manufacturers and contract manufacturers, including any third-party manufacturers, to follow stringent design, testing, control, documentation and other quality assurance procedures during all aspects of the design and manufacturing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labeling regulations and FDA prohibitions against the promotion of investigational products, or “off-label” uses of cleared or approved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requirements related to promotional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clearance or approval of product modifications to 510(k)-cleared devices that could significantly affect safety or effectiveness or that would constitute a major change in intended use of a cleared device;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FDA’s recall authority, whereby the agency can order device manufacturers to recall from the market a product that is in violation of governing laws and regulations;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post-market surveillance activities and regulations, which apply when deemed by the FDA to be necessary to protect the public health or to provide additional safety and effectiveness data for the device.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untitled letters, warning letters, fines, injunctions, consent decrees and civil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unanticipated expenditures to address or defend such 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customer notifications for repair, replacement, refunds;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recall, withdrawal, administrative detention or seizure;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operating restrictions or partial suspension or total shutdown of production;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refusal of or delay in granting our requests for 510(k) clearance or PMA approval of new tests or modified tests;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operating restrictions, partial suspension or total shutdown of production;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withdrawing 510(k) clearance or PMA approvals that are already granted;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refusal to grant export approval;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criminal prosecution.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Laboratory-Developed Tests (LDTs)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LDTs have generally been considered to be tests that are designed, developed, validated and used within a single laboratory. The FDA previously took takes the position that it had the authority to regulate such tests as medical devices under the FDCA. The FDA also historically exercised enforcement discretion and did not required clearance or approval of LDTs prior to marketing. On May 6, 2024, the FDA published final regulations that purported to phase-out enforcement discretion over a period of four years and required compliance with device registration and listing requirements, medical device reporting requirements, 510(k) clearance, denovo authorization or Premarket Approval and the requirements of the FDA’s Quality System Regulation. In March 2025, however, a federal district court in the Northern District of Texas invalidated the proposed rule and held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did not have the authority to regulate laboratory tests under the FDCA. In addition, the New York Clinical Laboratory Evaluation Program separately approves certain LDTs offered to New York State patients.</w:t>
      </w:r>
    </w:p>
    <w:p>
      <w:pPr>
        <w:pStyle w:val="TextBody"/>
        <w:bidi w:val="0"/>
        <w:jc w:val="left"/>
        <w:rPr/>
      </w:pPr>
      <w:r>
        <w:rPr/>
        <w:t> </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CLIA and State Laboratory Licensing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Raleigh, North Carolina, Aliso Viejo, California and Minneapolis, Minnesota. To renew our CLIA certificate, we are subject to survey and inspection every two years to assess compliance with program standards.</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Laboratories performing high complexity testing are required to meet more stringent requirements than laboratories performing less complex tests. In addition, a laboratory that is certified as “high complexity” under 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hAnsi="Times New Roman"/>
          <w:b/>
          <w:color w:val="231F20"/>
          <w:sz w:val="20"/>
        </w:rPr>
        <w:t>.</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Atlanta, Georgia, Raleigh, North Carolina, Aliso Viejo, California and Minneapolis, Minnesota laboratories. In order to maintain CAP accreditation, we are subject to survey for compliance with CAP standards every two years. Failure to maintain CAP accreditation could have a material adverse effect on the sales of our tests and the results of our operations.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Federal and State Health Care Laws</w:t>
      </w:r>
    </w:p>
    <w:p>
      <w:pPr>
        <w:pStyle w:val="TextBody"/>
        <w:bidi w:val="0"/>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Federal Physician Self-Referral Prohibition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 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Federal Anti-Kickback Law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Anti-Kickback Statute, or AKS,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Other Health Care Laws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to the requirements discussed above, several other health care fraud and abuse laws could have an effect on our business.</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and covered subcontractors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Also, many states have laws similar to those listed above that may be broader in scope and may apply regardless of payer.</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or RSUs,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 oversight and reporting obligations, limitations to the sale of certain products or services, diminished profits and future earnings, and the curtailment or restructuring of our operations.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Data Privacy and Security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the ordinary course of our business, we may process personal or sensitive data. Accordingly, we are, and may in the future become, subject to numerous federal, state, local and foreign laws, regulations, standards, and guidance regarding data privacy and security. Such obligations may include, without limitation, the Federal Trade Commission Act, the Telephone Consumer Protection Act of 1991, the Children’s Online Privacy Protection Act of 1998, the Controlling the Assault of Non-Solicited Pornography And Marketing Act of 2003, the California Consumer Privacy Act of 2018, or CCPA, the Canadian Personal Information Protection and Electronic Documents Act, Canada’s Anti-Spam Legislation, the European Union’s General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Data Protection Regulation 2016/679, or EU GDPR, the EU GDPR as it forms part of United Kingdom, or UK law by virtue of section 3 of the European Union (Withdrawal) Act 2018 or UK GDPR, the ePrivacy Directive, and the Payment Card Industry Data Security Standard, or PCI DSS. In addition,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 failure to comply with these laws, where applicable, can result in material adverse effects to our business, including the imposition of significant civil and/or criminal penalties and private litigation.</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Outside the United States, there are an increasing number of laws and regulations governing the collection, use and processing of personal data. For example, under the EU GDPR</w:t>
      </w:r>
      <w:r>
        <w:rPr>
          <w:rFonts w:ascii="Times New Roman" w:hAnsi="Times New Roman"/>
          <w:color w:val="000000"/>
          <w:sz w:val="20"/>
        </w:rPr>
        <w:t>,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r>
        <w:rPr>
          <w:rFonts w:ascii="Times New Roman" w:hAnsi="Times New Roman"/>
          <w:color w:val="231F20"/>
          <w:sz w:val="20"/>
        </w:rPr>
        <w:t>.</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For more information regarding risks relating to data privacy and security, see “Risk Factors – Risks Related to Our Highly Regulated Industry–We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Health Reform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Since its enactment, there have been efforts to repeal, replace, and amend all or part of the ACA. For example, on July 4, 2025, the One Big Beautiful Bill Act, or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unclear how any such challenges and litigation, and the healthcare reform measures of the current administration will impact the ACA.</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 unless additional Congressional action is taken.</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current administration is pursuing policies to reduce regulations and expenditures across government agencies including at the Department of Health and Human Services, the FDA, CMS and related agencies. Such actions and policies may, among other things, significantly reduce U.S. medical device prices, potentially impacting manufacturers’ global pricing strategies and profitability, while increasing their operational costs and compliance risks.</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We expect that additional state, federal, and foreign healthcare reform measures will be adopted in the future.</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Coverage and Reimbursement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Although we are a participating provider with several commercial payers, some large commercial payers have issued non-coverage policies that consider tissue and liquid comprehensive genomic profile testing, including certain of our Diagnostics tests, as experimental or investigational.</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2025, Medicare claims represented 26% of our clinical oncology testing volume and 10% of our hereditary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 xml:space="preserve">For example, Medicare’s NCD for NGS, first established in 2018 and subsequently updated in 2020, states that NGS oncology tests (such as our xT and xF tests), would be covered by Medicare nationally if and when: (1) performed in a CLIA-certified laboratory, (2) ordered by a treating physician, (3) the patient meets certain clinical and treatment criteria,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 xml:space="preserve">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meets the criteria for reimbursement under the NCD. In addition, effective July 1, 2024, our xT CDX assay was awarded Advanced Diagnostic Laboratory Test status by CMS. The NGS NCD also states that each MAC may provide local coverage of other NGS tests for cancer patients only when the test is performed by a CLIA-certified laboratory, ordered by a treating physician and the patient meets the same clinical and treatment criteria required of nationally covered NGS tests under the NGS NCD. </w:t>
      </w:r>
    </w:p>
    <w:p>
      <w:pPr>
        <w:pStyle w:val="TextBody"/>
        <w:bidi w:val="0"/>
        <w:jc w:val="left"/>
        <w:rPr/>
      </w:pPr>
      <w:r>
        <w:rPr/>
        <w:t>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National Government Services, Inc. is the local MAC that makes local coverage determinations, or LCDs, for tests conducted at our Chicago laboratory. National Government Services has issued two LCDs related to genetic testing in cancer, each of which currently requires claims to be submitted under a single current procedural terminology, or CPT, code that describes the test. Since issuing the LCDs, National Government Services has, from time to time, issued modifications and interpretations of the LCDs and associated guidance documents that may impact how we bill for, and how National Government Services reimburses, our diagnostic tests.</w:t>
      </w:r>
    </w:p>
    <w:p>
      <w:pPr>
        <w:pStyle w:val="TextBody"/>
        <w:bidi w:val="0"/>
        <w:jc w:val="left"/>
        <w:rPr>
          <w:rFonts w:ascii="Times New Roman" w:hAnsi="Times New Roman"/>
          <w:color w:val="231F20"/>
          <w:sz w:val="20"/>
        </w:rPr>
      </w:pPr>
      <w:r>
        <w:rPr>
          <w:rFonts w:ascii="Times New Roman" w:hAnsi="Times New Roman"/>
          <w:color w:val="231F20"/>
          <w:sz w:val="20"/>
        </w:rPr>
        <w:t>Palmetto is the MAC jurisdiction that determines reimbursement for tests conducted at our Raleigh and Atlanta laboratories. Noridian is the MAC jurisdiction that determines reimbursement for tests conducted at our Aliso Viejo laboratory. Both Palmetto and Noridian are subject to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w:t>
      </w:r>
    </w:p>
    <w:p>
      <w:pPr>
        <w:pStyle w:val="TextBody"/>
        <w:bidi w:val="0"/>
        <w:jc w:val="left"/>
        <w:rPr/>
      </w:pPr>
      <w:r>
        <w:rPr/>
        <w:t>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 xml:space="preserve">Other factors, beyond the NCD and applicable LCD’s, impact how we bill for our tests, whether they are reimbursed by third party-payors, and the amount we receive from government payors. For example, CMS has specific processes, such as the gapfill process, for determining the amount we are reimbursed for certain laboratory tests. In addition, certain CMS regulations prevent us from billing Medicare directly for tests provided to Medicare beneficiaries in certain situations when the test is ordered as part of a beneficiary’s inpatient stay at a hospital. At the same time, CMS has adopted an exception to its laboratory date of service rules, and if certain conditions are met, molecular testing laboratories such as us can rely on that exception to bill Medicare directly, instead of seeking payment from the hospital. If this exception is repealed or curtailed by CMS, if the laboratory date of service regulation is otherwise changed to adversely impact our ability to bill Medicare directly, or if we incorrectly implement billing procedures related to the date of service exception, our revenue could be materially reduced, and we could be subject to further regulatory actions. </w:t>
      </w:r>
    </w:p>
    <w:p>
      <w:pPr>
        <w:pStyle w:val="TextBody"/>
        <w:bidi w:val="0"/>
        <w:spacing w:before="80" w:after="283"/>
        <w:jc w:val="left"/>
        <w:rPr>
          <w:rFonts w:ascii="Times New Roman" w:hAnsi="Times New Roman"/>
          <w:color w:val="231F20"/>
          <w:sz w:val="20"/>
        </w:rPr>
      </w:pPr>
      <w:r>
        <w:rPr>
          <w:rFonts w:ascii="Times New Roman" w:hAnsi="Times New Roman"/>
          <w:color w:val="231F20"/>
          <w:sz w:val="20"/>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coverage policies and third-party reimbursement rates may change at any time. Even if favorable coverage and reimbursement status is attained for one or more of our tests, less favorable coverage policies and reimbursement rates may be implemented in the future. We cannot predict whether, under what circumstances, or at what price levels payers will cover and reimburse our tests.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Employees and Human Capital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December 31, 2025, we had more than 3,800 employees, of which 1,232 were technical and were engaged in product and engineering, and research and development. As of December 31, 2025, 1,163 employees were based at our headquarters in Chicago, Illinois, 264 employees were based in Orange County, California and 130 employees were based in Raleigh, North Carolina. Some of our laboratory employees in our Chicago location are represented by a labor union and covered under a collective bargaining agreement that we entered into with the International Association of Machinists and Aerospace Workers, or IAM. Even though we are currently unaware of other unionization efforts, it is possible that other employees may also seek to unionize. We consider our relationship with our employees to be positive.</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by Eric Lefkofsky under the name Bioin, LLC in Delaware in August 2015. We converted to a Delaware corporation in September 2015 under the name Bioin, Inc., and later changed our name to Tempus Health, Inc. in 2015, to Tempus Labs, Inc. in 2016, and to Tempus AI, Inc. in 2023. Effective August 7, 2025, we reincorporated, by conversion, from a Delaware corporation to a Nevada corporation. Our principal executive offices are located at 600 West Chicago Avenue, Suite 510 Chicago, Illinois 60654, and our telephone number is (800) 976-5448. Our website address is www.tempus.com. Information contained on, or that can be accessed through, our website is not incorporated by reference into this Annual Report on Form 10-K, and you should not consider information on our website to be part hereof. We completed our IPO in June 2024, and our Class A common stock is listed on the Nasdaq Global Select Market under the symbol “TEM.”</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The Tempus logo, “Tempus” </w:t>
      </w:r>
      <w:r>
        <w:rPr>
          <w:rFonts w:ascii="Times New Roman" w:hAnsi="Times New Roman"/>
          <w:color w:val="231F20"/>
          <w:sz w:val="20"/>
        </w:rPr>
        <w:t>and</w:t>
      </w:r>
      <w:r>
        <w:rPr>
          <w:rFonts w:ascii="Times New Roman" w:hAnsi="Times New Roman"/>
          <w:color w:val="000000"/>
          <w:sz w:val="20"/>
        </w:rPr>
        <w:t xml:space="preserve"> our other registered and common law trade names, trademarks and service marks are the property of Tempus AI, Inc. or our subsidiaries. Other trade names, trademarks and service marks used herein are the property of their respective owners.</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announce material information to the public through filings with the Securities and Exchange Commission, or the SEC, on the investor relations page of our website, which is located at investors.tempus.com,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 We file electronically with the SEC, our Annual Reports on Form 10-K, Quarterly Reports on Form 10-Q, Current Reports on Form 8-K and amendments to these reports filed or furnished pursuant to Section13(a) or 15(d) of the Exchange Act. We make available on our investor relations website, free of charge, copies of these reports and other information as soon as reasonably practicable after we file such material with or furnish it to the SEC. The SEC also maintains a website that contains our SEC filings at www.sec.gov. Information found on, or accessible through these websites is not part of, and is not incorporated into, this Annual Report on Form 10-K or in any other report or document we file.</w:t>
      </w:r>
    </w:p>
    <w:p>
      <w:pPr>
        <w:pStyle w:val="TextBody"/>
        <w:bidi w:val="0"/>
        <w:jc w:val="left"/>
        <w:rPr/>
      </w:pPr>
      <w:r>
        <w:rPr/>
        <w:t> </w:t>
      </w:r>
    </w:p>
    <w:p>
      <w:pPr>
        <w:pStyle w:val="TextBody"/>
        <w:bidi w:val="0"/>
        <w:spacing w:before="120" w:after="283"/>
        <w:jc w:val="left"/>
        <w:rPr>
          <w:rFonts w:ascii="Times New Roman" w:hAnsi="Times New Roman"/>
          <w:sz w:val="20"/>
        </w:rPr>
      </w:pPr>
      <w:bookmarkStart w:id="3" w:name="item_1a_risk_factors"/>
      <w:bookmarkEnd w:id="3"/>
      <w:r>
        <w:rPr>
          <w:rFonts w:ascii="Times New Roman" w:hAnsi="Times New Roman"/>
          <w:b/>
          <w:color w:val="000000"/>
          <w:sz w:val="20"/>
        </w:rPr>
        <w:t>Item 1A. Risk Fact</w:t>
      </w:r>
      <w:bookmarkStart w:id="4" w:name="risk_factors"/>
      <w:bookmarkEnd w:id="4"/>
      <w:r>
        <w:rPr>
          <w:rFonts w:ascii="Times New Roman" w:hAnsi="Times New Roman"/>
          <w:b/>
          <w:color w:val="000000"/>
          <w:sz w:val="20"/>
        </w:rPr>
        <w: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 description of the risks and uncertainties associated with our business is set forth below. You should carefully consider the risks described below as well as the other information in this Annual Report on Form 10-K, including our consolidated financial statements and the notes thereto, and “Management’s Discussion and Analysis of Financial Condition and Results of Operations.” The occurrence of any of the events or developments described below could adversely affect our business, results of operations, financial condition, reputation, and prospects. In such an event, the market price of our Class A common stock could decline, and you may lose all or part of your investment.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Summary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numerous risks and uncertainties, including those described more fully below in this Annual Report on Form 10-K. The following is a summary of principal risks and uncertainties that could materially adversely affect our business, financial condition, and results of operations. This summary should be read in conjunction with the rest of Item 1A. Risk Factors and should not be relied upon as an exhaustive summary of the material risks and uncertainties facing our business.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have incurred significant losses since inception, we may continue to incur losses in the future, and we may not be able to generate sufficient revenue to achieve and maintain profitability.</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Our current or future products may not achieve or maintain sufficient commercial market acceptance.</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Our operating results may fluctuate significantly, which makes our future operating results difficult to predict and could cause our operating results to fall below expectations or any guidance we may provide.</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The success of our business depends on our continued access to, and ability to monetize, de-identified patient data.</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Our limited operating history and rapid growth make it difficult to evaluate our future prospects and the risks and challenges we may encounter.</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may need to raise additional capital to fund our existing operations, develop our Platform, commercialize new products or expand our operations.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Our Applications product line is nascent.</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Our diagnostic products, or our competitors’ diagnostic products, could have defects or errors or otherwise fail to meet the expectations of patients, physicians and third-party payers; in such cases our operating results, reputation and business could suffer.</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If we are unable to obtain or maintain adequate reimbursement for our Diagnostics product line outside of the United States, our ability to expand internationally will be compromised.</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Labor relations matters could have a material adverse effect on our business, reputation, prospects, results of operations and financial condition.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use AI in our products and services which may result in operational challenges, legal liability, reputational concerns and competitive risks.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If we cannot compete successfully with our competitors, we may be unable to increase or sustain our revenue or to achieve and then sustain profitability.</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The industries in which we operate are subject to rapid change, which could make our Platform, our current products and any future products we may develop obsolete.</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Our existing and any future debt may affect our flexibility in operating and developing our business and our ability to satisfy our obligations.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rely on a limited number of suppliers or, in some cases, sole suppliers, for some of our laboratory instruments and materials and may not be able to find replacements or promptly transition to alternative suppliers.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International expansion of our business exposes us to business, regulatory, political, operational, financial, and economic risks associated with doing business outside of the United States.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conduct business in a heavily regulated industry, and changes in regulations or violations of regulations may, directly or indirectly, reduce our revenue, adversely affect our business, financial condition and results of operations.</w:t>
      </w:r>
      <w:r>
        <w:rPr>
          <w:color w:val="00000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Certain of our tests are currently marketed as LDTs, and future changes in FDA enforcement discretion for LDTs could subject our operations to much more significant regulatory requirements.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are and may in the future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and may in the future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The dual class structure of our common stock has the effect of concentrating voting control with our Chief Executive Officer, Founder and Chairman, which will limit your ability to influence the outcome of important decisions.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Our stock price may be volatile, and the value of our Class A common stock may decline.</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depend on information technology systems, including on-premises, co-located and third-party data centers and platforms, and any interruptions of service or failures may impair and harm our business, financial condition and results of operations.</w:t>
      </w:r>
      <w:r>
        <w:rPr>
          <w:color w:val="00000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significant losses since inception, we may continue to incur losses in the future, and we may not be able to generate sufficient revenue to achieve and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losses since our inception. For the years ended December 31, 2025, 2024 and 2023, we incurred net losses of $245.0 million, $705.8 million and $214.1 million, respectively. As of December 31, 2025, we had an accumulated deficit of $2.4 billion. To date, we have financed our operations principally from the sale of stock and convertible securities, the incurrence of debt and revenue from our Diagnostics and Data and applications businesses.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or certification for our diagnostic tests, sales and marketing activities for our Diagnostics and Data and applications businesses. We will need to generate substantial revenue to achieve and then sustain profitability, and even if we achieve profitability, we cannot be sure that we will remain profitable for any period of time.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or future products may not achieve or maintain sufficient commercial market acceptance.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commercial success is dependent upon our ability to continue to successfully market and sell our current Diagnostics products, including both Oncology testing (legacy Tempus) and Hereditary testing (legacy Ambry Genetics), to continue to grow our Data and applications business by expanding our current relationships and developing new relationships with clinicians and pharmaceutical and biotechnology customers, and to develop and commercialize new products based on our Platform, including by expanding our Diagnostics product line to new disease areas and by advancing our Applications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line. Our ability to achieve and maintain sufficient commercial market acceptance of our existing and future products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increase awareness of our Diagnostics and algorithmic diagnostic tests and other Applications, including new product offerings as they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of adoption and/or endorsement of our Diagnostics and algorithmic diagnostic tests and Applications by clinicians, pharmaceutical and biotechnology companies, KOLs, and advocacy groups;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scope of obtaining any necessary approvals or certification by regulatory authorities, including the FDA, for our diagnostic tests, any software offerings, Applications, or any features of our Platform, in each case, that may be subject to regulatory oversight;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positive coverage decisions for our tests from additional commercial payers and to broaden the scope of indications included in such coverage decisions;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reimbursement and expanded coverage from government payers, including Medicare or comparable foreign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increase demand for our Data and applications business, including by expanding our database of de- identified patient information and increasing the utility of our product offerings;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expand into new disease areas, including neuropsychiatry, cardiology, radiology, digital pathology, and other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build and maintain robust data sets with respect to patient populations in geographic regions that we may seek to enter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our investments in Platform development, product innovation and commercial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perception of our products, those of our competitors and the industry in which we operate, including our ability to avoid adverse publicity from defects or errors;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further validate our Platform through clinical research and accompanying publications.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any guidance we may provide.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development, regulatory approval or certification and commercialization activities relating to our Platform and products,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volume and customer mix of our Diagnostics, algorithmic diagnostic testing and other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start and completion of projects in which our Data and applications products are utilized;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introduction of new products or product enhancements by us or others in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policies with respect to our products and products that compete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governmental regulations, including with respect to privacy and data security and medical device regulation, and our compliance therewith, or in the status of our regulatory approvals, certifications or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disruptions in the business and operations of our clinical, commercial and other partners;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natural disasters, political and economic instability, including wars (such as the armed conflict between Russia and Ukraine and the hostilities in the Middle East), terrorism, and political unrest, epidemics or pandemics, boycotts, curtailment of trade and other business restrictions;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conditions, including fluctuations in inflation and interest rates, government bank closures, liquidity concerns at other financial institutions, and other factors, including factors unrelated to our operating performance or the operating performance of our competitors, which may impact not only our business, but the value of our marketable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it is difficult to predict the amounts, if any, we will be able to collect for our diagnostic tests from commercial payers. We are a participating network provider in a small number of commercial payers from whom we receive reimbursement for our diagnostic tests. Payers determine the amount they are willing to reimburse us for tests. We have provided testing to patients with many disease types and indications, most of the 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demand for our Diagnostics and Data and applications products will depend in part upon the research and development and clinical budgets of pharmaceutical and biotechnology customers, which are impacted by factors beyond our control,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government programs (such as the National Institutes of Health) that provide funding to research institutions and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macroeconomic conditions (including any impact of unforeseen events such as the armed conflict between Russia and Ukraine and the hostilities in the Middle East), the political climate and the impact of public health emergencies such as the COVID-19 pandemic, tariffs and trade restrictions, inflation rates and, interest rates, government closures of banks and liquidity concerns at other financial institutions;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regulatory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differences in budgetary cycles;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 products or pricing;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market-driven pressures to consolidate operations and reduce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acceptance of relatively new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Uncertainty in the current political environment could also impact our business. In addition to potential changes in government programs and the research and development and clinical budgets of our potential customers, changes in government staffing or funding levels could affect various aspects of our business. For example, the reimbursement rates we receive from government payers may experience downward pressures, and certain of our products that require government review or approval may experience delays in obtaining requisite authorizations. Conversely, the government may implement programs to accelerate the adoption of artificial intelligence within the healthcare industry, which could have a favorable impact on our operations. Given these uncertainties, it is impossible to predict how a shifting political environment may influence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operating results may fluctuate significantly due to reductions and delays in research and development or clinical expenditures by our customers. Further, many of our data licensing agreements allow us to deliver data to our customers over a period of time, which can span a year or longer. Revenue pursuant to our data licensing agreements is recognized upon delivery of the data to the customer, upon completion of performance obligations for related services, or ratably over time in the case of subscriptions. The actual timing of data deliveries can be based on a variety of factors, including, but not limited to, the customer’s requirements and/or our technological, operational, and human capital capacity; in addition, management assesses relevant contractual terms in contracts with customers and applies significant judgment in identifying and accounting for all terms and conditions in certain contracts.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Class A common stock could decline substantially. Such a stock price decline could occur even when we have met any previously publicly stated guidance we may provide. </w:t>
      </w:r>
    </w:p>
    <w:p>
      <w:pPr>
        <w:pStyle w:val="TextBody"/>
        <w:bidi w:val="0"/>
        <w:spacing w:before="360" w:after="283"/>
        <w:jc w:val="left"/>
        <w:rPr>
          <w:rFonts w:ascii="Times New Roman" w:hAnsi="Times New Roman"/>
          <w:sz w:val="20"/>
        </w:rPr>
      </w:pPr>
      <w:r>
        <w:rPr>
          <w:rFonts w:ascii="Times New Roman" w:hAnsi="Times New Roman"/>
          <w:b/>
          <w:i/>
          <w:color w:val="000000"/>
          <w:sz w:val="20"/>
        </w:rPr>
        <w:t>The success of our business depends on our continued access to, and ability to monetize, de-identified patient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relies on our ability to obtain, process, monetize and distribute highly regulated data in the healthcare industry, in a manner that complies with applicable laws, regulations and contractual and technological restrictions. The data that we collect through the provision of Diagnostics tests and through other sources is critical to our ability to offer the products and services across both of our product lines.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successfully in build and maintain sufficiently large relevant data sets and obtain the permissions necessary to de-identify and use that data for commercial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maintain, expand and monetize our datasets is subject to a number of factors, many of which are outside of our control. With respect to data included in our Data and applications products, we rely on a combination of the statutory rights available to us as a HIPAA covered entity and as a Health Insurance Portability and Accountability Act, or HIPAA, business associate. As a HIPAA covered entity, we utilize data generated through our provision of Diagnostics tests. As a HIPAA business associate, we may rely on healthcare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(including the development of foundation models, which depend on our ability to leverage de-identified data), or otherwise limit data-driven activities that benefit us. Moreover, due to lack of valid notice, sufficient consents or waiver, we may be subject to claims or liability for use or disclosure of data or other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dependent on the healthcare institutions within our network continuing to provide us with broad access to multimodal data to support the robustness of our Diagnostics tests and other offerings, as well as on establishing and maintaining our collaborations with third party organizations with access to large, multimodal datasets,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Diagnostics testing, along with corresponding clinical data we may have structured as part of providing testing also may allow those providers to use data in ways that may be harmful to our business interests.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are insufficient, or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continued adoption of our products and services is dependent on a number of factors, many of which are interrelated.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execute our growth strategy and become profitable is highly dependent on a number of factors, many of which are interrelated.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Continued adoption and use of our Diagnostics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those providers, if at all, which could in turn hinder the growth of sales of our tests. If we are unable to achieve commercial success for our tests, our business, financial condition and results of operations would be materially and adversely affected. We are also particularly dependent on our clinical oncology and hereditary tests, which collectively accounted for 74%, 63% and 63% of our revenue in the years ended December 31, 2025, 2024 and 2023, respectively. We cannot ensure that our oncology and hereditary tests will continue to maintain or gain market acceptance, and any failure to do so would materially harm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Continued adoption of and use of our Data and applications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but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scope and robustness of the Data and applications products that we can offer our customers also depend significantly on the continued success of our Diagnostics product line, as the data that we collect through genomic testing is an essential component of our Data and applications products. Further, we believe that growth in the use of our Data and applications products will help drive awareness and adoption of our Diagnostics product line, which in turn will drive further growth within our Data and applications product line. However, there can be no assurance that we will realize these synergies.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limited operating history and rapid growth make it difficult to evaluate our future prospects and the risks and challenges we may encounter.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and research and development efforts as contemplated elsewhere in this Annual Report on Form 10-K.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need to raise additional capital to fund our existing operations, develop our Platform, commercialize new products or expand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raise additional capital in the future to expand our business, meet existing obligations, pursue acquisitions or strategic investments, or take advantage of financing opportunities or for other reasons, including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our sales and marketing efforts to drive market adoption of our current products and services, and address competitive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fund development and marketing efforts of our products under development or any other future products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license or invest in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invest in complementary businesses or assets;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finance capital expenditures and general and administrative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present and future funding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revenue growth and favorable gross profits;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rate of progress in establishing payer coverage and reimbursement arrangements with domestic and international commercial payers and government payers;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expanding our laboratory operations and product offerings, including our sales and marketing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rate of progress in, and costs of our sales and marketing activities associated with, establishing adoption of and reimbursement for our current products, including our diagnostic tests and our data analytics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at which we choose to advance, rate of progress in, and costs of our research and development activities associated with, products in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our international expansion;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costs of, and delays in product development as a result of any existing or new regulatory oversight applicable to our products. </w:t>
      </w:r>
    </w:p>
    <w:p>
      <w:pPr>
        <w:pStyle w:val="TextBody"/>
        <w:bidi w:val="0"/>
        <w:spacing w:before="240" w:after="283"/>
        <w:jc w:val="left"/>
        <w:rPr>
          <w:rFonts w:ascii="Times New Roman" w:hAnsi="Times New Roman"/>
          <w:sz w:val="20"/>
        </w:rPr>
      </w:pPr>
      <w:r>
        <w:rPr>
          <w:rFonts w:ascii="Times New Roman" w:hAnsi="Times New Roman"/>
          <w:color w:val="000000"/>
          <w:sz w:val="20"/>
        </w:rPr>
        <w:t>We are party to a credit agreement with Ares Capital Corporation, under which we have $206.0 million outstanding in term loans and $100.0 million outstanding in revolving credit facility as of December 31, 2025. We also have $750.0 million outstanding aggregate principal amount of 0.75% Convertible Senior Notes due 2030. In addition, we are party to a Controlled Equity Offering</w:t>
      </w:r>
      <w:r>
        <w:rPr>
          <w:rFonts w:ascii="Times New Roman" w:hAnsi="Times New Roman"/>
          <w:color w:val="000000"/>
          <w:sz w:val="13"/>
        </w:rPr>
        <w:t>SM</w:t>
      </w:r>
      <w:r>
        <w:rPr>
          <w:rFonts w:ascii="Times New Roman" w:hAnsi="Times New Roman"/>
          <w:color w:val="000000"/>
          <w:sz w:val="20"/>
        </w:rPr>
        <w:t xml:space="preserve">Sales Agreement, or the Sales Agreement, with Morgan Stanley &amp; Co., LLC, Cantor Fitzgerald &amp; Co., TD Securities (USA), LLC and Allen &amp; Company LLC, as sales agents, or collectively, the Sales Agents, pursuant to which we may offer and sell from time to time, at our option, shares of Class A common stock through the Sales Agents, or the ATM, having an aggregate offering price of up to $500.0 million. In addition to the foregoing sources of capital, we may seek to sell equity securities, through the ATM or otherwise, or convertible securities, enter into additional credit facilities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Applications product line is nascent.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commercialized algorithms within our Applications product line. Revenue generated from Applications is reported within our Data and applications product line and was $20.2 million, $12.4 million and $5.5 million for the years ended December 31, 2025, 2024 and 2023, respectively, which represents 1.6%, 1.8% and 1.0% of our total revenue in each period. We have a number of additional algorithms in development and we may not be successful in developing and commercializing these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algorithms, or in attaining our other development targets. Further, the scope and robustness of the Applications that we can offer our customers depend significantly on the continued success of our Diagnostics product line and access to third-party data, of which there can be no assurance. We also cannot accurately estimate how our future Applications will be priced, whether reimbursement can be obtained or whether we will generate any revenue from such Applications. Further, the use of diagnostics that are entirely algorithmic in nature is novel which (a) today represents only a small proportion of the diagnostics market (b) may be subject to existing and entirely new regulations that may substantially impact their adoption, use, reimbursement and ongoing viability, and (c) involves nascent billing and reimbursement policies, which could limit their adoption, use, and reimbursement. While we believe Applications represent a significant long-term opportunity for us, there can be no assurances that a robust and sustained market for such diagnostics will develop or that we will successfully compete in any such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New product development and commercialization involve a lengthy and complex process and we may be unable to develop or commercialize new products on a timely basis,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that are under development have taken time and considerable resources to develop, and we may not be able to complete the development and commercialization of such products on a timely basis,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we can commercialize any new Diagnostics or algorithmic diagnostic products, we will need to expend significant funds in order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substantial research and development, including validation studies and, in some cases,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develop and scale our laboratory or algorithmic processes to accommodate diagnostic tests in additional disease areas;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develop and scale our infrastructure to be able to analyze increasingly large amounts of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diagnostic product development process involves a high degree of risk, and product development efforts may fail for many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the diagnostic product to perform as expected, including defects and errors;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lack of validation data or validation activities that subsequently may be challenged or questioned;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demonstrate the clinical utility of the diagnostic test.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Expanding the offerings of our Data and applications business is also a speculative and risky endeavor and may require us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additional access to patient healthcare information that is relevant to the products we offer;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correctly identify current and future customer needs and preferences;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allocate our research and development funding to areas with higher growth prospects;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anticipate and respond to our competitors’ development of new products and technological innovations.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develop our products, we have made and will have to continue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Applications business, and we may exert limited or no control over such development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our development and commercialization plans for our offerings, we may forego other opportunities that may provide greater revenue or be more profitable. For example, while we expect to continue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updating or otherwise enhancing our Platform and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developed multiple genomics diagnostics tests across oncology (including hereditary tests, infectious diseases, and neuropsychiatry, as well as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Notified Bodies’ and other regulatory bodies’ clearances, authorizations, certifications or approvals before we can market the updated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FDA’s and Notified Bodies’ clearance, authorization, approval or certification pathways are likely to require significant time and expenditures. The FDA, or other applicable regulatory authority or Notified Bodies may not clear, authorize, certify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certification, authorization or approval, we or our collaborators would need to commit substantial resources to commercialize, sell and market the updated product, which may never achieve significant market acceptance among various stakeholders and be commercially successful.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correctly identify current and future customer needs and preferences;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allocate our research and development funding to areas with higher growth prospects;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anticipate and respond to our competitors’ development of new products and technological innovations;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innovate and develop new technologies and applications, and acquire or obtain rights to third-party technologies that may have valuable applications in the markets we 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develop and commercialize new technologies and applications in a timely manner;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convince customers to adopt new technologies and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expenses or losses associated with unsuccessful expansion of our Platform could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successful in leveraging our Platform to identify, develop and commercialize additional genomic and algorithmic tests, our ability to expand our business and achieve our strategic objectives would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existing and new products fail to achieve and sustain sufficient scientific acceptance, we will not generate expected revenue and our prospects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life sciences scientific community comprises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 reviewed journal as a measure of success. In such journal publications, the researchers will describe not only their discoveries but also the methods and typically the products used to fuel such discoveries. Mentions in peer-reviewed journal publications are a good barometer for the general acceptance of our products as best practices. Ensuring that early adopters and key opinion leaders publish research involving the use of our products is critical to gaining widespread acceptance and market growth. Continuing to establish and maintain good relationships with such key opinion leaders is vital to growing our market. The number of times our products were mentioned in peer-reviewed publications has increased significantly in recent years. As of December 31, 2025, our products have been mentioned in over 800 peer-reviewed articles published in major journals.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or a decline in the quality of such publications, may negatively impact our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diagnostic products, or our competitors’ diagnostic products, could have defects or errors or otherwise fail to meet the expectations of patients, healthcare providers, and third-party payers; in such cases our operating results, reputation and business could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Diagnostics and algorithmic diagnostic products depends in part on patients’, healthcare providers, and third-party payers’ confidence that our Platform can provide reliable, high-quality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our use of data, as well as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support demand for our current and future Diagnostics product line, including ensuring that we have adequate capacity to meet increased demand, or we are unable to successfully manage our anticipated growth, our business could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volume of our Diagnostics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Diagnostics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commercialize additional Diagnostics products, we will need to incorporate new equipment, implement new technology systems and laboratory processes, and hire new personnel with different qualifications. Failure to manage this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attract and retain individuals to support the expansion of our Diagnostics and other products may be influenced by factors outside our control, or factors that we can control but which we fail to execute. For example, global labor shortages, our compensation and benefits offerings, attempts at unionization by our employees, and other factors may impact our ability to recruit, hire, train, and retain employees, which will further impact our ability to meet our growth and expansion goals.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Ethical, legal and social concerns related to the use of genetic information could reduce demand for our tests.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Genetic testing has raised ethical, legal and social issues regarding privacy rights and the appropriate uses of the resulting information. Governmental authorities could, for social or other purposes, limit or regulate the use of genetic information or genetic testing or prohibit testing for genetic predisposition to certain conditions, particularly for those that have no known cure. Similarly, these concerns may lead patients to refuse to use, or clinicians to be reluctant to order, hereditary tests even if permissible; they may also refuse genetic testing due to concerns regarding eligibility for life or other insurance. Ethical and social concerns may also influence U.S. and foreign patent offices and courts with regard to patent protection for technology relevant to our business. These and other ethical, legal and social concerns may limit market acceptance of our tests or reduce the potential markets for our tests, either of which could have an adverse effect on our business, financial condition or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received payment on approximately 55% of our clinical oncology next generation sequencing, or NGS, tests and 50% of our hereditary tests across all payers performed from January 1, 2023 through December 31, 2024. We calculated this metric on a trailing basis based on payer adjudication timing. For the years ended December 31, 2025, 2024 and 2023, our average reimbursement for NGS tests in oncology (i.e., excluding hereditary testing) was approximately $1,600, $1,510 and $1,450, respectively. For the year ended December 31, 2025 and 2024, our average reimbursement for NGS tests in hereditary testing was approximately $770 and $760, on a pro forma basis, for which pro forma amounts have been calculated after applying the Company's accounting policies.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26% of our clinical oncology tests were for Medicare beneficiaries in the years ended December 31, 2025, 2024 and 2023, respectively. Approximately 10% of our hereditary tests were for Medicare beneficiaries in the year ended December 31, 2025.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our Diagnostics and algorithmic diagnostic tests represent new approaches to the diagnosis and detection of diseases or hereditary risk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 or as payers decide based on other factors to lower the reimbursement rate for our tests.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are a participating provider with several commercial payers, some large commercial payers have issued non-coverage policies that consider tissue and liquid comprehensive genomic profile testing, including certain of our Diagnostics tests, as experimental or investigational. If we are not successful in obtaining coverage from such payers, or if other payers issue similar non-coverage policies, our business, financial condition and results of operations could be materially and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2025, Medicare claims represented 26% of our clinical oncology testing volume and 10% of our hereditary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Medicare’s NCD for NGS first established in 2018 and subsequently updated in 2020, states that NGS oncology tests (such as our |xT and |xF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meets the criteria for reimbursement under the NCD. In addition, effective July 1, 2024, our xT CDX assay was awarded Advanced Diagnostic Laboratory Test status by CMS. The NGS NCD also states that each MAC may provide local coverage of other next-generation sequencing tests for cancer patients only when the test is performed by a CLIA-certified laboratory, ordered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National Government Services, Inc. is the local MAC that makes local coverage determinations, or LCDs, for tests conducted at our Chicago laboratory. National Government Services has issued two LCDs related to genetic testing in cancer, each of which currently requires claims to be submitted under a single current procedural terminology, or CPT, code that describes the test. Since issuing the LCDs, National Government Services has, from time to time, issued modifications and interpretations of the LCDs and associated guidance documents that may impact how we bill for, and how National Government Services reimburses, our diagnostic tests.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Palmetto is the MAC jurisdiction that determines reimbursement for tests conducted at our Raleigh and Atlanta laboratories. Noridian is the MAC jurisdiction that determines reimbursement for tests conducted at our Aliso Viejo laboratory. Both Palmetto and Noridian are subject to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 </w:t>
      </w:r>
    </w:p>
    <w:p>
      <w:pPr>
        <w:pStyle w:val="TextBody"/>
        <w:bidi w:val="0"/>
        <w:spacing w:before="240" w:after="160"/>
        <w:jc w:val="left"/>
        <w:rPr>
          <w:rFonts w:ascii="Times New Roman" w:hAnsi="Times New Roman"/>
          <w:color w:val="231F20"/>
          <w:sz w:val="20"/>
        </w:rPr>
      </w:pPr>
      <w:r>
        <w:rPr>
          <w:rFonts w:ascii="Times New Roman" w:hAnsi="Times New Roman"/>
          <w:color w:val="231F20"/>
          <w:sz w:val="20"/>
        </w:rPr>
        <w:t xml:space="preserve">Other factors, beyond the NCD and applicable LCD’s, impact how we bill for our tests, whether they are reimbursed by third party-payors, and the amount we receive from government payors. For example, CMS has specific processes, such as the gapfill process, for determining the amount we are reimbursed for certain laboratory tests. In addition, certain CMS regulations prevent us from billing Medicare directly for tests provided to Medicare beneficiaries in certain situations when the test is ordered as part of a beneficiary’s inpatient stay at a hospital. At the same time, CMS has adopted an exception to its laboratory date of service rules, and if certain conditions are met, molecular testing laboratories such as us can rely on that exception to bill Medicare directly, instead of seeking payment from the hospital. If this exception is repealed or curtailed by CMS, if the laboratory date of service regulation is otherwise changed to adversely impact our ability to bill Medicare directly, or if we incorrectly implement billing procedures related to the date of service exception, our revenue could be materially reduced, and we could be subject to further regulatory actions.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coverage policies and third-party reimbursement rates may change at any time. Even if favorable coverage and reimbursement status is attained for one or more of our tests, less favorable coverage policies and reimbursement rates may be implemented in the future.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obtain or maintain adequate reimbursement for our Diagnostics product line outside of the United States, our ability to expand internationally will be compromised.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substantial portion of our Diagnostics product line revenues come from third-party payer reimbursement. In many countries outside of the United States, reimbursement systems vary significantly by country and by region within some countries, and reimbursement approvals must be obtained on a country-by-country basis and various coverage, pricing and reimbursement approvals are required for our tests to be available to patients in significant volume. In the EU some countries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On January 12, 2025, Regulation No 2021/2282 on Health Technology Assessment, or HTA Regulation, entered into application through a phased implementation and is intended to harmonize the clinical benefit assessment of HTA across the European Union. Selected high-risk medical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devices will be required to be assessed under these rules in 2026. We expect that it will take several years to establish broad coverage and reimbursement for our tests with payers in countries outside of the United States, and our efforts may not be successful.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public or private reimbursement is obtained, it may cover competing tests, or the reimbursement may be limited to a subset of the eligible patient population or conditioned upon local performance of the tests or other requirements we may have difficulty satisfying.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 </w:t>
      </w:r>
    </w:p>
    <w:p>
      <w:pPr>
        <w:pStyle w:val="TextBody"/>
        <w:bidi w:val="0"/>
        <w:spacing w:before="360" w:after="283"/>
        <w:jc w:val="left"/>
        <w:rPr>
          <w:rFonts w:ascii="Times New Roman" w:hAnsi="Times New Roman"/>
          <w:sz w:val="20"/>
        </w:rPr>
      </w:pPr>
      <w:r>
        <w:rPr>
          <w:rFonts w:ascii="Times New Roman" w:hAnsi="Times New Roman"/>
          <w:b/>
          <w:i/>
          <w:color w:val="000000"/>
          <w:sz w:val="20"/>
        </w:rPr>
        <w:t>Labor relations matters could have a material adverse effect on our business, reputation, prospects,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8, 2024, the International Association of Machinists and Aerospace Workers, or IAM, District Lodge 8, filed a Petition for Election with the National Labor Relations Board, or the NLRB, to serve as the collective bargaining representative of certain of our laboratory employees located in Chicago, Illinois. In March 2024, the NLRB held an election, at which the defined collective bargaining unit voted to unionize and for the IAM to serve as the collective bargaining representative. In April 2025, we entered into a collective bargaining agreement with the IAM. We are unable to predict whether we will be successful in reaching future collective bargaining agreements, or the incremental cost and expense that may result from such future bargaining efforts. In addition, to the extent such future bargaining efforts take longer than anticipated, or to the extent they are unsuccessful, impacted employees may threaten and/or engage in work stoppages and strikes, our labor costs may increase as a result, and our ability to offer diagnostic tests may be impacted. Even though we are currently unaware of other unionization efforts, it is possible that other employees may also seek to unionize. The unavailability of laboratory staff, or our inability to control labor costs related to these matters and future efforts to unionize, could have a material adverse effect on our business, reputation, prospects,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use AI in our products and services which may result in operational challenges, legal liability, reputational concerns and competitive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AI enables and is integrated into our Platform and, as a result, our diagnostic and data products, and is therefore a significant element of our current business and our future strategy. As with many developing technologies, AI presents risks and challenges that could affect its further development, adoption, and use, and therefore our business. Many known and unknown risks to AI exist. Some of the currently known risks include accuracy, bias, toxicity, intellectual property infringement or misappropriation, data privacy and cybersecurity and data provenance. For example, our development and use of AI may result in the incorporation of third-party data, including personal, proprietary or confidential data, into our AI. If we do not have sufficient rights to use the data on which AI relies, we may incur liability through the violation of such laws, third-party privacy or other rights or contracts to which we are a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regulation in the AI space is constantly changing, and may make it difficult to continue using our AI approach to diagnostics and data analysis. AI is the subject of evolving review by various U.S. governmental and regulatory agencies, including the SEC and the Federal Trade Commission, or the FTC, and various U.S. states and other foreign jurisdictions are applying, or are considering applying, their cybersecurity and data protection laws to AI, particularly generative AI, and/or are considering general legal frameworks on AI (such as the European Union’s Artificial Intelligence Act, or the AI Act, which took effect on August 1, 2024, and provides for administrative fines of up to 35 million Euros or 7% of a company’s total worldwide annual turnover for the preceding financial year, whichever is the greater). In addition, the use and deployment of AI present complexities and challenges with respect to compliance with applicable laws and regulations, particularly because we are both a technology company and a healthcare provider of diagnostic testing services. Life sciences companies may underwrite or fund, in part, the development of AI algorithms, which may require us to disclose applicable funding sources and which may, as a result, slow the adoption of such technologies. Further, to the extent the output of an algorithm we develop or deploy recommends, directly or indirectly, the potential ordering of a product or service reimbursable by a federal healthcare program, we may encounter enforcement challenges even when such recommendations are based on objective clinical guidelines and criteria. If any such event were to occur, it could have a materially adverse impact on our business operations and reputation.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determinations, recommendations, forecasts or analyses that our Platform’s applications assist in producing are deficient or inaccurate, we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 subjected to competitive harm, potential legal liability and brand or reputational harm. Further, content generated by AI may be offensive, biased, or harmful, or violate current or future laws and regulations, and our reliance on AI could pose ethical concerns and lead to a lack of human oversight and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Inappropriate or controversial data practices by data scientists, engineers and end-users of our or our competitors’ products could also impair the acceptance of AI products. Though our business practices are designed to mitigate many of these risks, if we enable or offer AI products that are controversial because of their purported or real impact on human rights, privacy, employment, or other social issues, we may experience brand or reputational harm.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investments in deploying AI technologies may be substantial and may be more expensive than anticipated. If our Platform does not function reliably, fails to meet expectations in terms of performance, or cannot be fully utilized due to increasing regulation or reputational concerns, we may be unable to provide such services, our customers may stop using our products, or our competitors may incorporate AI technology into their products or services more successfully than we do, all of which may impair our ability to effectively compete in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understand that the terms “AI,” “Machine Learning,” "Agentic AI," “Generative AI,” “Large Language Models” and other similar terms may mean different things to different people. Accordingly, when we use those terms, we ascribe to them their broadest, commonly accepted meanings. For example, AI is a scientific field that allows computer software to perform human-like intelligence tasks. At its core, AI is simply the sophisticated application of mathematics to help machines perform tasks similar to, or better than, humans. AI is an umbrella term that encompasses many other subfields and technologies, including those listed above and described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Machine Learning is a type of AI where the computer software is tasked with learning without being explicitly programmed. Instead, the software learns and adapts through a combination of instruction from humans and self-experimentation.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Agentic AI is a type of AI that can function independently to actively achieve specific outcomes with limited human involvement through pre-programmed planning, reasoning, and decision execution.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Generative AI is a type of AI that can take different types of inputs (such as text, image, audio, video, code, etc.) and generate new content using a variety of different modalities and based on a sophisticated and advanced set of rules.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Large Language Models are algorithms that can recognize, summarize, translate, predict, answer questions about, and generate content using very large datasets, such as our own multimodal clinical- molecular database.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Neural Networks are a type of machine learning that teach computers to process data in a way that is inspired by the human brain. Neural networks use interconnected nodes or neurons, much in the same way the human brain does.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use of AI tools may pose particular risks to our proprietary software and systems and subject us to legal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AI tools (including generative AI) in our business and expect to use AI tools in the future. Using AI tools to produce content that can be indistinguishable from that generated by humans is a relatively novel development, with many of the benefits, risks and liabilities still unknown. Recent decisions of the U.S. Copyright Office suggest that we would not be able to claim copyright ownership in any source code, text, images, or other materials that we develop through use of generative AI tools, and the availability of such protections in other countries is unclear. As a result, we could have no remedy if third parties reused those same materials, or similar materials also generated by AI tools.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and expect to continue to face allegations, and we may face claims regarding such allegations, from third parties of infringement of their intellectual property rights, or mandatory compliance with open source software or other license terms, with respect to software, or other materials or content we believe to be available for use, and not subject to license terms or other third-party proprietary rights. We could also be subject to claims from providers of generative AI tools if, for example, we use any of the generated materials in a manner inconsistent with their terms of use. Any of these claims could result in legal proceedings and could require us to purchase a costly license, comply with the requirements of open source software license terms,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AI tools may also present additional security risks because the generated source code may have been modeled from publicly available code, or otherwise not subject to all of our standard internal controls, which may make it easier for hackers and other third parties to determine how to breach our website and systems that rely on the code. Any of these risks could be difficult to eliminate or manage, and, if not addressed, could have a material adverse effect on our business, results of operations, financial condition and future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experience challenges with the acquisition, development, enhancement or deployment of technology necessary for our businesses.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cannot compete successfully with our competitors, we may be unable to increase or sustain our revenue or to achieve and then sustain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Growing understanding of the importance of biomarkers linked with therapy selection and response, disease monitoring, and early detection is leading to more companies offering products in genomic testing, including NGS diagnostics and PCR profiling. In addition, there are a number of healthcare technology companies providing data analysis products, including AI-driven data platforms and diagnostic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with respect to our Diagnostics products include certain diagnostics companies, such as Foundation Medicine, Inc., which was acquired by Roche Holdings, Inc., Caris Life Sciences, Guardant Health, Inc., Neogenomics, ResolutionBio, which was acquired by Agilent, and Natera, Inc., among others, with respect to our currently marketed precision oncology tests, and legacy diagnostic laboratories, such as Quest and LabCorp. In addition, our competitors for our pharmacogenetic test in neuropsychiatry include Myriad Genetics, Inc. and Genomind, Inc. With respect to our hereditary products, our competitors include GeneDx, Variantyx, and Baylor Genetics.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with respect to our Data and applications products include Flatiron Health, Inc., IQVIA Holdings Inc., and ConcertAI, among others. Furthermore, our Data and applications products also face competition from CROs, such as Fortrea, ICON, Syneos, PPD, and others, who provide data and clinical trial matching services to pharmaceutical and biotechnology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with respect to our Applications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In cardiology, we believe our competitors may include HeartFlow Inc., Anumana, Inc., and Eko Devices, Inc. In addition, we are aware that academic medical centers may be developing their own Applications and may decide to enter this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The sizes of the markets for our current and future products have not been established with precision, and may be smaller than we estimate.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industries in which we operate are subject to rapid change, which could make our Platform, our current products and any future products we may develop obsolete.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and hereditary diagnostic testing, as well as advances in the application of AI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and hereditary risk, information about new therapies or relevant clinical trials, or insights regarding the current treatment landscape for applicable indications and advances in computational biology, software development, and AI,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successfully market, sell or distribute our products, and if we are unable to expand our sales organization to adequately address our customers’ needs, our business, financial condition and results of operations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market, sell or distribute our data products and diagnostic tests, and other products we may develop effectively enough to support our planned growth. We currently sell our Diagnostics and algorithmic diagnostic tests to healthcare providers and hospital systems in the United States through our own sales organization and leverage distributors to help sell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diagnostic tests in international markets, and we sell our Data and applications products to pharmaceutical and biotechnology companies through our business development team.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of our target markets is large, distinct and diverse. As a result, we believe it is necessary for many of our sales representatives and business development managers to have established diagnostic- or healthcare data- 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successful in executing our strategy to increase sales of our Data and applications products to large pharmaceutical and biotechnology customers, our results of operations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important part of our growth strategy is to increase sales of Data and applications products, and in particular our Insights product, to large pharmaceutical and biotechnology companies. Sales to large companies involve risks that may not be present (or that are present to a lesser extent) with sales to small-to-mid-sized entities. These risks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leverage held by large customers in negotiating contractual arrangements with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key decision makers within these organizations that may negatively impact our ability to negotiate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 employees may perceive that our products pose a threat to their internal control and advocate for internally developed solutions over our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resources may be spent on a potential customer that ultimately elects not to purchase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stringent requirements in our service contracts, including stricter service response times, and increased penalties for any failure to meet service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competition from larger competitors that traditionally target large enterprises and government entities;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less predictability in completing some of our sales than we do with smaller customers;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that advancements in AI allow our Data customers to develop models that serve as functional equivalents of our database and render our own products obsolete.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Selling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and applications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existing customers do not renew their licenses, do not buy additional products from us, or renew at lower prices, our business and operating results will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we derived $132.7 million, or approximately 42% and 10%, of our Data and applications product line revenue and total revenue, respectively, from three customers. We expect to continue to derive a significant portion of our Data and applications product line revenue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performance, and functionality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price, performance, and functionality of competing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support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complementary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stability, performance, and security of our technological infrastructure;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business environment of our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deliver our Insights product through license agreements that allow our customers to use de-identified datasets for a specified term or for specified uses. Our customers have no obligation to renew their licenses for our Data and applications products after the license ends, and many of our contracts may be terminated or reduced in scope either immediately or upon notice. In addition, our customers may negotiate terms less advantageous to us upon renewal, which may reduce our revenue from these customers. Factors that are not within our control may contribute to a reduction in our Data and applications product line revenue.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 may decline and our future revenue may be constrained.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we entered into expanded multi-year strategic collaborations with AstraZeneca and Pathos for the development of a foundation model in the field of oncology. Under this collaboration, we will work together with AstraZeneca and Pathos to build the foundation model, which will incorporate our multi-modal de-identified oncology data, and once complete, the model will be shared among all three parties to advance their individual efforts to improve patient care. The development and deployment of foundation models could ultimately reduce demand for our Data and applications products, as once a company is able to utilize a foundation model to advance its business objectives, it may no longer have a need to license our de-identified data. Any significant decrease in the demand for, or value of, our Data and applications products would have a material adverse effect on our financial condition and results of operations. Also, there is no guarantee that our development efforts will be successful, or that the foundation model will achieve its intended purpose.</w:t>
      </w:r>
    </w:p>
    <w:p>
      <w:pPr>
        <w:pStyle w:val="TextBody"/>
        <w:bidi w:val="0"/>
        <w:spacing w:before="360" w:after="283"/>
        <w:jc w:val="left"/>
        <w:rPr>
          <w:rFonts w:ascii="Times New Roman" w:hAnsi="Times New Roman"/>
          <w:sz w:val="20"/>
        </w:rPr>
      </w:pPr>
      <w:r>
        <w:rPr>
          <w:rFonts w:ascii="Times New Roman" w:hAnsi="Times New Roman"/>
          <w:b/>
          <w:i/>
          <w:color w:val="000000"/>
          <w:sz w:val="20"/>
        </w:rPr>
        <w:t>A significant portion of our Data and applications product line revenue are generated by sales to life sciences industry customers, and factors that adversely affect this industry could also adversely affect our Data and applications business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portion of our current Data and applications products sales are to customers in the life sciences industry, in particular the pharmaceutical and biotechnology industry. Demand for our Data and applications products could be affected by factors that adversely affect the life sciences industry, including macroeconomic and market conditions that may adversely impact earlier stage biotechnology companies. The life sciences industry is highly regulated and competitive and has experienced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collect receivables from our customers, our operating results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the majority of our current customers are well-established large companies and hospital systems, we also provide our Data and applications products to smaller institutions and companies and our Diagnostics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existing and any future debt may affect our flexibility in operating and developing our business and our ability to satisfy our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December 31, 2025, we had indebtedness of $1.3 billion, comprising (i) $208.7 million under the convertible promissory note, as amended, or the Second Amended Note, that we issued to Google LLC, or Google, (ii) $206.0 million </w:t>
      </w:r>
      <w:r>
        <w:rPr>
          <w:rFonts w:ascii="Times New Roman" w:hAnsi="Times New Roman"/>
          <w:color w:val="231F20"/>
          <w:sz w:val="20"/>
        </w:rPr>
        <w:t>of senior secured term loans, or the Additional Term Loan Facility, and $100.0 million in priority revolving loan commitments, or the Revolving Credit Facility, pursuant to a credit agreement, or as amended, the Credit Agreement, with affiliates of Ares Capital Corporation, or Ares and (iii) $750.0 million of 0.75% Convertible Senior Notes due 2030, or the Notes, Our current and future indebtedness may have significant negative effects on our operations,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requiring us to repay the principal and accrued interest on the Second Amended Note if we terminate our agreement with Google for use of Google Cloud or as a result of an event of default under the operating covenants in the Second Amended Note, or requiring us to repay the principal and accrued interest on the Additional Term Loan Facility and/or the Revolving Credit Facility in an event of default under the covenants of the Credit Agreement, any of which could impair our liquidity and reduce the availability of our cash flow to fund working capital, capital expenditures, acquisitions and other important needs;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limiting our ability to adjust to rapidly changing conditions in the industry, reducing our ability to withstand competitive pressures and making us more vulnerable to a downturn in general economic conditions or business than our competitors with relatively lower levels of debt;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the conditional conversion feature of the Notes is triggered, requiring us under applicable accounting rules to reclassify all or a portion of the outstanding principal of the Notes as a current rather than a long-term liability, which would result in a material reduction of our net working capital;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requiring us, in certain circumstances, to obtain approval from Ares and/or the lenders party to the Credit Agreement before embarking on certain mergers, acquisitions, capital expenditures, or other operational issues.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satisfy our current and future debt service obligations with our then existing cash and cash equivalents. However, we may not have sufficient funds, and may be unable to arrange for additional financing, to pay the amounts due under the the Second Amended Note, Additional Term Loan Facility, the Revolving Credit Facility, the Notes, or any other debt instruments. In addition, the Second Amended Note and the Credit Agreement, contain, and the agreements governing our future indebtedness may contain, restrictive covenants that may limit our ability to engage in activities that may be in our long-term best interest. These restrictive covenants include, among others,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a limited number of suppliers or, in some cases, sole suppliers, for some of our laboratory instruments and materials and may not be able to find replacements or promptly transition to alternative suppliers.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33%, 39% and 33% of total vendor payments for the years ended December 31, 2025, 2024 and 2023, respectively. Amounts due to this supplier were approximately $15.9 million at December 31, 2025.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disruptions in supply of, and changes in the competitive environment for, raw materials and components integral to the manufacturing of our products may adversely affect our ability to achieve and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a broad range of materials and supplies, including chemicals and other electronic components, in our Diagnostics product line. A significant disruption in the supply of these materials, including disruptions like those stemming from the pandemics and epidemics, could decrease production and shipping levels, materially increase our operating costs and materially adversely affect our profit margins. Shortages of materials or interruptions in transportation systems, labor strikes, work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stoppages, infectious disease, epidemics or pandemics, outbreaks, conflict (including the armed conflicts between Russia and Ukraine and the hostilities in the Middle East), civil unrest, acts of terrorism or other interruptions to or difficulties in the employment of labor (such as strikes by unionized workforces)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existing laboratory and storage facilities become damaged or inoperable or we are required to vacate our existing facilities, our ability to perform our tests and pursue our research and development efforts may be jeopardized.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derive nearly all of our diagnostic revenue from tests performed at laboratory facilities located in Chicago, Illinois, Atlanta, Georgia, Raleigh, North Carolina, Aliso Viejo, California and Minneapolis, Minnesota and these facilities generally do not have completely redundant capabilities. Our facilities and equipment could be harmed or rendered inoperable by natural or man-made disasters, including war, fire, earthquake, power loss, communications failure or terrorism, which may render it difficult or impossible for us to operate our Diagnostics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by the federal Occupational Safety and Health Administration, or OSHA, and certain state analogs. On occasion, certain safety issues are reported directly to OSHA. While we have been successful in promptly remediating any such issues, there is no guarantee we will be able to do so in the future, and these regulatory bodies could intervene and suspend our operations, which could have a material impact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commercial courier delivery services to transport samples to our laboratory facility in a timely and cost-efficient manner and if these delivery services are disrupted, our business will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on our ability to deliver test results quickly and reliably to our customers. Blood and tissue samples sent from the United States by patients, physicians or hospital pathology departments are typically received within days for analysis at our Chicago, Atlanta, Raleigh, Aliso Viejo or Minneapolis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cannot provide quality technical support and services for our Data and applications products, we could lose customers and our business and prospects will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provide relevant information to customers of our Data and applications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Seasonality may cause fluctuations in our revenue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Class A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International expansion of our business exposes us to business, regulatory, political, operational, financial, and economic risks associated with doing business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and applications business to pharmaceutical and biotechnology customers outside of the United States. Doing business internationally involves a number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multiple, conflicting and changing laws and regulations such as privacy regulations, including regulations that limit our ability to collect, distribute, transfer and otherwise process de-identified patient data, tax laws, export and import restrictions, economic sanctions and embargoes, employment laws, healthcare regulatory requirements, including those governing diagnostic testing and reimbursement, and other governmental approvals, permits and 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us, our distributors, our local partners to obtain regulatory approvals or certifications for the use of our products in various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potentially blocking or relevant third-party patent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and difficulties in obtaining intellectual property protection and maintaining and enforcing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staffing and managing foreign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associated with managing multiple payer reimbursement regimes, government payers,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logistics and regulations associated with shipping blood samples, including infrastructure conditions and transportation delays;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populations that are underrepresented in our databases;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limits in our ability to penetrate international markets if we are not able to perform our tests locally;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political and economic instability, including wars (such as the armed conflict between Russia and Ukraine and the hostilities in the Middle East), terrorism, and political unrest, boycotts, curtailment of trade and other business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health or similar issues, such as epidemics or pandemics, that could cause business disruption;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and compliance risks that relate to maintaining accurate information and control over sales and distributors’ activities that may fall within the purview of the U.S. Foreign Corrupt Practices Act, or FCPA, its books and records provisions, or its anti-bribery provisions.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factors could significantly harm our future international expansion and operations and, consequently, our revenue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Highly Regulated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collect, receive, store, process, generate, use, transfer, disclose, make accessible, protect, secure, dispose of, transmit, and share (collectively, “process”) personal data and other sensitive information, including large amounts of personal health and financial information,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the Health Information Technology for Economic and Clinical Health Act, or HITECH, imposes specific requirements relating to the privacy, security, and transmission of individually identifiable protected health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establishes a set of national privacy and security standards for the protection of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or if we serve as a business associate on behalf of another covered entity, we must have a written business associate contract or other arrangement with the business associate that establishes specifically what the business associate (or covered entity) has been engaged to do and requires the business associate to comply with the same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states have enacted comprehensive privacy laws that impose certain obligations on covered businesses, including providing specific disclosures in privacy notices and affording residents with certain rights concerning their personal data or laws governing the privacy of consumer health data, which can be broadly defined. As applicable, such rights may include the right to access, correct, or delete certain data, to opt-out of certain data processing activities, such as targeted advertising, profiling, and automated decision-making, and to require patient-level consents for the use of other types of health data. The exercise of these rights may impact our business and ability to provide our products and services. Certain states also impose stricter requirements for processing certain personal data or consumer health data, including sensitive information, such as conducting data privacy impact assessments. 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generally exempt some data processed in the context of clinical trials, or enumerate other exceptions, but these developments may further complicate compliance efforts, and increase legal risk and compliance costs for us, the third parties with whom we work. Similar laws are being considered in several states, as well as at the federal and local levels, and we expect more states to pass similar laws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laws and regulations are not necessarily preempted by HIPAA, particularly if a state affords greater protection to individuals than HIPAA. Where state laws differ from HIPAA, we may have to comply with these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 In addition, the interpretation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 of consumer, health-related, and data protection laws, especially with respect to genetic samples and data, in the United States, the EU (including all countries in the EEA), and elsewhere are often uncertain, contradictory, and in flux.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privacy and security. For example, EU GDPR and UK GDPR (collectively, GDPR)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Regulators in the United States such as the Department of Justice are also increasingly scrutinizing certain personal data transfers and have proposed and may enact certain data localization requirements, for example, the Biden Administration’s executive order Preventing Access to Americans’ Bulk Sensitive Personal Data and United States Government-Related Data by Countries of Concern.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and personnel use generative AI and machine learning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AI/machine learning to assist us in making certain decisions, which is regulated by certain privacy laws. Due to inaccuracies or flaws in the inputs, outputs, or logic of the AI/machine learning, the model could be biased and could lead us to make decisions that could bias certain individuals (or classes of individuals), and adversely impact their rights, employment, and ability to obtain certain pricing, products, services, or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use AI, including generative AI, and machine learning technologies in our products and services. The development and use of AI/machine learning present various privacy and security risks that may impact our business. AI/machine learning are subject to privacy and data security laws, as well as increasing regulation and scrutiny. Several jurisdictions around the globe, including Europe and certain U.S. states, have proposed enacted, or are considering laws governing the development and use of AI/machine learning, such as the EU’s AI Act, the Colorado Artificial Intelligence Act, California Bot Disclosure Law, the Utah Artificial Intelligence Policy Act, and the CCPA regulations on automated decision-making technology.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turnover for the preceding financial year, whichever is the higher. Certain of our activities subject us to the EU AI Act and depending on how the EU AI Act is implemented and interpreted, we may have to adapt our business practices, contractual arrangements, and services to comply with such obligations. We expect other jurisdictions will adopt similar laws. Additionally, certain privacy laws extend rights to consumers (such as the right to delete certain personal data) and regulate automated decision making, which may be incompatible with our use of AI/machine learning. These obligations may make it harder for us to conduct our business using AI/machine learning, lead to regulatory fines or penalties, require us to change our business practices, retrain our AI/machine learning, or prevent or limit our use of AI/machine learning. For example, the FTC has required other companies to turn over (or disgorge) valuable insights or trainings generated through the use of AI/machine learning where they allege the company has violated privacy and consumer protection laws. If we cannot use AI/machine learning or that use is restricted, our business may be less efficient, or we may be at a competitive disadvantage.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We publish privacy policies, marketing materials, whitepapers, and other statements, such as statements related to compliance with certain certifications or self-regulatory principles, concerning data privacy, security and artificial intelligence.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the third parties with whom we work may fail to comply with such obligations, which could negatively impact our business operations. Future or past business transactions (such as acquisitions, integrations, and other commercial relationships) could expose, and have exposed, us to additional privacy, security and compliance risks, and these third parties have been, and may in the future be, subject to litigation, regulatory investigations and other risks relating to privacy and security arising out of business transactions. For example, Ambry, which we acquired in February 2025, and another third party with whom we work, have experienced data breaches which required notification to certain impacted individuals and government regulators, and for which regulator investigations remain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events could have a material adverse effect on our reputation, business, or financial condition, including but not limited to: loss of customers; interruptions or stoppages in our business operations (including, as relevant, clinical trials);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conduct business in a heavily regulated industry, and changes in regulations or violations of regulations may, directly or indirectly, reduce our revenue,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laws applicable to test ordering, documentation of tests ordered, billing practices and claims payment and/or regulatory agencies enforcing those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health care fraud and abuse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laboratory anti-mark-up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levels by Medicare, Medicaid, other governmental payers and private insurers;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coverage of and reimbursement for tests;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laws governing laboratory testing, including CLIA, and state licensing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laws and enforcement policies governing the development, use and distribution of diagnostic medical devices, including laboratory developed tests, or LDTs;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laws and enforcement policies governing the use of AI in analyzing data, including data in healthcare related areas;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state and local laws governing the handling and disposal of medical and hazardous waste;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Occupational Safety and Health Administration rules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of 1996, or HIPAA, and similar state data privacy and security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consumer protection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foreign laws and regulations in the countries in which we operate or may operate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 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the EEA, in order to place an </w:t>
      </w:r>
      <w:r>
        <w:rPr>
          <w:rFonts w:ascii="Times New Roman" w:hAnsi="Times New Roman"/>
          <w:i/>
          <w:color w:val="000000"/>
          <w:sz w:val="20"/>
        </w:rPr>
        <w:t>in vitro</w:t>
      </w:r>
      <w:r>
        <w:rPr>
          <w:rFonts w:ascii="Times New Roman" w:hAnsi="Times New Roman"/>
          <w:color w:val="000000"/>
          <w:sz w:val="20"/>
        </w:rPr>
        <w:t xml:space="preserve"> diagnostic medical device, or IVD, or an accessory to an IVD, on the market, or put it into service in the EEA, the device must be designed, developed, manufactured and marketed in compliance with the relevant legal framework. On May 26, 2022, the Regulation on </w:t>
      </w:r>
      <w:r>
        <w:rPr>
          <w:rFonts w:ascii="Times New Roman" w:hAnsi="Times New Roman"/>
          <w:i/>
          <w:color w:val="000000"/>
          <w:sz w:val="20"/>
        </w:rPr>
        <w:t>In-Vitro</w:t>
      </w:r>
      <w:r>
        <w:rPr>
          <w:rFonts w:ascii="Times New Roman" w:hAnsi="Times New Roman"/>
          <w:color w:val="000000"/>
          <w:sz w:val="20"/>
        </w:rPr>
        <w:t xml:space="preserve"> Diagnostic Medical Devices (Regulation (EU) 2017/746), or IVDR, entered into application, repealing and replacing the Directive on </w:t>
      </w:r>
      <w:r>
        <w:rPr>
          <w:rFonts w:ascii="Times New Roman" w:hAnsi="Times New Roman"/>
          <w:i/>
          <w:color w:val="000000"/>
          <w:sz w:val="20"/>
        </w:rPr>
        <w:t>In-Vitro</w:t>
      </w:r>
      <w:r>
        <w:rPr>
          <w:rFonts w:ascii="Times New Roman" w:hAnsi="Times New Roman"/>
          <w:color w:val="000000"/>
          <w:sz w:val="20"/>
        </w:rPr>
        <w:t xml:space="preserve"> Diagnostic Medical Devices (98/79/EC), or the IVDD. The IVDR and its associated guidance documents and harmonized standards governing,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The IVDR also establishes transitional provisions permitting certain devices that have been CE marked in accordance with the IVDD to continue to be placed on the EEA market under strict conditions and for a specific period of time depending on the risk classification of the device. Medical devices are governed by the Regulation on Medical Devices (Regulation (EU) 2017/745) (“MDR”) which entered into application on May 26, 2021, repealing and replacing the Directive on Medical Devices (93/42/EC) (the “MDD”). The MDR establishes similar provisions to the IVDR in relation to medical devices. If we do not comply with these requirements or fail to adequately comply, our business, financial condition and results of operations may be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current regulatory framework for algorithmic diagnostic products and services can impose additional regulatory burdens on us. Recent changes to the European Union regulatory framework for IVDs may materially impact our operations, product availability, compliance costs, and market access in the EU. In July 2024, Regulation (EU) 2024/1860 entered into application. The Regulation extends existing IVDR transition timelines and imposes new manufacturer obligations, including mandatory pre</w:t>
        <w:noBreakHyphen/>
        <w:t>notification of supply interruptions starting January 10, 2025. In addition, the Regulation introduces the gradual rollout of EUDAMED, the EU’s central database for medical devices and diagnostics. Starting from May 28, 2026, the use of the first four modules will become mandatory - actor registration, UDI/Devices registration, notified bodies and certificates, and Market Surveillance. Furthermore, on December 16, 2025, the European Commission published a proposal to amend the MDR and the IVDR with the stated objective of simplifying and reducing the regulatory burden, addressing certification bottlenecks, and improving predictability while maintaining patient safety. The proposal introduces broad changes, including more flexible clinical</w:t>
        <w:noBreakHyphen/>
        <w:t xml:space="preserve">evidence pathways, removal of fixed certificate validity periods, and adjustments to classification rules that may shift certain devices into lower risk categories. The FDA is also currently considering the development of novel regulatory pathways for AI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of our tests are currently marketed as LDTs, and future changes in FDA enforcement discretion for LDTs could subject our operations to much more significant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historically operated under a policy of enforcement discretion with respect to LDTs whereby the FDA did not actively enforce its regulatory requirements for such tests. On May 6, 2024, the FDA published final regulations that took effect on July 5, 2024, and which attempted to phase-out enforcement discretion over a period of four years and required compliance with device registration and listing requirements, medical device reporting requirements, 510(k) clearance, denovo authorization or Premarket Approval and the requirements of the FDA’s Quality System Regulation. In March 2025, however, a federal district court in the Northern District of Texas vacated and set aside the FDA’s final rule, which effectively ended the FDA’s attempt to regulate such diagnostic tests as medical devices and called into question the agency’s long-standing policy of enforcement discretion with respect to LDT’s. It is unclear whether this or future administrations will attempt to reinstitute such policies, or how the changing regulatory regime might impact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decision to re-implement these regulations, or the potential for congressional legislation governing laboratory developed tests, could cause us to stop selling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 results of the LDTs to our customers and this may require costly modifications, additional development or the reduction in functionality in our offerings which could, in turn, make them less attractive to our customers. </w:t>
      </w:r>
    </w:p>
    <w:p>
      <w:pPr>
        <w:pStyle w:val="TextBody"/>
        <w:bidi w:val="0"/>
        <w:spacing w:before="360" w:after="283"/>
        <w:jc w:val="left"/>
        <w:rPr>
          <w:rFonts w:ascii="Times New Roman" w:hAnsi="Times New Roman"/>
          <w:sz w:val="20"/>
        </w:rPr>
      </w:pPr>
      <w:r>
        <w:rPr>
          <w:rFonts w:ascii="Times New Roman" w:hAnsi="Times New Roman"/>
          <w:b/>
          <w:i/>
          <w:color w:val="000000"/>
          <w:sz w:val="20"/>
        </w:rPr>
        <w:t>There is no guarantee that the FDA will grant 510(k) clearance or a premarket approval or that comparable foreign regulatory authorities will grant the necessary clearance, approval or certification of our products and failure to obtain necessary clearances, approvals or certification for our products would adversely affect our ability to grow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obtaining regulatory clearance or approval can be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can delay, limit or deny clearance or approval of a device for many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demonstrate to the satisfaction of the FDA that our products are safe or effective for their intended 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disagreement of the FDA with the design, conduct or implementation of our clinical trials or the analysis or interpretation of data from our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serious and unexpected adverse effects experienced by participants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from our pre-clinical studies and clinical trials may be insufficient to support clearance or approval, where required;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demonstrate that the clinical and other benefits of any of our tests outweigh the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identify deficiencies in our marketing application, and in our manufacturing processes, facilities or analytical methods or those of our third-party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for approval policies or regulations of the FDA to change significantly in a manner rendering our clinical data or regulatory filings insufficient for the clearance or approval;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audit our clinical trial data and conclude that the data is not sufficiently reliable to support a PMA application.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foreign jurisdictions, we may be required to procure similar regulatory approvals, clearances or certification prior to marketing our diagnostic products. For example, in the Europe Union, we need to comply with the new MDR and IVDR. IVDs must comply with the General Safety and Performance Requirements (“GSPRs”) set out in Annex I to the IVDR and medical devices must comply with the GSPRs set out in Annex I to the MDR. Compliance with these requirements is a prerequisite to be able to affix the CE Mark to IVDs or medical devices, without which they cannot be marketed or sold in the EEA. To demonstrate compliance with the GSPRs provided in the IVDR or the MDR and obtain the right to affix the CE mark, medical devices manufacturers must undergo a conformity assessment procedure. Depending on the type of IVD or medical device and its classification, the conformity assessment procedure may require the intervention of a Notified Body. The Notified Body issues a CE Certificate of Conformity following successful completion of a conformity assessment procedure conducted in relation to the IVD or medical device and its manufacturer and their conformity with the GSPRs. This Certificate and the related conformity assessment process entitles the manufacturer to affix the CE mark to its IVDs or medical devices after having prepared and signed a related EU Declaration of Conformity. Obtaining the requisite regulatory approvals, clearances or certification in foreign jurisdictions can be expensive and may involve considerable delay.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delay or failure to obtain necessary regulatory approvals, clearances or certification would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Modifications to our FDA-cleared, approved or CE marked products may require new 510(k) clearances or premarket approvals or certification, or may require us to cease marketing or recall the modified products until clearances are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 Similarly, in the EU, for any products we have CE marked, future changes or updates to our products, which affect their safety or efficacy, may require new Notified Body certification before we may sell the revised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products may in the future be subject to product recalls. A recall of our products, either voluntarily or at the direction of the FDA or another governmental authority or regulatory authority, or the discovery of serious safety issues with our products, could have a significant adverse impact on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international regulatory bodies have the authority to require the recall of commercialized products that are subject to FDA or foreign applicable regulation in the event of material deficiencies or defects in design or manufacture. We may also, on our own initiative, recall a product. The FDA, for example, requires that certain classifications of recalls be reported to the FDA within ten working days after the recall is initiated. In the case of FDA-approved tests or CE marked tests in the EU,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or a foreign regulatory authority. If the FDA or a foreign regulatory authority disagrees with our determinations, the FDA or a foreign regulatory authority could require us to report those actions and take enforcement action for failing to report the recalls when they were conducted. A future recall announcement could harm our reputation with customers and negatively affect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initiate a correction or removal for one of our tests, issue a safety alert or undertake a field action or recall to reduce a risk to health imposed by the test, this could lead to increased scrutiny by the FDA and foreign regulatory authorities and our customers regarding the quality and safety of our tests and to negative publicity, including FDA or a foreign regulatory authority alerts, press releases or administrative or judicial actions. Furthermore, circulation of any such negative publicity could harm our reputation, be used by competitors against us in competitive situations and cause customers to delay purchase decisions or cancel orders.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Arterys, Inc., a company we acquired in 2022, and Paige AI, Inc., a company we acquired in 2025, have developed several medical devices that are regulated by the FDA and EU legislation governing medical devices. Arterys also distributes devices developed by third parties. If we identify an issue with, or propose changes to, one of these devices that impacts patient safety or causes us to undertake a field action or implement a recall, our business operations and reputation could be harmed in a meaningful way.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“research use only” and any potential “investigational use only” products could become subject to more onerous regulation by the FDA or other regulatory authorities in the future, which could increase our costs and delay our commercialization efforts, thereby materially and adversely affecting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regulatory approval or certification of our products, we will continue to be subject to extensive regulatory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Medical devices are subject to extensive regulation by the FDA in the United States, European Union legislation in the European Economic Area, or EEA, enforced by the Competent Authorities of EEA countries, and comparable regulatory authorities in other territories where we do or may do business. If any of our products are approved by the FDA, or other comparable foreign regulatory authorities, or CE marked in accordance with EU legislation governing medical devices or IVDs,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 Similar considerations and requirements apply in relation to those products we have CE marked in the EEA, or for any products we may CE mark in the future in accordance with the IVDR or the MDR.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the FTC and comparable foreign regulatory authorities also regulate the advertising and promotion of medical devices to ensure that their promotional claims made are consistent with the applicable marketing authorizations or certification, that there are adequate and reasonable data to substantiate the claims, and that the promotional labeling and advertising is neither false nor misleading in any respect. If the FDA, FTC or a comparable foreign regulatory authority determines that any of our promotional claims are false, misleading, not substantiated or not permissible, we may be subject to enforcement actions and we may be required to revise our promotional claims and make other corrections or restitutions.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state and foreign authorities have broad enforcement powers. Our failure to comply with applicable regulatory requirements could result in enforcement action by the FDA, state or foreign regulatory authorities, or actions by Notified Bodies in the EEA in relation to the CE Certificate of Conformity they have issued in accordance with EU legislation governing medical devices or IVDs, which may include any of the following sanctions: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warning letters, untitled letters, fines, injunctions, consent decrees and civil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repair, replacement, refunds, recalls, termination of distribution, administrative detention or seizures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restrictions, partial suspension or total shutdown of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 notifications or repair, replacement or refunds;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refusing our requests for clearances, approvals or certification of new products, new intended uses or modifications to existing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withdrawals of current clearances, approvals or certification, resulting in prohibitions on sales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issue certificates needed to export products for sale in other countries;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sanctions could also result in higher than anticipated costs or lower than anticipated sales of our products and have a material adverse effect on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 Similar considerations apply in foreign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changes to the regulatory system implemented in the EU by the IVDR and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would also be required to provide clinical data in the form of a clinical evaluation or performance report. Fulfillment of the obligations imposed by these Regulations may cause us to incur substantial costs. We may be unable to fulfill these obligations, or our Notified Body may consider that we have not adequately demonstrated compliance with our related obligations to merit the issuance of a CE Certificate of Conformity under the IVDR or the MDR for any of our products, or the continued use of any CE Certificate of Conformity issued under the IVDR or MDR.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promulgated that could prevent, limit or delay regulatory clearance, approval or certification of our diagnostic tests.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cannot predict the likelihood, nature or extent of government regulation that may arise from future legislation or administrative or executive action, either in the United States or abroad, including the potential impact of the U.S. Supreme Court’s decision in Loper Bright Enterprises vs. Raimondo, which curtails the power of federal agencies to interpret the laws they administer.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never obtain approval or certification in foreign jurisdictions for any of our products and, even if we do, we may never be able to commercialize them in any other jurisdiction, which would limit our ability to realize their full market potential.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and certification processes vary among countries and can involve additional product testing and validation and additional administrative review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Seeking foreign regulatory clearance, authorization, approval or certification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approvals or certification in international markets, or if those approvals or certification are delayed, our target market will be reduced and our ability to realize the full market potential of our products will be unrealized. </w:t>
      </w:r>
    </w:p>
    <w:p>
      <w:pPr>
        <w:pStyle w:val="TextBody"/>
        <w:bidi w:val="0"/>
        <w:spacing w:before="360" w:after="283"/>
        <w:jc w:val="left"/>
        <w:rPr>
          <w:rFonts w:ascii="Times New Roman" w:hAnsi="Times New Roman"/>
          <w:sz w:val="20"/>
        </w:rPr>
      </w:pPr>
      <w:r>
        <w:rPr>
          <w:rFonts w:ascii="Times New Roman" w:hAnsi="Times New Roman"/>
          <w:b/>
          <w:i/>
          <w:color w:val="000000"/>
          <w:sz w:val="20"/>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certification is also required in order for us to be eligible to bill state and federal healthcare programs, as well as commercial payers, for our tests. We have a current CLIA certificate to perform our tests at our laboratories in Chicago, Illinois, Atlanta, Georgia, Raleigh, North Carolina, Aliso Viejo, California and Minneapolis, Minnesota. To maintain this certificate, we are subject to survey and inspection every two years. Moreover, CLIA inspectors may make random inspections of our laboratory from time to time. Similar considerations may apply in foreign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required to maintain clinical laboratory licenses to perform testing in Illinois, Georgia, North Carolina, and California.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North Carolina Georgia, and California, our laboratories are licensed in Rhode Island, Pennsylvania, New York and Maryland, among others.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be subject to regulations in foreign jurisdictions as we seek to expand international utilization of our tests or as such jurisdictions adopt new licensure requirements, which may require review of our tests in 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test specimens from New York, LDTs must be approved by the New York State Department of Health, or NYSDOH, on a product-by-product basis before they are offered, and versions of our xT and xF tests have been approved by NYSDOH. We will need to seek NYSDOH approval of any future LDTs we develop, or for modifications to our existing LDTs,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Atlanta, Raleigh, North Carolina, Aliso Viejo, California and Minneapolis, Minnesota laboratories. In order to maintain CAP accreditation, we are subject to survey for compliance with CAP standards every two years. Failure to maintain CAP accreditation could have a material adverse effect on the sales of our tests and the results of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numerous federal, state and foreign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are subject to other extensive federal, state, local and foreign laws and regulations, all of which are subject to change. These laws and regulations may include,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interpreted to include anything of value.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conduct</w:t>
      </w:r>
      <w:r>
        <w:rPr>
          <w:color w:val="000000"/>
        </w:rPr>
        <w:t xml:space="preserve"> </w:t>
      </w:r>
      <w:r>
        <w:rPr>
          <w:rFonts w:ascii="Times New Roman" w:hAnsi="Times New Roman"/>
          <w:i/>
          <w:color w:val="000000"/>
          <w:sz w:val="20"/>
        </w:rPr>
        <w:t>per se</w:t>
      </w:r>
      <w:r>
        <w:rPr>
          <w:color w:val="000000"/>
        </w:rPr>
        <w:t xml:space="preserve"> </w:t>
      </w:r>
      <w:r>
        <w:rPr>
          <w:rFonts w:ascii="Times New Roman" w:hAnsi="Times New Roman"/>
          <w:color w:val="000000"/>
          <w:sz w:val="20"/>
        </w:rPr>
        <w:t>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other healthcare professionals (such as physician assistants and nurse practitioners), and teaching hospitals;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hAnsi="Times New Roman"/>
          <w:i/>
          <w:color w:val="000000"/>
          <w:sz w:val="20"/>
        </w:rPr>
        <w:t>qui tam</w:t>
      </w:r>
      <w:r>
        <w:rPr>
          <w:color w:val="000000"/>
        </w:rPr>
        <w:t xml:space="preserve">” </w:t>
      </w:r>
      <w:r>
        <w:rPr>
          <w:rFonts w:ascii="Times New Roman" w:hAnsi="Times New Roman"/>
          <w:color w:val="000000"/>
          <w:sz w:val="20"/>
        </w:rPr>
        <w:t>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federal and state fraud and abuse laws, such as state anti-kickback, self-referrals, false claims and anti- markup laws, any of which may extend to services reimbursable by any payer, including private insurers;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foreign laws and regulations in the countries in which we operate or may operate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detailed regulatory regime discussed above, we routinely receive requests for medical records and billing information from certain Unified Program Integrity Contractors, or UPICs, or other auditing agencies regarding clinical diagnostic services provided by Tempus to patients enrolled in the Medicare and Medicaid programs. Federal and state governments continue to pursue enforcement policies resulting in a significant number of investigations, inspections, audits, citations of regulatory deficiencies, and other regulatory sanctions including demands for refund of overpayments, terminations from the Medicare and Medicaid programs, bans on Medicare and Medicaid payments for new admissions, and civil monetary penalties or criminal penalties. These policies may impact our business.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any additional inquiry since that time. 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Rule. We provided an initial production on April 4, 2024, and have continued to produce responsive documents on a rolling basis since that time. While we believe our programs and payments comply with the Anti-Kickback statute and other applicable regulations, no assurance can be given as to the timing or outcome of the government’s investigation, or that it will not result in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expect audits under the CMS Recovery Audit Contractor, or RAC, program, the CMS Targeted Probe and Educate, or TPE, program, the UPIC program and other federal and state audits evaluating the medical necessity of services to further intensify the regulatory environment surrounding the healthcare industry as third-party firms engaged by CMS and others conduct extensive reviews of Tempus’ claims data and medical and other records to identify improper payments to healthcare providers under the Medicare and Medicaid programs. If we fail to comply with the extensive laws, regulations and prohibitions applicable to our businesses, we could become ineligible to receive government program reimbursement, suffer civil or criminal penalties, or be required to make significant changes to our operations and refund certain payments we have received. In addition, we could be forced to expend considerable resources responding to investigations, audits or other enforcement actions related to these laws, regulations or prohibitions.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status as both a healthcare company and a technology company presents unique complexities when attempting to comply with these myriad laws and regulations. For example, certain data services we provide as a technology company may result in compensating other healthcare providers for access to data or the right to commercialize de-identified data. While such services, standing alone, appear routine, the compliance issues become more complex when considering our status as a healthcare provider that performs clinical diagnostic testing on behalf of healthcare providers. We have implemented programs to ensure we comply with all applicable laws and regulations notwithstanding these complexities; however, we cannot guarantee we will be successful in doing so, or that government enforcement agencies will agree that our efforts have been sufficient. Accordingly, we may be subject to enforcement actions that could materially impact our reputation, operations, and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validity of an informed consent from patients regarding our tests was challenged, we could be forced to stop offering our products or using our resources, and our business, financial condition and results of operations could be negatively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ensure that all data and biological samples that we receive have been collected from patients, subjects or participants who have provided the necessary informed consent for purposes that extend to all associated activities. In many instances, our ability to obtain these consents requires the physician or hospital system ordering the diagnostic system to obtain the consent of the patient and to attest that they have done so on our requisition forms. We also have certain relationships where data and samples, and certain data licensed to us by third parties, are provided to us in a de-identified manner, or as a business associate in order to enable us to perform de-identification services. The collection and analysis of data and samples in many different jurisdictions results in complex legal questions regarding the adequacy of informed consent and the status of genetic material.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fines, penalties, licensure requirements, or legal liability, if it is determined that through our test reports we are practicing medicine without a license.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billing and claim processing are complex and time-consuming, and any delay in submitting claims or failure to comply with applicable billing requirements could hinder collection and have an adverse effect on our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differences between the list prices for our test, the reimbursement rates of payers, the amounts we charge healthcare institutions directly, and the cost to patients who pay for our tests out-of-pocket;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complex federal, state and foreign regulations related to billing government healthcare programs, including Medicare and Medicaid or comparable foreign programs, to the extent our tests are covered by such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differences in coverage among payers and the effect of patient co-payments or co-insurance;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differences in information, pre-authorization and other billing requirements among payers;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codes and coding instructions governing our tests;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incorrect or missing billing information;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resources required to manage the billing and claim appeals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historically, no CPT code comprehensively describes our NGS oncology tests. In the past, we submitted claims using individual codes or combinations of codes based on the cancer subtype profiled. Over time, in response to guidance from payers and our local MAC, we transitioned from using individual gene codes, or combinations of individual gene codes, to using “panel” CPT codes. With the introduction of new codes that are potentially applicable to comprehensive genomic profiling tests like the ones we offer, we are continuously updating and evaluating our approach to ensure consistency with all applicable policies, rules, and regulations. Despite our diligence in developing a comprehensive billing strategy that accurately describes the tests we provide, payers, such as the Local MACs,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Use of certain coding to bill for certain products can result in the claim being examined to determine what test was provided, whether the test was appropriate and medically necessary, and whether payment should be rendered. This process has in the past and may in the future result in a delay in processing the claim, a lower reimbursement amount or denial of the claim. For example, we continue to appeal the denials of certain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next generation genomic sequencing is a rapidly evolving area of medicine, and because clinical treatment guidelines continue to develop, any changes to, or interpretations of, applicable billing and coding guidance, rules, policies, and procedures may impact our business. Tempus offers multiple diagnostic tests, which enable ordering healthcare providers to sequence both a patient’s tissue and blood. Healthcare providers may order multiple tests, either concurrently or longitudinally, even when those distinct tests cover similar genes. Similarly, when a treating healthcare provider orders our tissue-based test, we can provide, and historically have provided when available, distinct test results for DNA and RNA. Effective January 1, 2023, we began billing these tests under separate codes based on American Medical Association guidance and the National Correct Coding Initiative Manual Provider instructions. As of December 31, 2025, approximately 50% of the liquid biopsy tests we provide are ordered in proximity to a solid tissue-based test, and over 90% of our solid tissue-based tests include both RNA and DNA results. In each case, while the ordering physician attests to each distinct test’s medical necessity, there is no guarantee that our retrospective or prospective billing practices will not be challenged or reversed, such as by a demand for repayment, recoupment, or prospective billing policies. Any such attempts could adversely affect our results and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healthcare laws, regulations and policies could increase our costs, decrease our sales and revenue and negatively impact reimbursement for our tests.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enactment, there have been efforts to repeal, replace, and amend all or part of the ACA. For example, on July 4, 2025, the One Big Beautiful Bill Act, or OBBBA, was signed into law, which is expected to reduce Medicaid spending and enrollment by implementing work requirements for some beneficiaries, capping state-directed payments, reducing federal funding, and limiting provider taxes used to fund the program. The OBBBA also narrowed access to ACA marketplace exchange enrollment and declined to extend the ACA enhanced advanced premium tax credits, that expired at the end of 2025, which, among other provisions in the law, are anticipated to reduce the number of Americans with health insurance. Congress is also considering proposed legislation intended to further reduce healthcare costs with alternatives to replace the expired ACA subsidies. It is unclear how any additional healthcare reform measures will impact the ACA and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current administration is pursuing policies to reduce regulations and expenditures across government agencies including at the Department of Health and Human Services, the FDA, CMS and related agencies. Such actions and policies may, among other things, significantly reduce U.S. medical device prices, potentially impacting manufacturers’ global pricing strategies and profitability, while increasing their operational costs and compliance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 </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risks related to handling of hazardous materials and other regulations governing environmental safety.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adversely affected by violations of the FCPA and other anti-bribery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patent law in the United States and other jurisdictions could diminish the value of patents in general, thereby impairing our ability to protect our Platform and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Issued patents covering our Platform or products could be found invalid or unenforceable if challenged.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applications is threatened, regardless of the outcome, it could dissuade companies from collaborating with us to license, develop or commercialize our current or future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intellectual property landscape in the next generation sequencing, AI, and other fields in which we operate continues to evolve in ways that may impact our business. For example, we are aware of patent litigation involving certain disciplines in which we operate, such as liquid biopsy sequencing methods and minimal residual disease testing methods. Many of our competitors are or have been party to these suits, including Guardant Health, Inc., or Guardant, Haystack Oncology, Inc., Invitae Corp., Illumina, Inc., Natera, Inc., NeoGenomics Laboratories, Inc., Personalis, Inc., TwinStrand Biosciences, Inc., and others, and, as a result, we have monitored and continue to monitor their developments and their potential impact on us. In addition,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On January 17, 2025, Guardant separately sought a Declaratory Judgment against Tempus in the U.S. District Court for the District of Delaware regarding the veracity of certain advertisements Guardant has published regarding the companies’ respective products. Given the uncertainty of outcomes of patent litigation disputes, we have not determined whether our products and services could be subject to potential additional claims of patent infringement based on the patents at issue in these or other cases, whether we may need to modify or change any existing or planned sequencing procedures, or whether any of the patents at issue are valid or enforceable against us. However, it is possible that we will be subject to additional claims of patent infringement and that we may need to either modify our existing or future sequencing methods or license intellectual property from third parties, both of which could be time consuming and expensive.</w:t>
      </w:r>
    </w:p>
    <w:p>
      <w:pPr>
        <w:pStyle w:val="TextBody"/>
        <w:bidi w:val="0"/>
        <w:spacing w:before="240" w:after="283"/>
        <w:jc w:val="left"/>
        <w:rPr>
          <w:rFonts w:ascii="Times New Roman" w:hAnsi="Times New Roman"/>
          <w:sz w:val="20"/>
        </w:rPr>
      </w:pPr>
      <w:r>
        <w:rPr>
          <w:rFonts w:ascii="Times New Roman" w:hAnsi="Times New Roman"/>
          <w:color w:val="000000"/>
          <w:sz w:val="20"/>
        </w:rPr>
        <w:t>From time to time we may receive notifications from third parties purportedly asserting certain intellectual property rights with respect to our products and services. For example, on September 21, 2023, SEngine Precision Medicine LLC (including its predecessor corporation SEngine Precision Medicine, Inc.), or SEngine, a company we acquired on October 3, 2023, received a letter from an attorney representing HUB Organoids IP B.V., or HUB Organoids, which states that SEngine’s PARIS</w:t>
      </w:r>
      <w:r>
        <w:rPr>
          <w:rFonts w:ascii="Times New Roman" w:hAnsi="Times New Roman"/>
          <w:color w:val="000000"/>
          <w:sz w:val="10"/>
        </w:rPr>
        <w:t>®</w:t>
      </w:r>
      <w:r>
        <w:rPr>
          <w:rFonts w:ascii="Times New Roman" w:hAnsi="Times New Roman"/>
          <w:color w:val="000000"/>
          <w:sz w:val="20"/>
        </w:rPr>
        <w:t xml:space="preserve"> test methodologies “appear to share similarities with methods that the HUB has used in its own organoid work.” Similarly, on January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30, 2024, we received a letter from an attorney representing Molecular Loop Biosciences, Inc., which states that “[a]fter reviewing specific products made, used or sold by Tempus, Molecular Loop believes that Tempus requires a license to several of the patents in Molecular Loop’s patent portfolio.” Ambry Genetics has also received a letter from Molecular Loop. While the letter received on behalf of HUB Organoids contains no specific allegations that SEngine infringes certain patents controlled by HUB Organoids referenced in the letter, and while the letters received on behalf of Molecular Loop contains only generalized allegations that Tempus and Ambry Genetics may infringe certain patents controlled by Molecular Loop referenced in the letters, and while we have received and may in the future receive letters alleging patent infringement from other third parties, if any claims against us were made by these parties, including any claim that any portion of our products and services infringes any of the referenced patents, or any other patents held by a third party, we would defend against such claims, however, there can be no assurances that any such defense would be successful. Moreover, if we are subject to claims of patent infringement, we may need to modify existing methods governing use of our products and services, or license third party intellectual property, at some point in the future, which may be time consuming and expensive or may not be technically feasible.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licenses from third parties to provide certain products, and if we lose these licenses or if our rights under these licenses are limited, then our business will be adversely impacted.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and we may acquire companies that are, party to various license agreements that grant us rights to use certain intellectual property, including de-identified patient data, AI software, and certain patents and patent applications, typically in certain specified fields of use. Such license agreements impose, and future agreements may impose, various obligations, such as diligence, development, payment, royalty, sublicensing and other obligations on us in order to maintain the licenses.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or certification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disputes could arise with respect to any aspect of our license agreements,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or other obligations under the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Platform, products, and processes infringe, misappropriate, or otherwise violate the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licensing of patent and other rights controlled by our licensors or developed under our collaborative development relationships to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and other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and ownership of inventions and know-how licensed to us or resulting from the joint creation or use of intellectual property by our licensors, us and/or our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validity, enforceability or priority of licensed patent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do not prevail in such disputes, we may lose any of such license agreements, the license agreements may not be meaningful for our business and operations, and we may be subject to unnecessary or additional payment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cannot license and maintain rights to use third-party intellectual property on reasonable terms, we may not be able to successfully commercialize our products. Our licensed or acquired technology may lose value or utility over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or enforce our intellectual property rights adequately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may not be effective or sufficient to prevent them from competing. Similarly, intellectual property rights may be exhausted in certain situations, and others could import our products sold abroad and compete with us domestically.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the value of our Platform and other technology could be materially adversely affected and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 or that our employees have wrongfully used or disclosed trade secrets of their former employers.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and enforce our trademarks and we could infringe or otherwise violate others’ trademarks and if our trademarks are not adequately protected, then we may not be able to build name recognition in our markets of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challenging the inventorship or ownership of our owned or licensed intellectual property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 In addition, former employees may refuse to assign certain intellectual property rights to us, even though we have agreements requiring them to do so. Our ability to enforce our contractual rights may require us to seek legal action, which could be costly and time-intensive.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and may in the future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and may become involved with litigation or USPTO actions with various third parties. For example,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On January 17, 2025, Guardant separately sought a Declaratory Judgment against Tempus in the U.S. District Court for the District of Delaware regarding the veracity of certain advertisements Guardant has published regarding the companies’ respective products. We expect that the number of such types of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face and expect to continue to face allegations of patent infringement, and we may face claims regarding such allegations,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hAnsi="Times New Roman"/>
          <w:i/>
          <w:color w:val="000000"/>
          <w:sz w:val="20"/>
        </w:rPr>
        <w:t>inter partes</w:t>
      </w:r>
      <w:r>
        <w:rPr>
          <w:rFonts w:ascii="Times New Roman" w:hAnsi="Times New Roman"/>
          <w:color w:val="000000"/>
          <w:sz w:val="20"/>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Such litigation or proceedings could substantially increase our operating losses and reduce the resources available for development activities or any future sales, marketing or distribution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protect our competitive position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ours, but that are not covered by the claims of the patents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license partners or future collaborators, might not have been the first to make the inventions covered by the issued patent or pending patent applications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license partners or future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licensed patent applications or those that we may own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now or in the future may be held invalid or unenforceable,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have access to the same intellectual property rights licensed to us in the future on a nonexclusive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or other intellectual property rights of others may have an adverse effect on our business;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for certain trade secrets or know-how, and a third party may subsequently file a patent covering such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foregoing could have a material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products contain third-party open source software components and failure to comply with the terms of the underlying open source software licenses could restrict our ability to sell our products or may require us to publicly disclose our proprietary software.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extent we use open source technologies or licensed third-party technologies in our Applications product line, those products may be subject to similar concerns or even unanticipated or unknown risks given the nascency of the industry and the types of products we intend to develop and deploy. For example, developers of open source technologies and third-party licensors may not adhere to the same or similar standards that we adhere to in the development, validation, training and maintenance of AI models. To the extent such third parties’ standards fall below a certain level and go undetected during our diligence and evaluation of such technologies, our business could suffer unintended consequences, including a detrimental impact on the patients we serve or the introduction of malware or other information security vulnerabilities into our network architecture. </w:t>
      </w:r>
    </w:p>
    <w:p>
      <w:pPr>
        <w:pStyle w:val="TextBody"/>
        <w:bidi w:val="0"/>
        <w:spacing w:before="360" w:after="283"/>
        <w:jc w:val="left"/>
        <w:rPr>
          <w:rFonts w:ascii="Times New Roman" w:hAnsi="Times New Roman"/>
          <w:sz w:val="20"/>
        </w:rPr>
      </w:pPr>
      <w:r>
        <w:rPr>
          <w:rFonts w:ascii="Times New Roman" w:hAnsi="Times New Roman"/>
          <w:b/>
          <w:i/>
          <w:color w:val="000000"/>
          <w:sz w:val="20"/>
        </w:rPr>
        <w:t>The legislative, judicial and regulatory landscapes relating to AI are evolving and may impact our ability to use AI, and could limit our ability to operate and expand our business, cause revenue to decline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Uncertainty in the legal regulatory regime relating to AI may require significant resources to modify and maintain business practices to comply with U.S. and non-U.S. laws, the nature of which cannot be determined at this time. Several jurisdictions around the globe, including Europe and certain U.S. states, have already proposed or enacted laws governing AI. For example, on May 17, 2024, Colorado became the first state in the United States to pass a law that requires developers of high-risk AI systems to avoid algorithmic discrimination involving certain AI decisions and to extensively document how the high-risk AI system was evaluated for performance and mitigation of algorithmic discrimination. The law also requires documentation of data governance measures used with the training data sets, the intended outputs of the high-risk AI system, how the AI system should and should not be used, and other aspects of the system. The law could require us to significantly alter our use of AI or how we train our algorithms, which could lead to increased costs. The law does not go into effect until February 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on July 12, 2024, the AI Act was published in the Official Journal of the European Union and will follow a phased implementation process with the bulk of its requirements currently scheduled to become applicable from August 2, 2026, including the core of various requirements relevant to the “high-risk” AI systems referred to below (although, based upon certain targeted amendments suggested by the European Commission as part of its Digital Omnibus Regulation Proposal, the implementation date of such requirements may be delayed to a later date). The AI Act will establish, among other things, a risk-based governance framework for regulating AI systems in the EU. This framework would categorize AI systems, based largely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risks associated with such AI systems’ intended purposes or their capabilities, for example, prohibiting certain “unacceptable” AI practices, classifying certain AI systems as “high-risk” systems that must meet stringent compliance requirements (including various transparency, conformity and risk assessment, monitoring, and human oversight requirements), introducing specific compliance obligations for certain “general-purpose AI systems” (more commonly known as foundation models) with all other AI systems being considered either limited risk (requiring primarily adherence to certain transparency requirements) or low risk. There is a risk that our use of AI may obligate us to comply with the applicable requirements of the AI Act, which may impose additional costs on us, increase our risk of liability or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11, 2025, President Trump signed an executive order titled “Ensuring a National Policy Framework for Artificial Intelligence.” The order directs federal agencies to challenge and preempt AI state AI laws that are inconsistent with federal policy. The order’s primary goal is to replace a patchwork of varying state regulations with a single, minimally burdensome federal standard. Due to the uncertainty in the regulatory framework, and the potential that other jurisdictions may decide to adopt similar or more restrictive legislation that may render the use of such technologies challenging, we may not be able to adequately anticipate or respond to these evolving laws and regulations, and we may need to expend additional resources to adjust our offerings in certain jurisdictions if applicable legal frameworks are inconsistent across jurisdictions.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Convertible Notes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Notes and the issuance of shares of our Class A common stock upon conversion of the Notes, if any, may impact our financial results, result in dilution to our stockholders, create downward pressure on the price of our Class A common stock, and restrict our ability to raise additional capital or to engage in a beneficial takeover.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we issued $750.0 million in aggregate principal amount of Notes. We are subject to a variety of risks related to the Notes,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servicing our debt requires a certain level of cash flow or financing from other sources, and our ability to make scheduled payments of the principal and interest, or to refinance or repurchase our Notes depends on our future performance, which is subject to economic, financial, competitive and other factors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refinance or repurchase our indebtedness will depend on the capital markets and our financial condition at such time, and if we are unable to engage in any of these activities or engage in these activities on desirable terms, we may be unable to meet the obligations of our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deliver cash to noteholders upon conversion of their Notes, the payment of cash could adversely affect our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shares of our Class A common stock are issued to the holders of the Notes upon conversion, there will be dilution to our stockholders’ equity and the market price of our Class A common stock may decrease due to the additional selling pressure in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provisions in the indentures governing the Notes may delay or prevent an otherwise beneficial takeover attempt of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seek to retire or purchase our outstanding debt, including the Notes, through cash purchases and/or exchanges for other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conditional conversion feature of the Notes, if triggered, may adversely affect our financial condition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the conditional conversion feature of the Notes is triggered, holders of the Notes will be entitled to convert their Notes at any time during specified periods at their option. If one or more holders elect to convert their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Capped Call may affect the value of the Notes and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Notes, we entered into capped call transactions, or the Capped Call, with one of the initial purchasers and certain other financial institutions, or the option counterparties. The Capped Call cover, subject to customary adjustments, the number of shares of our Class A common stock initially underlying the Notes. The Capped Call Transactions are expected generally to reduce the potential dilution to our Class A common stock upon any conversion of Notes and/or offset any cash payments we are required to make in excess of the principal amount of converted Notes, as the case may be, with such reduction and/or offset subject to a cap.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establishing their initial hedges of the Capped Call the option counterparties or their respective affiliates likely entered into various derivative transactions with respect to our Class A common stock and/or purchased shares of our Class A common stock concurrently with or shortly after the pricing of the Notes, including with, or from, as the case may be, certain investors in the Notes. 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issuance of the Notes and prior to the maturity of the Notes (and are likely to do so during the 20 trading day period beginning on the 21st scheduled trading day prior to the maturity date of the Notes, or, to the extent we exercise the relevant election under the Capped Call, following any repurchase, redemption, or conversion of the Notes). The potential effect, if any, of these transactions and activities on the market price of our Class A common stock or the Notes will depend in part on market conditions and cannot be ascertained at this time. Any of these activities could adversely affect the value of our Class A common stock and the value of the Notes.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counterparty risk with respect to the Capped Call.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option counterparties are financial institutions, and we will be subject to the risk that any or all of them might default under the Capped Call. Our exposure to the credit risk of the option counterparties will not be secured by any collateral.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conditions have from time to time resulted in the actual or perceived failure or financial difficulties of many financial institutions and could adversely affect the option counterparties’ performance under the Capped Call. If an option counterparty becomes subject to insolvency proceedings, we will become an unsecured creditor in those proceedings with a claim equal to our exposure at that time under the capped call transaction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more dilution than we currently anticipate with respect to our Class A common stock. We can provide no assurances as to the financial stability or viability of the option counterparties.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terms of the Capped Call may be subject to adjustment, modification or, in some cases, renegotiation in the event of certain corporate and other transactions. The Capped Call may not operate as we intend in the event that we are required to adjust the terms of such instruments as a result of transactions in the future or in the event of other unanticipated developments that may adversely affect the functioning of the Capped Call.</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dual class structure of our common stock has the effect of concentrating voting control with our Chief Executive Officer, Founder and Chairman, which will limit your ability to influence the outcome of important decisions.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Class B common stock has 30 votes per share and our Class A common stock has one vote per share. As of December 31, 2025, our Chief Executive Officer, Founder, and Chairman, Eric Lefkofsky, who, collectively with his controlled entities, holds all our outstanding shares of Class B common stock, beneficially owned shares representing approximately 58.2% of the voting power of our outstanding capital stock. As a result, Mr. Lefkofsky has the ability to control the outcome of matters requiring stockholder approval, including the election of directors and approval of significant corporate transactions, such as a merger, other sale of our company or our assets or significant acquisitions, even if his stock ownership represents less than 50% of the outstanding aggregate number of shares of our capital stock. This concentration of voting control limits the ability of other stockholders to influence corporate matters and may cause us to make strategic decisions that could involve risks to you or that may not be aligned with your interests. In addition, Mr. Lefkofsky serves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not elected to take advantage of the “controlled company” exemption to the corporate governance rules for publicly listed companies but may do so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Chief Executive Officer, Founder, and Chairman, Eric Lefkofsky, who, collectively with his controlled entities, holds all our outstanding shares of Class B common stock, beneficially owns shares representing in excess of 50% of the voting power of our outstanding capital stock,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pStyle w:val="TextBody"/>
        <w:bidi w:val="0"/>
        <w:spacing w:before="360" w:after="283"/>
        <w:jc w:val="left"/>
        <w:rPr>
          <w:rFonts w:ascii="Times New Roman" w:hAnsi="Times New Roman"/>
          <w:sz w:val="20"/>
        </w:rPr>
      </w:pPr>
      <w:r>
        <w:rPr>
          <w:rFonts w:ascii="Times New Roman" w:hAnsi="Times New Roman"/>
          <w:b/>
          <w:i/>
          <w:color w:val="000000"/>
          <w:sz w:val="20"/>
        </w:rPr>
        <w:t>We cannot predict the impact our dual class structure may have on the market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An active public trading market for our Class A common stock may not continue to develop or be sustained.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IPO, there was no public market for our Class A common stock. An active public trading market for our Class A common stock may not continue to develop or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our Class A common stock in the public market could cause the market price of our Class A common stock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and therefore they may take steps to sell their shares or otherwise secure the unrecognized gains on those shares. All of the Class A common stock sold in our IPO is freely tradable without restrictions or further registration under the Securities Act, except for any shares held by our affiliates as defined in Rule 144 under the Securities Act, or Rule 144. In addition, the lockup and market standoff agreements entered into in connection with our IPO expired on December 10, 2024. We are unable to predict the timing of or the effect that such sales may have on the prevailing market price of our Class A common stock.</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Sales, short sales, or hedging transactions involving our equity securities, whether or not we believe them to be prohibited, could adversely affect the price of our Class A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articles of incorporation and under Nevada law could make an acquisition of our company more difficult, limit attempts by our stockholders to replace or remove our current management and limit the market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effects of our dual class structure, provisions in our articles of incorporation and amended and restated bylaws may have the effect of delaying or preventing a change in control or changes in our management. Our articles of incorporation and amended and restated bylaws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our status as a Nevada corporation and the anti-takeover provisions of the NRS may discourage, delay or prevent a change of control by prohibiting us from engaging in a business combination with an interested stockholder for a period of two years after the date of the transaction in which the person became an interested stockholder, subject to certain exceptions, even if a change of control would be beneficial to our existing stockholders.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pStyle w:val="TextBody"/>
        <w:bidi w:val="0"/>
        <w:spacing w:before="360" w:after="283"/>
        <w:jc w:val="left"/>
        <w:rPr>
          <w:rFonts w:ascii="Times New Roman" w:hAnsi="Times New Roman"/>
          <w:sz w:val="20"/>
        </w:rPr>
      </w:pPr>
      <w:r>
        <w:rPr>
          <w:rFonts w:ascii="Times New Roman" w:hAnsi="Times New Roman"/>
          <w:b/>
          <w:i/>
          <w:color w:val="000000"/>
          <w:sz w:val="20"/>
        </w:rPr>
        <w:t>Our articles of incorporation provide that the courts in the State of Nevada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articles of incorporation provide that the Eighth Judicial District Court of the State of Nevada be the exclusive forum for actions or proceedings brought under Nevada statutory or common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or proceeding asserting a claim of breach of a fiduciary duty owed to us or our stockholders by any of our current or former directors, officers or other employees, or any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asserting a claim against us or any of our current or former directors, officers or other employees, or any of our stockholders, arising pursuant to any provision of the Nevada Revised Statutes, our articles of incorporation or bylaws, as each may be amended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to interpret, apply, enforce or determine the validity of our articles of incorporation or bylaws, including any right, obligation or remedy thereunder;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internal action (as defined in NRS 78.046) and any action or proceeding as to which jurisdiction of the District Courts of the State of Nevada is conferred by Title 7 of the Nevada Revised Statutes;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or any of our directors, officers or other employees, or any of our stockholders, governed by the internal affairs doctrine, in all cases to the fullest extent permitted by law and subject to the court’s having personal jurisdiction over the indispensable parties named as defendant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articles of incorporation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NRS 78.046 permits the articles of incorporation or bylaws of a Nevada corporation to require, to the extent not inconsistent with any applicable jurisdictional requirements and the laws of the United States, that any, all or certain actions must be brought solely or exclusively in a specified court, it is possible that a court of law could rule that this provision is inapplicable or unenforceable if it is challenged in a proceeding or otherwise. If a court were to find either exclusive forum provision contained in our second amended and restated articles of incorporation or amended and restated bylaws to be inapplicable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unenforceable in an action, we may incur significant additional costs associated with resolving such action in other jurisdictions, all of which could harm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articles of incorporation to be inapplicable or unenforceable in an action, we may incur further significant additional costs associated with resolving the dispute in other jurisdictions, all of which could seriously harm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stock price may be volatile, and the value of our Class A common stock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Class A common stock has been highly volatile, ranging from $22.89 to $103.25 per share since our IPO in June 2024. The price of our Class A common stock may fluctuate or decline substantially as a result of a variety of factors, some of which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fluctuations in our financial condition or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variance in our financial performance from expectations of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pricing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service or pay down existing or future debt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our projected operating and financial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laws or regulations applicable to our Platform and products, including changes in the regulation of data or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business developments, acquisitions, or new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data breaches, disruptions to or other incidents involving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involvement in litigation or governmental investigations;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our Class A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senior management or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new or changed securities analysts’ reports or recommendations;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volume of our Class A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anticipated future size and growth rate of our market;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and market conditions in general, or in our industry in particular.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publish unfavorable or inaccurate research about our business, the market price and trading volume of our Class A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and trading volume of our Class A common stock is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could be adversely affected by the effects of health pandemics or epidemics.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could be adversely affected by the effects of health pandemics or epidemics. For example, the COVID-19 global pandemic and the various attempts throughout the world to contain it created significant volatility, uncertainty and disruption.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Our historic results such as revenue, operating margins, cash flows, tests performed, and other financial and operating metrics, may not be indicative of our results for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assure you that these effects will remain reduced in the future, including due to potential new public health outbreaks. To the extent future public health outbreaks adversely affect our business and financial results, they may also have the effect of heightening many of the other risks described in this “Risk Factors” section.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and may in the future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made acquisitions of businesses, technologies and assets and may pursue additional acquisitions in the future, one or more of which may be substantial. We also may pursue strategic alliances and additional joint ventures that leverage our Platform and industry experience to expand our product offerings or distribution. We have limited experience with acquisitions, joint ventures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evaluate opportunities for transactions of these types from time to time. For example, on May 18, 2024, we entered into the Joint Venture Agreement, or the Joint Venture Agreement, with SoftBank Group Corporation, or SoftBank, to form SB Tempus Corp., the Joint Venture or SB Tempus. The Joint Venture closed on July 18, 2024, at which time we and SoftBank each contributed ¥15 billion ($95.2 million). Each party received 50% of SB Tempus’ outstanding capital stock and board seats. SB Tempus will engage in certain business activities in Japan similar to those conducted by us in the United States, including performing clinical sequencing, organizing patient data, and building a real world data business in Japan. We have limited experience forming joint ventures and we may not realize the anticipated benefits of the Joint Venture. We may also realize losses related to our investment in the Joint Venture, which could have a material negative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finance any acquisitions, joint ventures or investments, we have in the past, and may in the future choose to issue shares of our Class A common stock as consideration, which would dilute the ownership of our stockholders. For example, in February 2025, we completed the acquisition of Ambry pursuant to which we issued an aggregate of 4,483,136 shares of our Class A common stock, and in August 2025, we completed the acquisition of Paige AI, Inc., pursuant to which we issued an aggregate of 1,256,977 shares of Class A common stock. If the price of Class A our common stock is low or volatile, we may not be able to acquire other companies or fund a joint venture project using our stock as consideration. In addition, we have in the past utilized, and may in the future utilize borrowings under the Credit Facilities to fund the cash consideration for acquisitions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to pay fees and expenses related thereto. For future acquisitions, joint ventures or investments, there can be no assurance that additional funds will be available on terms that are favorable to us, or at all.</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since our inception and we may never achieve or sustain profitability. Generally, losses incurred will carry forward until such losses expire (for losses generated prior to January 1, 2018) or are used to offset future taxable income, if any. Under current law, U.S. federal net operating losses, or NOLs, incurred in taxable years beginning after December 31, 2017, can be carried forward indefinitely to offset future taxable income, but the deductibility of such U.S. federal NOL carryforwards in a taxable year is limited to 80% of taxable income in such year.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These changes may adversely affect our future cash flow. </w:t>
      </w:r>
    </w:p>
    <w:p>
      <w:pPr>
        <w:pStyle w:val="TextBody"/>
        <w:bidi w:val="0"/>
        <w:spacing w:before="360" w:after="283"/>
        <w:jc w:val="left"/>
        <w:rPr>
          <w:rFonts w:ascii="Times New Roman" w:hAnsi="Times New Roman"/>
          <w:sz w:val="20"/>
        </w:rPr>
      </w:pPr>
      <w:r>
        <w:rPr>
          <w:rFonts w:ascii="Times New Roman" w:hAnsi="Times New Roman"/>
          <w:b/>
          <w:i/>
          <w:color w:val="000000"/>
          <w:sz w:val="20"/>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in technology companies that has invested in us, and is a trustee of the Lefkofsky Family Foundation, Northwestern Medicine, and the Art Institute of Chicago, among others. Mr. Lefkofsky’s participation in and attention to these other endeavors may impact our business. In October 2022,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this security breach or others like it could indirectly impact Tempus.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depend on the services of our Chief Operating Officer, Ryan Fukushima, who was promoted to Chief Executive Officer, Data, effective February 20, 2026, and Tom Schoenherr, who was appointed Chief Executive Officer, Diagnostics, effective February 20, 2026. Mr. Fukushima is a co-Founder of Pathos AI, Inc. and currently devotes some of his professional time to Pathos.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individual and collective efforts of Mr. Lefkofsky, Mr. Fukushima, Mr. Schoenherr and our other employees will be important as we continue to develop our Platform and additional products, and as we expand our commercial activities. The loss or incapacity of existing members of our executive management team, or the inability of such individuals to devote sufficient time to our endeavors, could adversely affect our operations if we experience difficulties in hiring qualified successors. While our executive officers have entered into employment agreements with us, they are at-will employees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Raleigh, Aliso Viejo and Minneapolis.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 Our employees also are subject to certain post-employment noncompete obligations, unless otherwise prohibited by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failure in our hiring practices, including insufficient background screening, misrepresentation of job roles, or recruiting under false pretenses, could expose us to operational disruptions, legal claims, regulatory investigations, and reputational harm. Litigation, regulatory enforcement actions, or other claims arising from employee misconduct or improper hiring practices could result in significant costs, management distraction, and damage to our brand,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comparable foreign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Legal claims and proceedings could adversely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of our officers, directors and principal stockholders may pursue corporate opportunities independent of us that could present conflicts with our and our stockholders’ interests.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articles of incorporation provide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were to be sued for product liability or professional liability, we could face substantial liabilities that exceed our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clinical customers to terminate existing agreements with us and potential clinical customers to seek other partners, any of which could adversely impact our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information technology systems, including on-premises, co-located and third-party data centers and platforms, and any interruptions of service or failures may impair and harm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information technology and telecommunications systems for significant elements of our operations, including our laboratory information management system, our computational biology system, our AI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Google Cloud were terminated, or we are forced to transition to a new cloud provider,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the third parties with whom we work process proprietary, confidential, and sensitive data, including personal data (such as large amounts of personal health and financial information), intellectual property, and trade secrets, or collectively, sensitive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false pretense hiring attacks,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Remote work has increased risks to our information technology systems and data, as our employees utilize network connections, computers and devices outside our premises or network, including working at home, while in transit and in public locations.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 parties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The third parties with whom we work have experienced, and may in the future experience, a security incident or other interruption, which could cause us to experience adverse consequences. While we may be entitled to damages if the third parties with whom we work fail to satisfy their privacy or security-related obligations to us, any award may be insufficient to cover our damages, or we may be unable to recover such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products and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Applicable data privacy and security obligations have required, or may in the future require, us or third parties with whom we work, or we or such third parties may voluntarily choose, to notify relevant stakeholders, including affected individuals, customers, regulators, and investors, of security incidents, or to take other actions, such as providing credit monitoring and identity theft protection services. For example, notice of HIPAA breaches must be made to affected individuals, the Secretary of the Department of Health and Human Services or other state, federal or foreign regulators, including State Attorneys General, and for extensive breaches, notice may need to be made to the media.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products and services, deter new customers from using our products and services, and negatively impact our ability to grow and operate our business. 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Our contracts may not contain limitations of liability, and even where they do, there can be no assurance that limitations of liability in our contracts are sufficient to protect us from liabilities, damages, or claims related to our data privacy and security obligations.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or our customers could be leaked, disclosed, or revealed as a result of or in connection with our employees’, personnel’s, or vendors’ use of AI technologies. Any sensitive information (including confidential, competitive, proprietary, or personal data) that we input into a third-party AI/machine learning platform could be leaked or disclosed to others, including if sensitive information is used to train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third parties’ AI/machine learning model. Additionally, where an AI/machine learning model ingests personal data and makes connections using such data, those technologies may reveal other personal or sensitive information generated by the model. Moreover, AI/machine learning models may create flawed, incomplete, or inaccurate outputs, some of which may appear correct. This may happen if the inputs that the model relied on were inaccurate, incomplete or flawed (including if a bad actor “poisons” the AI/machine learning with bad inputs or logic), or if the logic of the AI/machine learning is flawed (a so-called “hallucination”). We may use AI/machine learning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If such AI/machine learning-based outputs are deemed to be biased, we could face adverse consequences, including exposure to reputational and competitive harm, customer loss, and legal liability. </w:t>
      </w:r>
    </w:p>
    <w:p>
      <w:pPr>
        <w:pStyle w:val="TextBody"/>
        <w:bidi w:val="0"/>
        <w:spacing w:before="360" w:after="283"/>
        <w:jc w:val="left"/>
        <w:rPr>
          <w:rFonts w:ascii="Times New Roman" w:hAnsi="Times New Roman"/>
          <w:b/>
          <w:color w:val="000000"/>
          <w:sz w:val="20"/>
        </w:rPr>
      </w:pPr>
      <w:bookmarkStart w:id="5" w:name="unresolved_staff_comments"/>
      <w:bookmarkEnd w:id="5"/>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6" w:name="item_1c_cybersecurity"/>
      <w:bookmarkEnd w:id="6"/>
      <w:r>
        <w:rPr>
          <w:rFonts w:ascii="Times New Roman" w:hAnsi="Times New Roman"/>
          <w:b/>
          <w:color w:val="000000"/>
          <w:sz w:val="20"/>
        </w:rPr>
        <w:t>Item 1C. C</w:t>
      </w:r>
      <w:bookmarkStart w:id="7" w:name="cybersecurity"/>
      <w:bookmarkEnd w:id="7"/>
      <w:r>
        <w:rPr>
          <w:rFonts w:ascii="Times New Roman" w:hAnsi="Times New Roman"/>
          <w:b/>
          <w:color w:val="000000"/>
          <w:sz w:val="20"/>
        </w:rPr>
        <w:t>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depends on our continued ability to collect and safeguard vast amounts of personal and sensitive business information, including, among other types of data, protected health information (PHI), employee information, credit card information, insurance information, proprietary and confidential information about our business, financial information, trade secrets, intellectual property, and the sensitive and confidential information from the third parties with whom we work. We have implemented and maintain various information security processes designed to identify, assess, and manage material risks from cybersecurity threats to our critical computer networks, third party hosted services, communications systems, and hardware and software, to safeguard and prevent unauthorized access to this critical data (collectively Information Systems and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Chief Technology Officer, or CTO, and our Chief Information Security Officer, or CISO, together with our Enterprise Risk Management Committee help identify, assess, and manage the Company’s cybersecurity threats and risks. Working with a cross-functional team, these individuals and our Enterprise Risk Management Committee identify and assess risks from cybersecurity threats by monitoring and evaluating our threat environment using various methods including, for example, manual and automated tools, subscribing to reports and services that identify cybersecurity threats, analyzing reports of threats and actors, conducting scans of the threat environment, evaluating our and our industry’s risk profile, evaluating threats reported to us, conducting internal and/or external audits, conducting vulnerability assessments to identify vulnerabilities, using external intelligence feeds, and third-party-conducted red/blue team testing and tabletop incident response exercises.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Information Security program has seven broad components: Controls &amp; Compliance; Security Operations / Incident Response; Cloud Security; Identity and Access Management; Application Security; Enterprise Security; and Data Security and Governance. Within each program component, and depending on the environment, we implement and maintain various technical, physical, and organizational measures, processes, standards, and policies to manage and mitigate material risks from cybersecurity threats to our Information Systems and Data, including, for example: maintaining a vulnerability management policy and disaster recovery/business continuity plans, risk assessments, encryption of data, network security controls, data segregation, access controls, physical security, asset management, tracking and disposal, a vendor risk management program, a dedicated cybersecurity staff/officer, active monitoring, detection, prevention, mitigation, and remediation strategies to ensure we are adequately safeguarding and protecting our critical information, routinely conducting audits, vulnerability scans, penetration tests, social engineering simulations, security awareness training, and threat intelligence assessments to ensure that our systems, policies, and procedures are operating as intended. We also engage with a range of external experts to help us evaluate and attest to our risk management systems, including maintaining a certification pursuant to ISO 27001 and conducting periodic third-party audits to maintain our certification.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maintain a detailed Incident Response Plan to assist in responding to potential cybersecurity threats. Our Incident Response Plan addresses critical aspects of incident management, including detection, impact analysis, containment, mitigation, remediation, recovery, and long-term strategies to prevent future incidents. Our Information Security and Privacy Teams conduct tabletop exercises twice per year to ensure preparedness for information security, including cybersecurity incidents. In addition, we promote a company culture of awareness and discipline in cybersecurity matters through annual employee training and education, including periodic phishing and social engineering simulations. We also maintain cybersecurity insurance coverage.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Our Privacy program is designed to support and enhance our Cybersecurity program. We perform an annual HIPAA Security Risk Assessment, among other things, to help identify remediation priorities and to ensure we have implemented best practices in storing and safeguarding PHI.</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Our assessment and management of material risks from cybersecurity threats are integrated into the Company’s overall risk management processes. For example, (1) cybersecurity risk is addressed as a component of the Company’s enterprise risk management program; (2) the information security department works with management to prioritize our risk management processes and mitigate cybersecurity threats that are more likely to lead to a material impact to our business; (3) our Enterprise Risk Management Committee evaluates material risks from cybersecurity threats against our overall business objectives and reports to the board of directors, which evaluates our overall enterprise risk.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frequently collaborate with other third-party service providers to conduct regular audits, threat assessments, and consultation on cybersecurity strategy, enhancements, and best practices. We use third-party service providers to assist us from time to time to identify, assess, and manage material risks from cybersecurity threats, including for example, professional services firms, including legal counsel, cybersecurity software providers, and penetration testing firms.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use third-party service providers to perform a variety of functions throughout our business, such as application providers and cloud infrastructure providers. We have a vendor management program to manage cybersecurity risks associated with our use of these providers. The program includes security questionnaires, review of the vendor's written security program, review of security assessments, and security assessment calls with the vendor's security personnel.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For more information regarding the risks we face from cybersecurity threats, please see “Item 1A. Risk Factors” included elsewhere in this Annual Report on Form 10-K, including “Cyber-based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Our cybersecurity risk assessment and management processes as well as our Information Security program are implemented and maintained by certain Company management, including our CTO and our CISO, who have 25 years of experience in cybersecurity and IT Operations respectively. Our CTO and CISO collaborate with a cross-functional team of seasoned professionals responsible for maintaining, improving, and promoting our Information Security program. In addition to the oversight by our Technology and Security leaders, representatives from our Information Technology, Legal, Privacy, Finance, Regulatory, Quality, and Compliance teams are integral to the successful implementation of our overall Information Security program.</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CISO is responsible for hiring appropriate personnel, helping to integrate cybersecurity risk considerations into the Company’s overall risk management strategy, and communicating key priorities to relevant personnel. The CISO and CTO are responsible for approving budgets, helping prepare for cybersecurity incidents, approving cybersecurity processes, and reviewing security assessments and other security-related reports.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Incident Response Plan is designed to escalate certain cybersecurity incidents to members of management depending on the circumstances. This team works with the Company’s incident response team to help the Company mitigate and remediate cybersecurity incidents of which they are notified. In addition, the Company’s Incident Response Plan includes reporting to the Audit Committee of the board of directors for certain cybersecurity incidents.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Our CISO reports to the full Board of Directors quarterly, or more frequently as needed. These reports generally address each of the six components of our Information Security program, including the Company’s progress on initiatives we have prioritized for the quarter. Our Audit Committee has general oversight responsibility for our data security practices, and we believe the Committee has the requisite skills and visibility into the risk profile of our Company to fulfill this responsibility effectively. Our CTO, CISO, or other members of our Enterprise Risk Management Committee report to the Audit Committee quarterly or on an as-needed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Senior members of our management are responsible for assisting our CTO and CISO in managing cybersecurity risk. We maintain a cross-functional Enterprise Risk Management Committee, which meets monthly to identify, assess, mitigate, and remediate risks impacting the Company, including cybersecurity risks. Members of this committee include our CISO, CTO, Chief Financial Officer, Chief Privacy Officer, General Counsel, Chief Commercial Officer, Chief Scientific Officer, Chief Medical Officer, Chief Legal Officer, and the heads of our Regulatory and Quality teams. The Enterprise Risk Management Committee informs members of the Audit Committee regarding the overall enterprise risks identified by management, progress on remediation efforts identified in the prior quarter, and risk mitigation priorities for the forthcoming quarter.</w:t>
      </w:r>
    </w:p>
    <w:p>
      <w:pPr>
        <w:pStyle w:val="TextBody"/>
        <w:bidi w:val="0"/>
        <w:spacing w:before="200" w:after="283"/>
        <w:jc w:val="left"/>
        <w:rPr>
          <w:rFonts w:ascii="Times New Roman" w:hAnsi="Times New Roman"/>
          <w:b/>
          <w:color w:val="000000"/>
          <w:sz w:val="20"/>
        </w:rPr>
      </w:pPr>
      <w:bookmarkStart w:id="8" w:name="properties"/>
      <w:bookmarkEnd w:id="8"/>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headquarters is located in Chicago, Illinois, where we lease approximately 217,000 square feet of laboratory and office space pursuant to a lease that expires in May 2029. We also lease an aggregate of approximately 22,000 square feet of laboratory and office space in Atlanta, Georgia pursuant to a lease that will expire in December 2029. Our CLIA-certified laboratories are located in these facilities. We also lease genomics labs in Raleigh, North Carolina, and Minneapolis, Minnesota and own our lab in Aliso Viejo, California. We also lease offices in New York, New York, Redwood City, California and Aliso Viejo, California. We also own 92,695 square feet of land in Aliso Viejo, California.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pStyle w:val="TextBody"/>
        <w:bidi w:val="0"/>
        <w:spacing w:before="360" w:after="283"/>
        <w:jc w:val="left"/>
        <w:rPr>
          <w:rFonts w:ascii="Times New Roman" w:hAnsi="Times New Roman"/>
          <w:sz w:val="20"/>
        </w:rPr>
      </w:pPr>
      <w:bookmarkStart w:id="9" w:name="item_3_legal_proceedings"/>
      <w:bookmarkEnd w:id="9"/>
      <w:r>
        <w:rPr>
          <w:rFonts w:ascii="Times New Roman" w:hAnsi="Times New Roman"/>
          <w:b/>
          <w:color w:val="000000"/>
          <w:sz w:val="20"/>
        </w:rPr>
        <w:t xml:space="preserve">Item 3. Legal </w:t>
      </w:r>
      <w:bookmarkStart w:id="10" w:name="legal_proceedings"/>
      <w:bookmarkEnd w:id="10"/>
      <w:r>
        <w:rPr>
          <w:rFonts w:ascii="Times New Roman" w:hAnsi="Times New Roman"/>
          <w:b/>
          <w:color w:val="000000"/>
          <w:sz w:val="20"/>
        </w:rPr>
        <w:t>Proceedings.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From time to time, we may be involved in various legal proceedings, including commercial claims from customers and vendors, potential lawsuits seeking damages and/or injunctive relief, employment disputes, subpoenas, government investigations, regulatory or administrative proceedings, and other types of matters arising from the normal course of business activities. We may also initiate such proceedings against various third parties. Defending against and pursuing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Except as described below, we believe there are currently no pending legal proceedings to which we or our property are subject that could have a material adverse effect on our financial position, results of operations or cash flows.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In other instances, although no formal legal proceeding has been instituted, from time to time, we receive requests from governmental agencies, or third parties working on their behalf, for documents and information related to our products and services.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additional inquiry from the Ohio Attorney General’s office since that time.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or Date of Service Rule. We provided an initial production on April 4, 2024, and have produced additional responsive documents on a rolling basis since that time.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While we believe our programs and payments comply with the Anti-Kickback statute and other applicable regulations, no assurance can be given as to the timing or outcome of the government’s investigation, or that it will not result in a material adverse effect on our business. In addition, we have received requests for medical records and billing information from certain Unified Program Integrity Coordinators or other third parties working on the government’s behalf regarding clinical diagnostic services provided by us to patients enrolled in the Medicare and Medicaid programs. We have responded to all such requests for information.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On June 11, 2024, Guardant Health Inc., or Guardant, filed a complaint against us in the U.S. District Court for the District of Delaware. The complaint alleges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On January 17, 2025, Guardant separately sought a Declaratory Judgment against Tempus in the U.S. District Court for the District of Delaware regarding the veracity of certain advertisements Guardant has published regarding the companies’ respective products. On March 14, 2025, Tempus filed multiple counterclaims against Guardant under the Lanham Act and related states statutes alleging, among other things, that Guardant’s advertisements were false and misleading. Tempus filed a separate patent infringement complaint against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Guardant in the U.S. District Court for the Southern District of California alleging that certain Guardant products infringe U.S. Patent Nos. 12,112,839, 11,640,859, 10,957,041, and 10,991,097. On August 12, 2025, Guardant filed a complaint against us in the U.S. District Court for the District of Delaware alleging that Tempus’s xM tests infringe three Guardant U.S. patents. The xM complaint, which has been consolidated with Guardant’s pending patent infringement case in the District of Delaware, seeks injunctive relief, unspecified monetary damages (including enhanced damages), a future mandatory royalty, costs and attorneys fees. All cases are pending.</w:t>
      </w:r>
    </w:p>
    <w:p>
      <w:pPr>
        <w:pStyle w:val="TextBody"/>
        <w:bidi w:val="0"/>
        <w:spacing w:before="80" w:after="160"/>
        <w:jc w:val="both"/>
        <w:rPr>
          <w:rFonts w:ascii="Times New Roman" w:hAnsi="Times New Roman"/>
          <w:sz w:val="20"/>
        </w:rPr>
      </w:pPr>
      <w:r>
        <w:rPr>
          <w:rFonts w:ascii="Times New Roman" w:hAnsi="Times New Roman"/>
          <w:color w:val="000000"/>
          <w:sz w:val="20"/>
        </w:rPr>
        <w:t xml:space="preserve">On June 12, 2025, the Company, Mr. Lefkofsky, our Chief Executive Officer, and Mr. Rogers, our Chief Financial Officer, were named as defendants in a federal securities class-action lawsuit titled </w:t>
      </w:r>
      <w:r>
        <w:rPr>
          <w:rFonts w:ascii="Times New Roman" w:hAnsi="Times New Roman"/>
          <w:i/>
          <w:color w:val="000000"/>
          <w:sz w:val="20"/>
        </w:rPr>
        <w:t>Shouse v. Tempus AI, Inc. et al.</w:t>
      </w:r>
      <w:r>
        <w:rPr>
          <w:rFonts w:ascii="Times New Roman" w:hAnsi="Times New Roman"/>
          <w:color w:val="000000"/>
          <w:sz w:val="20"/>
        </w:rPr>
        <w:t xml:space="preserve">, which was filed in the United States District Court for the Northern District of Illinois. On November 17, 2025, the lead plaintiff in the action voluntarily dismissed the action after determining “that he could not file an amended complaint that met the PSLRA’s heightened pleading requirements.” Two derivative lawsuits based on the same set of operative facts were also voluntarily dismissed.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On February 12, 2026, a lawsuit was filed against us in the United States District Court for the Northern District of Illinois. A companion case was filed the next day in the same court. Both lawsuits allege violations of the Illinois Genetic Information Privacy Act and seek class action status. We believe the lawsuits to be without merit and intend to vigorously defend ourselves.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We assess legal contingencies to determine the degree of probability and range of possible loss for potential accrual in its financial statements. When evaluating legal contingencies, we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may be unsupported, exaggerated or unrelated to possible outcomes, and as such are not meaningful indicators of potential liability. Loss contingencies, including claims and legal actions arising in the ordinary course of business, are recorded as liabilities when the likelihood of loss is probable and an amount or range of loss can be reasonably estimated. </w:t>
      </w:r>
    </w:p>
    <w:p>
      <w:pPr>
        <w:pStyle w:val="TextBody"/>
        <w:bidi w:val="0"/>
        <w:spacing w:before="200" w:after="283"/>
        <w:jc w:val="left"/>
        <w:rPr>
          <w:rFonts w:ascii="Times New Roman" w:hAnsi="Times New Roman"/>
          <w:b/>
          <w:color w:val="000000"/>
          <w:sz w:val="20"/>
        </w:rPr>
      </w:pPr>
      <w:bookmarkStart w:id="11" w:name="mine_safety_disclosures"/>
      <w:bookmarkEnd w:id="11"/>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12" w:name="market_for_registrants_common_equity"/>
      <w:bookmarkEnd w:id="12"/>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 and Holders of Record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Class A common stock is currently listed on the Nasdaq Global Select Market under the symbol “TEM.” As of February 20, 2026, there were 33 holders of record of our Class A common stock and 2 holders of record of our Class B common stock. Because many of our shares of Class A common stock are held by brokers and other institutions on behalf of stockholders, we are unable to estimate the total number of stockholders represented by these record holders.</w:t>
      </w:r>
    </w:p>
    <w:p>
      <w:pPr>
        <w:pStyle w:val="TextBody"/>
        <w:bidi w:val="0"/>
        <w:spacing w:before="360" w:after="283"/>
        <w:jc w:val="left"/>
        <w:rPr>
          <w:rFonts w:ascii="Times New Roman" w:hAnsi="Times New Roman"/>
          <w:sz w:val="20"/>
        </w:rPr>
      </w:pPr>
      <w:r>
        <w:rPr>
          <w:rFonts w:ascii="Times New Roman" w:hAnsi="Times New Roman"/>
          <w:b/>
          <w:color w:val="000000"/>
          <w:sz w:val="20"/>
        </w:rPr>
        <w:t>Dividend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Historically, we paid cash and stock dividends on our preferred stock. Following the conversion of our preferred stock into Class A common stock and Class B common stock in connection with our IPO,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Equity Securities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Proceeds from Initial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r>
        <w:rPr>
          <w:rFonts w:ascii="Times New Roman" w:hAnsi="Times New Roman"/>
          <w:b/>
          <w:color w:val="000000"/>
          <w:sz w:val="20"/>
        </w:rPr>
        <w:t>Purchases of Equity Securities by the Issuer and Affiliated Purchasers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r>
        <w:rPr>
          <w:rFonts w:ascii="Times New Roman" w:hAnsi="Times New Roman"/>
          <w:b/>
          <w:color w:val="000000"/>
          <w:sz w:val="20"/>
        </w:rPr>
        <w:t>Securities Authorized for Issuance under Equity Compensation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regarding our equity compensation plans and the securities authorized for issuance thereunder is set forth in Part III, Item 12 of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graph is not "soliciting material" is not deemed "filed" with the SEC and is not to be incorporated by reference into any of our filings under the Securities Act or the Exchange Act, whether made before or after the date hereof and irrespective of any general incorporation language in any such filing.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graph below shows the cumulative total return to our stockholders between June 14, 2024 (the date that our Class A common stock commenced trading on the Nasdaq Global Select Market) through December 31, 2025 relative to the Nasdaq Composite Index and the Nasdaq Biotechnology Index. The graph assumed that $100 was invested in each of our Class A common stock, the Nasdaq Composite and the Nasdaq Biotechnology at their respective closing prices on June 14, 2024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assumes reinvestment of gross dividends. The stock price performance shown in the graph represents past performance and should not be considered an indication of future stock price performance.</w:t>
      </w:r>
    </w:p>
    <w:p>
      <w:pPr>
        <w:pStyle w:val="TextBody"/>
        <w:bidi w:val="0"/>
        <w:jc w:val="left"/>
        <w:rPr/>
      </w:pPr>
      <w:r>
        <w:rPr/>
        <w:t> </w:t>
      </w:r>
    </w:p>
    <w:p>
      <w:pPr>
        <w:pStyle w:val="TextBody"/>
        <w:bidi w:val="0"/>
        <w:jc w:val="center"/>
        <w:rPr/>
      </w:pPr>
      <w:r>
        <w:rPr/>
        <w:drawing>
          <wp:inline distT="0" distB="0" distL="0" distR="0">
            <wp:extent cx="5276850" cy="34099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276850" cy="3409950"/>
                    </a:xfrm>
                    <a:prstGeom prst="rect">
                      <a:avLst/>
                    </a:prstGeom>
                  </pic:spPr>
                </pic:pic>
              </a:graphicData>
            </a:graphic>
          </wp:inline>
        </w:drawing>
      </w:r>
    </w:p>
    <w:p>
      <w:pPr>
        <w:pStyle w:val="TextBody"/>
        <w:bidi w:val="0"/>
        <w:spacing w:before="360" w:after="283"/>
        <w:jc w:val="left"/>
        <w:rPr>
          <w:rFonts w:ascii="Times New Roman" w:hAnsi="Times New Roman"/>
          <w:b/>
          <w:color w:val="000000"/>
          <w:sz w:val="20"/>
        </w:rPr>
      </w:pPr>
      <w:bookmarkStart w:id="13" w:name="reserved"/>
      <w:bookmarkEnd w:id="13"/>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160" w:after="283"/>
        <w:jc w:val="left"/>
        <w:rPr>
          <w:rFonts w:ascii="Times New Roman" w:hAnsi="Times New Roman"/>
          <w:sz w:val="20"/>
        </w:rPr>
      </w:pPr>
      <w:bookmarkStart w:id="14" w:name="managements_discussion_analysis"/>
      <w:bookmarkEnd w:id="14"/>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pPr>
      <w:r>
        <w:rPr>
          <w:rFonts w:ascii="Times New Roman" w:hAnsi="Times New Roman"/>
          <w:i/>
          <w:color w:val="000000"/>
          <w:sz w:val="20"/>
        </w:rPr>
        <w:t xml:space="preserve">The following discussion and analysis of our financial condition and results of operations should be read in conjunction with the consolidated financial statements and related notes included elsewhere in this Annual Report on Form 10-K.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“Note Regarding Forward-Looking Statements” and “Risk Factors” in this Annual Report on Form 10-K for a discussion of forward-looking statements and important factors that could cause actual results to differ materially from the results described in or implied by the forward-looking statements contained in the following discussion and analysis. The following discussion provides a narrative of our financial condition and results of operations for the fiscal year ended December 31, 2025 compared to the fiscal year ended December 31, 2024. A discussion regarding our financial condition and results of operations for the fiscal year ended December 31, 2024 compared to the fiscal year ended December 31, 2023 can be found in “Management's Discussion and Analysis of Financial Condition and Results of Operations” in </w:t>
      </w:r>
      <w:r>
        <w:fldChar w:fldCharType="begin"/>
      </w:r>
      <w:r>
        <w:rPr>
          <w:rStyle w:val="InternetLink"/>
          <w:sz w:val="20"/>
          <w:i/>
          <w:u w:val="single"/>
          <w:rFonts w:ascii="Times New Roman" w:hAnsi="Times New Roman"/>
          <w:color w:val="0000FF"/>
        </w:rPr>
        <w:instrText xml:space="preserve"> HYPERLINK "https://www.sec.gov/ix?doc=/Archives/edgar/data/0001717115/000095017025025603/tem-20241231.htm" \l "managements_discussion_analysis"</w:instrText>
      </w:r>
      <w:r>
        <w:rPr>
          <w:rStyle w:val="InternetLink"/>
          <w:sz w:val="20"/>
          <w:i/>
          <w:u w:val="single"/>
          <w:rFonts w:ascii="Times New Roman" w:hAnsi="Times New Roman"/>
          <w:color w:val="0000FF"/>
        </w:rPr>
        <w:fldChar w:fldCharType="separate"/>
      </w:r>
      <w:r>
        <w:rPr>
          <w:rStyle w:val="InternetLink"/>
          <w:rFonts w:ascii="Times New Roman" w:hAnsi="Times New Roman"/>
          <w:i/>
          <w:color w:val="0000FF"/>
          <w:sz w:val="20"/>
          <w:u w:val="single"/>
        </w:rPr>
        <w:t>our Annual Report on Form 10-K for the year ended December 31, 2024</w:t>
      </w:r>
      <w:r>
        <w:rPr>
          <w:rStyle w:val="InternetLink"/>
          <w:sz w:val="20"/>
          <w:i/>
          <w:u w:val="single"/>
          <w:rFonts w:ascii="Times New Roman" w:hAnsi="Times New Roman"/>
          <w:color w:val="0000FF"/>
        </w:rPr>
        <w:fldChar w:fldCharType="end"/>
      </w:r>
      <w:r>
        <w:rPr>
          <w:rFonts w:ascii="Times New Roman" w:hAnsi="Times New Roman"/>
          <w:color w:val="000000"/>
          <w:sz w:val="20"/>
        </w:rPr>
        <w:t xml:space="preserve"> </w:t>
      </w:r>
      <w:r>
        <w:rPr>
          <w:rFonts w:ascii="Times New Roman" w:hAnsi="Times New Roman"/>
          <w:i/>
          <w:color w:val="000000"/>
          <w:sz w:val="20"/>
        </w:rPr>
        <w:t>as filed with the U.S. Securities and Exchange Commission on February 24, 2025, which is incorporated herein by reference.</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offer two product lines: Diagnostics and Data and applications. Each product line is designed to enable and enhance the other, thereby creating network effects in each of the markets in which we operate. We are able to commercialize records multiple times, both at the time a test is run and thereafter. Our Diagnostics product line leverages our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The data generated in our lab or ingested into our platform as part of the Diagnostics product line is structured and de-identified, prior to commercialization. This de-identified database is then commercialized to our pharmaceutical and biotechnology partners to facilitate drug discovery and development through our products, including, among other things, Insights, Trials, Next and Algos. Our Applications product line is focused on developing and providing diagnostics that are algorithmic in nature, implementing new software as a medical device, and building and deploying clinical decision support tools.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primarily operate in the United States and generated total revenue of $1,271.8 million, $693.4 million and $531.8 million in the years ended December 31, 2025, 2024 and 2023, respectively. We also incurred net losses of $245.0 million, $705.8 million and $214.1 million in the years ended December 31, 2025, 2024 and 2023, respectively. We generated adjusted EBITDA of $(7.4) million, $(104.7) million and $(154.2) million in the years ended December 31, 2025, 2024 and 2023,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a non-GAAP financial measure, see "—Non-GAAP Financial Measure."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Acquisition of Ambry Genetics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3, 2025, or the Closing Date, we completed our acquisition, or the Ambry Acquisition, of Ambry Genetics Corporation, a Delaware corporation, or Ambry, pursuant to a Securities Purchase Agreement, or the Purchase Agreement, entered into on November 4, 2024 with REALM IDx, Inc., a Delaware corporation, or the Seller, and the Seller’s ultimate parent, Konica Minolta, Inc., a Japanese corporation, as guarantor. We acquired all of the issued and outstanding shares of capital stock of Ambry. Consideration for the acquisition consisted of $375.0 million in cash, subject to adjustment for cash, unpaid indebtedness, unpaid transaction expenses and net working capital of Ambry, or the Cash Consideration, plus the issuance of an aggregate of 4,843,136 shares of our Class A common stock, or the Stock Consideration. The Stock Consideration was valued at $61.54 per share, which was the closing price of our Class A common stock on the Closing Date. Pursuant to the terms of the Purchase Agreement, 2,152,505 shares issued as Stock Consideration are subject to a lock-up for a period of one year following the Closing Date. In addition, $5.0 million of the Cash Consideration are held in an escrow account for purposes of satisfying any post-closing purchase price adjustments. The net working capital adjustment was finalized in September 2025, resulting in a decrease to the acquisition price of $3.0 million which was recorded to 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closing of the acquisition, we entered into an amendment to the Credit Agreement (as defined below), providing for an additional $200.0 million in senior secured term loans, or the Additional Term Loan Facility, and $100.0 million in priority revolving loan commitments, or the Revolving Credit Facility. We utilized borrowings under the Additional Term Loan Facility and the Revolving Credit Facility to fund the Cash Consideration for the acquisition and to pay fees and expenses related thereto.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 2025, we completed a private offering, or the Offering, of $750.0 million aggregate principal amount of 0.75% Convertible Senior Notes due 2030, or the Notes, including the exercise in full of the initial purchasers’ option to purchase up to an additional $100.0 million principal amount of the Notes. The Notes are our general unsecured obligations and will mature on July 15, 2030, unless earlier converted, redeemed or repurchased. Interest on the Notes will accrue at a rate of 0.75% per year from July 3, 2025 and will be payable semiannually in arrears on January 15 and July 15 of each year, beginning on January 15, 2026. Refer to Note 12 to our consolidated financial statements included elsewhere in this Annual Report on Form 10-K for further information regarding the issuance and terms of the Notes and the Capped Call transaction (each as defined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net proceeds from the Offering were $725.7 million, after deducting the initial purchasers’ discounts and commissions and the offering expenses payable by us. We used a portion of the net proceeds from the Offering to repay $293.5 million of the Term Loan Facilities (as defined below), which includes repayment of the principal, accrued interest, and prepayment premium and to pay approximately $41.8 million cost of the Capped Call. We expect to use the remaining net proceeds from the Offering for general corporate purposes, which may include acquisitions or strategic investments in complementary businesses or technologies, working capital, operating expenses, capital expenditures and repayment of additional indebtedness.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At the Market Sales Agreement</w:t>
      </w:r>
    </w:p>
    <w:p>
      <w:pPr>
        <w:pStyle w:val="TextBody"/>
        <w:bidi w:val="0"/>
        <w:spacing w:before="120" w:after="283"/>
        <w:jc w:val="left"/>
        <w:rPr>
          <w:rFonts w:ascii="Times New Roman" w:hAnsi="Times New Roman"/>
          <w:sz w:val="20"/>
        </w:rPr>
      </w:pPr>
      <w:r>
        <w:rPr>
          <w:rFonts w:ascii="Times New Roman" w:hAnsi="Times New Roman"/>
          <w:color w:val="000000"/>
          <w:sz w:val="20"/>
        </w:rPr>
        <w:t>On August 8, 2025, we entered into a Controlled Equity Offering</w:t>
      </w:r>
      <w:r>
        <w:rPr>
          <w:rFonts w:ascii="Times New Roman" w:hAnsi="Times New Roman"/>
          <w:color w:val="000000"/>
          <w:sz w:val="16"/>
        </w:rPr>
        <w:t>SM</w:t>
      </w:r>
      <w:r>
        <w:rPr>
          <w:rFonts w:ascii="Times New Roman" w:hAnsi="Times New Roman"/>
          <w:color w:val="000000"/>
          <w:sz w:val="20"/>
        </w:rPr>
        <w:t xml:space="preserve"> Sales Agreement, or the Sales Agreement, with Morgan Stanley &amp; Co., LLC, Cantor Fitzgerald &amp; Co., TD Securities (USA), LLC and Allen &amp; Company LLC, as sales agents, or collectively, the Sales Agents, pursuant to which we may offer and sell from time to time, at our option, shares of Class A common stock through the Sales Agents, or the ATM. The issuance and sale, if any, of shares of Class A Common Stock under the Sales Agreement will be made pursuant to an automatically effective registration statement on Form S-3 and the related prospectus included therein, or the ATM Prospectus, which was filed with the SEC on August 8, 2025. In accordance with the terms of the Sales Agreement, under the ATM Prospectus, we may offer and sell shares of Class A common stock having an aggregate offering price of up to $500.0 million from time to time through the Sales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2025, we sold 2,381,895 shares under the ATM at a weighted average price of $83.97 per share for total proceeds of $195.5 million, net of $4.5 million in commissions. In connection with the entry of the Sales Agreement and filing of the ATM prospectus, we incurred $0.9 million of deferred offering costs, of which $0.8 million was reclassified as a reduction of paid-in-capital upon completion of the sales that occurred in 2025. The remaining deferred offering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which were incurred in anticipation of future ATM sales, are recorded in Prepaid and other assets on the consolidated balance sheet. As of December 31, 2025, approximately $300.0 million remained available for sale pursuant to the Sales Agreement and ATM Prospectus.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 of Paige.AI,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22, 2025, or the Paige Closing Date, we completed our acquisition, or the Paige Acquisition, of Paige.AI, Inc., or Paige, a Delaware corporation, pursuant to an Agreement and Plan of Merger entered into on August 22, 2025 with Giant Panda Merger Sub, Inc., a Delaware corporation, Paige, and Shareholder Representative Services LLC, a Colorado limited liability company, solely in its capacity as the securityholder representative. Paige is an AI company specializing in digital pathology. The Paige Acquisition is expected to allow us to grow our dataset and establish a strong footprint in digital pathology with an industry leading technology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acquired all of the issued and outstanding shares of Paige. The aggregate acquisition date fair value of consideration for the Paige Acquisition totaled $101.5 million. Consideration consisted of $3.0 million of cash and the issuance of an aggregate of 1,256,977 shares of our Class A common stock, or the Paige Stock Consideration, which was valued at $80.52 per share, the closing price of our Class A common stock on the Paige Closing Date. A portion of the Paige Stock Consideration was paid to employees as consideration for transaction bonuses. Paige will pay approximately $3.2 million to fulfill employee tax obligations related to the issuance, of which $3.0 million has been paid as of December 31, 2025. The equivalent was withheld from those employees in our Class A common stock and included in treasury stock. In accordance with the terms of the agreement, $6.9 million in equity consideration was held back and is payable within five business days of August 22, 2026. The net working capital adjustment resulted in a decrease to the acquisition price of $1.2 million which was recorded to goodwill.</w:t>
      </w:r>
    </w:p>
    <w:p>
      <w:pPr>
        <w:pStyle w:val="TextBody"/>
        <w:bidi w:val="0"/>
        <w:spacing w:before="360" w:after="283"/>
        <w:jc w:val="left"/>
        <w:rPr>
          <w:rFonts w:ascii="Times New Roman" w:hAnsi="Times New Roman"/>
          <w:sz w:val="20"/>
        </w:rPr>
      </w:pPr>
      <w:r>
        <w:rPr>
          <w:rFonts w:ascii="Times New Roman" w:hAnsi="Times New Roman"/>
          <w:b/>
          <w:color w:val="000000"/>
          <w:sz w:val="20"/>
        </w:rPr>
        <w:t>Strategic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AstraZeneca and Pathos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we entered into a series of agreements with AstraZeneca AB, or AstraZeneca, and Pathos regarding both the development of a foundation large multimodal model in the field of oncology, or the Foundation Model, and the licensing of certain de-identified multi-modal data to assist in the development of the Foundation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we entered into a Statement of Work with AstraZeneca under the previously disclosed Master Services Agreement, dated November 17, 2021, as amended in October 2022, February 2023 and December 2023 (and as further amended from time to time, together with the Statement of Work, collectively referred to herein as the MSA). Pursuant to the MSA, (i) we will ensure that Pathos develops, and we provide AstraZeneca with, a Foundation Model which has been developed, validated, and maintained using de-identified datasets contributed by us, (ii) the Foundation Model will be developed, validated, and maintained by Pathos, (iii) AstraZeneca will pay us a fee of $35 million, and (iv) a syndicate of investors including AstraZeneca will contemporaneously execute a Stock Purchase Agreement with Pathos, or the SPA, as part of a preferred stock financing round of sufficient size given the obligations described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entered into an Order Form with Pathos under the previously disclosed Amended and Restated Master Agreement, restated effective February 12, 2024, (the Amended and Restated Master Agreement and the Order Form collectively referred to herein as the “Pathos Master Agreement”). Pursuant to the Pathos Master Agreement, (i) Pathos will be responsible for Foundation Model development activities under the MSA, (ii) we will license Pathos a comprehensive de-identified multi-modal dataset for the sole purpose of assisting in the development and training of the Foundation Model under the MSA, (iii) Pathos will pay us data license fees of $200 million over a three-year period, including an upfront payment of $50 million that has been paid as of April 2025 (iv) we will receive a license to use the Foundation Model upon its completion (with certain field restrictions and the right of sublicense to AstraZeneca), and (v) in consideration of Pathos’ commitments under the Pathos Master Agreement, we will pay Pathos $35 million, of which $25 million has been paid to date. Pathos, in its sole discretion, may pay up to 50% of the data license fees owed to us in shares of Pathos’ Series D Preferred Stock.</w:t>
      </w:r>
    </w:p>
    <w:p>
      <w:pPr>
        <w:pStyle w:val="TextBody"/>
        <w:bidi w:val="0"/>
        <w:spacing w:before="360" w:after="283"/>
        <w:jc w:val="left"/>
        <w:rPr>
          <w:rFonts w:ascii="Times New Roman" w:hAnsi="Times New Roman"/>
          <w:sz w:val="20"/>
        </w:rPr>
      </w:pPr>
      <w:r>
        <w:rPr>
          <w:rFonts w:ascii="Times New Roman" w:hAnsi="Times New Roman"/>
          <w:i/>
          <w:color w:val="000000"/>
          <w:sz w:val="20"/>
        </w:rPr>
        <w:t>AstraZeneca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2021, we entered into the MSA with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2026, unless terminated sooner. The minimum commitment may increase from $220 million to $320 million through December 2028 at AstraZeneca's election.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GlaxoSmithKline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 </w:t>
      </w:r>
    </w:p>
    <w:p>
      <w:pPr>
        <w:pStyle w:val="TextBody"/>
        <w:bidi w:val="0"/>
        <w:spacing w:before="360" w:after="283"/>
        <w:jc w:val="left"/>
        <w:rPr>
          <w:rFonts w:ascii="Times New Roman" w:hAnsi="Times New Roman"/>
          <w:sz w:val="20"/>
        </w:rPr>
      </w:pPr>
      <w:r>
        <w:rPr>
          <w:rFonts w:ascii="Times New Roman" w:hAnsi="Times New Roman"/>
          <w:i/>
          <w:color w:val="000000"/>
          <w:sz w:val="20"/>
        </w:rPr>
        <w:t>Recursion Master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pStyle w:val="TextBody"/>
        <w:bidi w:val="0"/>
        <w:spacing w:before="360" w:after="283"/>
        <w:jc w:val="left"/>
        <w:rPr>
          <w:rFonts w:ascii="Times New Roman" w:hAnsi="Times New Roman"/>
          <w:sz w:val="20"/>
        </w:rPr>
      </w:pPr>
      <w:r>
        <w:rPr>
          <w:rFonts w:ascii="Times New Roman" w:hAnsi="Times New Roman"/>
          <w:b/>
          <w:color w:val="000000"/>
          <w:sz w:val="20"/>
        </w:rPr>
        <w:t>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“Part I, Item 1A.—Risk Factors” for more information.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and New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$172.9 million, $149.3 million and $90.3 million during the years ended December 31, 2025, 2024 and 2023 respectively, in research and development. Our ability to develop new products, obtain regulatory approvals when required, launch them into the market, and drive adoption of these products by our customers will continue to play a key role in our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Customer Acquisition and Expansion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grow our business requires both identifying new customers and expanding our partnerships with existing ones across each of our product lines. For Diagnostics, this entails our field salesforce developing relationships with individual physicians, genetic counselors and hospital systems, demonstrating the power our Platform has in enabling them to provide personalized care to their patients. For Data and applications, this entails our pharmaceutical business development teams demonstrating the power our Platform and database have in enabling drug discovery, development and clinical trial matching for our pharmaceutical partners and demonstrating the utility of these algorithms in a clinical setting. Since our inception, our offerings have been used by more than 8,500 physicians and we have worked with over 250 biotech companies, as well as 19 of the 20 largest public pharmaceutical companies based on 2024 revenue, albeit with many we are still at an early stage of adoption. Our financial performance relies heavily on our ability to add customers to our Platform and expand the relationships with our current customers through adoption of our new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 in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$146.1 million, $167.5 million and $95.2 million during the years ended December 31, 2025, 2024 and 2023,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Payer Coverage and Reimbursement</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2025, we had received payment on approximately 55% of our clinical oncology NGS tests and 50% of our hereditary tests across all payers performed from January 1, 2023 through December 31, 2024. We calculated this metric on a trailing basis based on payer adjudication timing. However, we continued to perform our NGS tests through December 31, 2025. For the years ended December 31, 2025, 2024 and 2023, our average reimbursement for NGS tests in oncology (i.e., excluding hereditary testing) was approximately $1,600, $1,510 and $1,450, respectively. For the year ended December 31, 2025 and 2024, our average reimbursement for NGS tests in hereditary testing was approximately $770 and $760, on a pro forma basis, for which pro forma amounts have been calculated after applying our accounting policies.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current Data and applications products sales are to customers in the life sciences industry, in particular the pharmaceutical and biotechnology industry. Demand for our Data and applications products could be affected by factors that adversely affect the life sciences industry, including macroeconomic and market conditions that may adversely impact earlier stage biotechnology companies such as substantial new tariffs and other restrictive trade policies.</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primarily derive our revenue from our two product lines: (1) Diagnostics and (2) Data and applications.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Diagnostics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Diagnostics primarily includes revenue from Oncology testing (legacy Tempus) and Hereditary testing (legacy Ambry Genetics). Oncology testing includes revenue from diagnostics, PCR profiling, and other anatomic and molecular pathology testing to oncologists, pharmaceutical companies, biotechnology companies, researchers, and other third parties. Hereditary testing includes revenue from inherited cancer risk, whole exome and genome profiling for rare conditions, and all other inherited screening testing primarily to genetic counselors.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Data and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and applications primarily includes revenue from de-identified data generated through our Diagnostics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Cost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incur costs to generate revenue for each of our two product lines. Cost of revenues for our Diagnostics product line is a higher percentage of the Diagnostics revenue than cost of revenues for Data and applications is as a percentage of Data and applications revenue. As revenue shifts between these product lines, total cost of revenue as a percentage of revenue will be impacted.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Revenues, Diagnostics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for Diagnostics primarily includes personnel lab expenses, including salaries, bonuses, employee benefits and stock-based compensation expenses (which we refer to as “personnel costs”), and amortization of intangible assets, cost of laboratory supplies and consumables, laboratory rent expense, depreciation of laboratory equipment and shipping costs. Costs associated with performing our tests are recorded as the tests are processed at the time of report delivery. We expect these costs will increase in absolute dollars as our Diagnostics revenue continues to grow.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Revenues, Data and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for Data and applications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applications revenue continues to grow.</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w:t>
      </w:r>
    </w:p>
    <w:p>
      <w:pPr>
        <w:pStyle w:val="TextBody"/>
        <w:bidi w:val="0"/>
        <w:spacing w:before="360" w:after="283"/>
        <w:jc w:val="left"/>
        <w:rPr>
          <w:rFonts w:ascii="Times New Roman" w:hAnsi="Times New Roman"/>
          <w:sz w:val="20"/>
        </w:rPr>
      </w:pPr>
      <w:r>
        <w:rPr>
          <w:rFonts w:ascii="Times New Roman" w:hAnsi="Times New Roman"/>
          <w:i/>
          <w:color w:val="000000"/>
          <w:sz w:val="20"/>
        </w:rPr>
        <w:t>Technology 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 </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selling, general and administrative expenses will continue to increase in absolute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As the performance-based vesting condition of our RSUs was satisfied in connection with our IPO, we will continue to record stock-based compensation expenses associated with the vesting of RSUs in the quarter in which such vestings occur.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our cash and cash equivalents.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interest from our Second Amended Note, Credit Facilities, and Notes (each as defined below). Interest expense related to our Second Amended Note will continue, but should decrease over time as the principal amount decreases.</w:t>
      </w:r>
    </w:p>
    <w:p>
      <w:pPr>
        <w:pStyle w:val="TextBody"/>
        <w:bidi w:val="0"/>
        <w:spacing w:before="40" w:after="283"/>
        <w:jc w:val="left"/>
        <w:rPr>
          <w:rFonts w:ascii="Times New Roman" w:hAnsi="Times New Roman"/>
          <w:sz w:val="20"/>
        </w:rPr>
      </w:pPr>
      <w:r>
        <w:rPr>
          <w:rFonts w:ascii="Times New Roman" w:hAnsi="Times New Roman"/>
          <w:b/>
          <w:i/>
          <w:color w:val="000000"/>
          <w:sz w:val="20"/>
        </w:rPr>
        <w:t>Loss on Debt Extinguishment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on debt extinguishment consists of the recognition of unamortized original issuance discount, unamortized deferred financing fees, and prepayment premium as a result of the prepayment of the Term Loan Facilities (defined in “—Liquidity and Capital Resources”).</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231F20"/>
          <w:sz w:val="20"/>
        </w:rPr>
        <w:t>consists of foreign currency exchange gains and losses, gains and losses on marketable equity securities, income from the Intellectual Property Agreement, or the IP License Agreement, with SB Tempus Corp., or SB Tempus, and any changes in fair value related to our warrant assets and liabilities.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and Personalis, Inc., or Personalis, which are recorded within marketable equity securities. These shares are marked to market each reporting period. We issued a warrant to our customer AstraZeneca in conjunction with the signing of the MSA in November 2021. The warrant was automatically cancelled and terminated for no consideration as AstraZeneca declined to extend its financial commitment before December 31, 2024. We have a warrant asset related to a November 2023 Commercialization and Reference Laboratory Agreement with Personalis, which was exercised in August 2024. The fair value of the warrant assets and liabilities are measured each reporting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Benefit from (provision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Benefit from (provision for)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 </w:t>
      </w:r>
    </w:p>
    <w:p>
      <w:pPr>
        <w:pStyle w:val="TextBody"/>
        <w:bidi w:val="0"/>
        <w:spacing w:before="360" w:after="283"/>
        <w:jc w:val="left"/>
        <w:rPr>
          <w:rFonts w:ascii="Times New Roman" w:hAnsi="Times New Roman"/>
          <w:sz w:val="20"/>
        </w:rPr>
      </w:pPr>
      <w:r>
        <w:rPr>
          <w:rFonts w:ascii="Times New Roman" w:hAnsi="Times New Roman"/>
          <w:b/>
          <w:i/>
          <w:color w:val="000000"/>
          <w:sz w:val="20"/>
        </w:rPr>
        <w:t>Losses from Equity Method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from equity method investments consist of earnings from our joint venture, SB Tempus. See Note 6 to our consolidated financial statements included elsewhere in this Annual Report on Form 10-K for additional information regarding SB Tempus.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significant components of our results of operations for the periods presented (in thousands). </w:t>
      </w:r>
    </w:p>
    <w:p>
      <w:pPr>
        <w:pStyle w:val="TextBody"/>
        <w:bidi w:val="0"/>
        <w:jc w:val="left"/>
        <w:rPr/>
      </w:pPr>
      <w:r>
        <w:rPr/>
        <w:t> </w:t>
      </w:r>
    </w:p>
    <w:tbl>
      <w:tblPr>
        <w:tblW w:w="7944" w:type="dxa"/>
        <w:jc w:val="left"/>
        <w:tblInd w:w="0" w:type="dxa"/>
        <w:tblLayout w:type="fixed"/>
        <w:tblCellMar>
          <w:top w:w="28" w:type="dxa"/>
          <w:left w:w="28" w:type="dxa"/>
          <w:bottom w:w="28" w:type="dxa"/>
          <w:right w:w="28" w:type="dxa"/>
        </w:tblCellMar>
      </w:tblPr>
      <w:tblGrid>
        <w:gridCol w:w="4611"/>
        <w:gridCol w:w="146"/>
        <w:gridCol w:w="211"/>
        <w:gridCol w:w="931"/>
        <w:gridCol w:w="166"/>
        <w:gridCol w:w="146"/>
        <w:gridCol w:w="211"/>
        <w:gridCol w:w="931"/>
        <w:gridCol w:w="5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693,398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1,384,480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(705,809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Years Ended December 31, 2025 and 2024</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jc w:val="left"/>
        <w:rPr/>
      </w:pPr>
      <w:r>
        <w:rPr/>
        <w:t> </w:t>
      </w:r>
    </w:p>
    <w:tbl>
      <w:tblPr>
        <w:tblW w:w="7226" w:type="dxa"/>
        <w:jc w:val="left"/>
        <w:tblInd w:w="0" w:type="dxa"/>
        <w:tblLayout w:type="fixed"/>
        <w:tblCellMar>
          <w:top w:w="28" w:type="dxa"/>
          <w:left w:w="28" w:type="dxa"/>
          <w:bottom w:w="28" w:type="dxa"/>
          <w:right w:w="28" w:type="dxa"/>
        </w:tblCellMar>
      </w:tblPr>
      <w:tblGrid>
        <w:gridCol w:w="1891"/>
        <w:gridCol w:w="146"/>
        <w:gridCol w:w="211"/>
        <w:gridCol w:w="931"/>
        <w:gridCol w:w="146"/>
        <w:gridCol w:w="146"/>
        <w:gridCol w:w="211"/>
        <w:gridCol w:w="781"/>
        <w:gridCol w:w="146"/>
        <w:gridCol w:w="146"/>
        <w:gridCol w:w="211"/>
        <w:gridCol w:w="781"/>
        <w:gridCol w:w="146"/>
        <w:gridCol w:w="146"/>
        <w:gridCol w:w="224"/>
        <w:gridCol w:w="647"/>
        <w:gridCol w:w="31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revenue for the year ended December 31, 2025, compared to the same period in 2024, was due to increased volume and reimbursement of clinical oncology and hereditary tests performed in Diagnostics and increased data deliveries in our Data and applications product line.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Diagnostics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Diagnostics revenue for the year ended December 31, 2025, compared to the same period in 2024, was primarily due to an increase in the number of Oncology tests and the addition of Hereditary tests through the acquisition of Ambry. Volume of tests increased from approximately 270,800 tests for the year ended December 31, 2024 to approximately 801,000 tests for the year ended December 31, 2025, of which 460,500 tests related to Hereditary testing.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Oncology tests increased from approximately 270,800 tests for the year ended December 31, 2024 to approximately 340,500 tests for the year ended December 31, 2025. Additionally, there was an increase in average revenue per Oncology test, which increased from approximately $1,510 for the year ended December 31, 2024 to approximately $1,600 for the year ended December 31, 2025. The increase in average revenue per Oncology test was driven primarily by increased Medicare reimbursement rates. The increase in the number of Oncology tests and average revenue per Oncology test resulted in a $135.9 million increase in Diagnostics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Hereditary tests increased to approximately 460,500 tests for the year ended December 31, 2025 due to the acquisition of Ambry in February 2025 and resulted in an increase of $362.7 million in Diagnostics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Remaining increase of $5.0 million is due to growth in our other product lines within Diagnostics.</w:t>
      </w:r>
    </w:p>
    <w:p>
      <w:pPr>
        <w:pStyle w:val="TextBody"/>
        <w:bidi w:val="0"/>
        <w:spacing w:before="360" w:after="283"/>
        <w:jc w:val="left"/>
        <w:rPr>
          <w:rFonts w:ascii="Times New Roman" w:hAnsi="Times New Roman"/>
          <w:sz w:val="20"/>
        </w:rPr>
      </w:pPr>
      <w:r>
        <w:rPr>
          <w:rFonts w:ascii="Times New Roman" w:hAnsi="Times New Roman"/>
          <w:i/>
          <w:color w:val="000000"/>
          <w:sz w:val="20"/>
        </w:rPr>
        <w:t>Data and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Data and applications revenue for the year ended December 31, 2025, compared to the same period in 2024, was driven primarily by $70.9 million from increased demand for our Insights products. Across all Data and applications products, the increase in revenue in the year ended December 31, 2025 is primarily attributable to continued growth from within our existing customer base, as well as adoption of our services by new customers that did not purchase services in the year ended December 31, 2024.</w:t>
      </w:r>
    </w:p>
    <w:p>
      <w:pPr>
        <w:pStyle w:val="TextBody"/>
        <w:bidi w:val="0"/>
        <w:spacing w:before="360" w:after="283"/>
        <w:jc w:val="left"/>
        <w:rPr>
          <w:rFonts w:ascii="Times New Roman" w:hAnsi="Times New Roman"/>
          <w:sz w:val="20"/>
        </w:rPr>
      </w:pPr>
      <w:r>
        <w:rPr>
          <w:rFonts w:ascii="Times New Roman" w:hAnsi="Times New Roman"/>
          <w:b/>
          <w:i/>
          <w:color w:val="000000"/>
          <w:sz w:val="20"/>
        </w:rPr>
        <w:t>Cost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486" w:type="dxa"/>
        <w:jc w:val="left"/>
        <w:tblInd w:w="0" w:type="dxa"/>
        <w:tblLayout w:type="fixed"/>
        <w:tblCellMar>
          <w:top w:w="28" w:type="dxa"/>
          <w:left w:w="28" w:type="dxa"/>
          <w:bottom w:w="28" w:type="dxa"/>
          <w:right w:w="28" w:type="dxa"/>
        </w:tblCellMar>
      </w:tblPr>
      <w:tblGrid>
        <w:gridCol w:w="3301"/>
        <w:gridCol w:w="146"/>
        <w:gridCol w:w="211"/>
        <w:gridCol w:w="781"/>
        <w:gridCol w:w="146"/>
        <w:gridCol w:w="146"/>
        <w:gridCol w:w="211"/>
        <w:gridCol w:w="781"/>
        <w:gridCol w:w="146"/>
        <w:gridCol w:w="146"/>
        <w:gridCol w:w="211"/>
        <w:gridCol w:w="781"/>
        <w:gridCol w:w="146"/>
        <w:gridCol w:w="146"/>
        <w:gridCol w:w="275"/>
        <w:gridCol w:w="596"/>
        <w:gridCol w:w="31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for the year ended December 31, 2025, compared to the same period in 2024, was primarily due to increases of $115.0 million in material and service costs, of which $69.2 million in material and services is due to the Ambry Acquisition, $41.4 million in personnel-related costs, of which $30.7 million is due to the Ambry Acquisition, $14.0 million in cloud costs, offset by a decrease of $12.8 million of stock-based compensation expenses related to RSUs for which the performance-based vesting condition was satisfied in connection with our IPO in the prior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Revenues, Diagnostics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Diagnostics for the year ended December 31, 2025, compared to the same period in 2024, was primarily due to increases of $115.0 million in material and service costs, of which $69.2 million in material and services is due to the Ambry Acquisition, $39.2 million in personnel-related costs, of which $30.7 million is due to the Ambry Acquisition, offset by a decrease of $7.4 million of stock-based compensation expense related to RSUs for which the performance-based vesting condition was satisfied in connection with our IPO in the prior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Revenues, Data and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Data and applications for the year ended December 31, 2025, compared to the same period in 2024, was primarily due to an increase of $14.0 million in cloud costs, $4.1 million in royalty fees, $2.9 million of modeling lab related costs, $2.2 million in personnel-related costs, offset by a decrease of $5.4 million of stock-based compensation expense related to RSUs for which the performance-based vesting condition was satisfied in connection with our IPO in the prior period.</w:t>
      </w:r>
    </w:p>
    <w:p>
      <w:pPr>
        <w:pStyle w:val="TextBody"/>
        <w:bidi w:val="0"/>
        <w:spacing w:before="360" w:after="283"/>
        <w:jc w:val="left"/>
        <w:rPr>
          <w:rFonts w:ascii="Times New Roman" w:hAnsi="Times New Roman"/>
          <w:sz w:val="20"/>
        </w:rPr>
      </w:pPr>
      <w:r>
        <w:rPr>
          <w:rFonts w:ascii="Times New Roman" w:hAnsi="Times New Roman"/>
          <w:i/>
          <w:color w:val="000000"/>
          <w:sz w:val="20"/>
        </w:rPr>
        <w:t>Technology Research and Development</w:t>
      </w:r>
      <w:r>
        <w:rPr>
          <w:rFonts w:ascii="Times New Roman" w:hAnsi="Times New Roman"/>
          <w:color w:val="000000"/>
          <w:sz w:val="20"/>
        </w:rPr>
        <w:t xml:space="preserve"> </w:t>
      </w:r>
    </w:p>
    <w:p>
      <w:pPr>
        <w:pStyle w:val="TextBody"/>
        <w:bidi w:val="0"/>
        <w:jc w:val="left"/>
        <w:rPr/>
      </w:pPr>
      <w:r>
        <w:rPr/>
        <w:t> </w:t>
      </w:r>
    </w:p>
    <w:tbl>
      <w:tblPr>
        <w:tblW w:w="8431" w:type="dxa"/>
        <w:jc w:val="left"/>
        <w:tblInd w:w="0" w:type="dxa"/>
        <w:tblLayout w:type="fixed"/>
        <w:tblCellMar>
          <w:top w:w="28" w:type="dxa"/>
          <w:left w:w="28" w:type="dxa"/>
          <w:bottom w:w="28" w:type="dxa"/>
          <w:right w:w="28" w:type="dxa"/>
        </w:tblCellMar>
      </w:tblPr>
      <w:tblGrid>
        <w:gridCol w:w="3271"/>
        <w:gridCol w:w="146"/>
        <w:gridCol w:w="211"/>
        <w:gridCol w:w="781"/>
        <w:gridCol w:w="146"/>
        <w:gridCol w:w="146"/>
        <w:gridCol w:w="211"/>
        <w:gridCol w:w="781"/>
        <w:gridCol w:w="146"/>
        <w:gridCol w:w="146"/>
        <w:gridCol w:w="211"/>
        <w:gridCol w:w="736"/>
        <w:gridCol w:w="166"/>
        <w:gridCol w:w="146"/>
        <w:gridCol w:w="243"/>
        <w:gridCol w:w="628"/>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9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decrease in Technology research and development expenses for the year ended December 31, 2025, compared to the same period in 2024, was primarily due to a decrease of $39.4 million of stock-based compensation expenses related to RSUs for which the performance-based vesting condition was satisfied in connection with our IPO in the prior period, offset by an increase of $19.5 million in personnel-related costs associated with the investment in our cloud infrastructure and new lines of business, of which $13.0 million is due to the Ambry Acquisition.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jc w:val="left"/>
        <w:rPr/>
      </w:pPr>
      <w:r>
        <w:rPr/>
        <w:t> </w:t>
      </w:r>
    </w:p>
    <w:tbl>
      <w:tblPr>
        <w:tblW w:w="7391" w:type="dxa"/>
        <w:jc w:val="left"/>
        <w:tblInd w:w="0" w:type="dxa"/>
        <w:tblLayout w:type="fixed"/>
        <w:tblCellMar>
          <w:top w:w="28" w:type="dxa"/>
          <w:left w:w="28" w:type="dxa"/>
          <w:bottom w:w="28" w:type="dxa"/>
          <w:right w:w="28" w:type="dxa"/>
        </w:tblCellMar>
      </w:tblPr>
      <w:tblGrid>
        <w:gridCol w:w="2311"/>
        <w:gridCol w:w="146"/>
        <w:gridCol w:w="211"/>
        <w:gridCol w:w="781"/>
        <w:gridCol w:w="146"/>
        <w:gridCol w:w="146"/>
        <w:gridCol w:w="211"/>
        <w:gridCol w:w="781"/>
        <w:gridCol w:w="146"/>
        <w:gridCol w:w="146"/>
        <w:gridCol w:w="211"/>
        <w:gridCol w:w="676"/>
        <w:gridCol w:w="146"/>
        <w:gridCol w:w="146"/>
        <w:gridCol w:w="275"/>
        <w:gridCol w:w="596"/>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Research and development expenses for the year ended December 31, 2025, compared to the same period in 2024, was primarily due to an increase of $39.4 million in personnel-related costs for employees in our research and development group, of which $30.7 million is due to the Ambry Acquisition, $8.8 million in validation and regulatory costs, $5.3 million in laboratory supplies, of which $2.2 million is due to the Ambry Acquisition, and $1.4 million due to outside services costs related to clinical studies, offset by a decrease of $35.0 million of stock-based compensation expense related to RSUs for which the performance-based vesting condition was satisfied in connection with our IPO in the prior period.</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jc w:val="left"/>
        <w:rPr/>
      </w:pPr>
      <w:r>
        <w:rPr/>
        <w:t> </w:t>
      </w:r>
    </w:p>
    <w:tbl>
      <w:tblPr>
        <w:tblW w:w="8116" w:type="dxa"/>
        <w:jc w:val="left"/>
        <w:tblInd w:w="0" w:type="dxa"/>
        <w:tblLayout w:type="fixed"/>
        <w:tblCellMar>
          <w:top w:w="28" w:type="dxa"/>
          <w:left w:w="28" w:type="dxa"/>
          <w:bottom w:w="28" w:type="dxa"/>
          <w:right w:w="28" w:type="dxa"/>
        </w:tblCellMar>
      </w:tblPr>
      <w:tblGrid>
        <w:gridCol w:w="2956"/>
        <w:gridCol w:w="146"/>
        <w:gridCol w:w="211"/>
        <w:gridCol w:w="781"/>
        <w:gridCol w:w="146"/>
        <w:gridCol w:w="146"/>
        <w:gridCol w:w="211"/>
        <w:gridCol w:w="781"/>
        <w:gridCol w:w="146"/>
        <w:gridCol w:w="146"/>
        <w:gridCol w:w="211"/>
        <w:gridCol w:w="736"/>
        <w:gridCol w:w="166"/>
        <w:gridCol w:w="146"/>
        <w:gridCol w:w="304"/>
        <w:gridCol w:w="567"/>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9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decrease in Selling, general and administrative expenses for the year ended December 31, 2025, compared to the same period in 2024, was primarily due to a decrease of $322.2 million of stock-based compensation expenses related to RSUs for which the performance-based vesting condition was satisfied in connection with our IPO in the prior period, offset by increases of $114.0 million in personnel-related costs, of which $79.6 million is due to the Ambry Acquisition, $61.5 million in amortization of intangibles acquired from the Ambry Acquisition, $25.3 million in software and tools costs, of which $10.4 million is due to the Ambry Acquisition, $15.6 million in legal costs, of which $2.4 million is due to the Ambry Acquisition, $16.6 million in cloud storage costs, of which $3.6 million is due to the Ambry Acquisition, $7.6 million in rent expense, of which $4.3 million is due to the Ambry Acquisition, $5.2 million of public company costs (consisting of accounting, legal, insurance, marketing and administrative fees) and $3.5 million in acquisition costs. Additionally, approximately $33.2 million increase is due to the inclusion of other Ambry costs in the year ended December 31, 2025.</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jc w:val="left"/>
        <w:rPr/>
      </w:pPr>
      <w:r>
        <w:rPr/>
        <w:t> </w:t>
      </w:r>
    </w:p>
    <w:tbl>
      <w:tblPr>
        <w:tblW w:w="6145" w:type="dxa"/>
        <w:jc w:val="left"/>
        <w:tblInd w:w="0" w:type="dxa"/>
        <w:tblLayout w:type="fixed"/>
        <w:tblCellMar>
          <w:top w:w="28" w:type="dxa"/>
          <w:left w:w="28" w:type="dxa"/>
          <w:bottom w:w="28" w:type="dxa"/>
          <w:right w:w="28" w:type="dxa"/>
        </w:tblCellMar>
      </w:tblPr>
      <w:tblGrid>
        <w:gridCol w:w="1366"/>
        <w:gridCol w:w="146"/>
        <w:gridCol w:w="211"/>
        <w:gridCol w:w="676"/>
        <w:gridCol w:w="146"/>
        <w:gridCol w:w="146"/>
        <w:gridCol w:w="211"/>
        <w:gridCol w:w="676"/>
        <w:gridCol w:w="146"/>
        <w:gridCol w:w="146"/>
        <w:gridCol w:w="214"/>
        <w:gridCol w:w="582"/>
        <w:gridCol w:w="146"/>
        <w:gridCol w:w="146"/>
        <w:gridCol w:w="275"/>
        <w:gridCol w:w="596"/>
        <w:gridCol w:w="31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Interest income for the year ended December 31, 2025, compared to the same period in 2024, increased primarily due to higher cash on hand as of December 31, 2025 compared to December 31, 2024.</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jc w:val="left"/>
        <w:rPr/>
      </w:pPr>
      <w:r>
        <w:rPr/>
        <w:t> </w:t>
      </w:r>
    </w:p>
    <w:tbl>
      <w:tblPr>
        <w:tblW w:w="6536" w:type="dxa"/>
        <w:jc w:val="left"/>
        <w:tblInd w:w="0" w:type="dxa"/>
        <w:tblLayout w:type="fixed"/>
        <w:tblCellMar>
          <w:top w:w="28" w:type="dxa"/>
          <w:left w:w="28" w:type="dxa"/>
          <w:bottom w:w="28" w:type="dxa"/>
          <w:right w:w="28" w:type="dxa"/>
        </w:tblCellMar>
      </w:tblPr>
      <w:tblGrid>
        <w:gridCol w:w="1426"/>
        <w:gridCol w:w="146"/>
        <w:gridCol w:w="211"/>
        <w:gridCol w:w="736"/>
        <w:gridCol w:w="166"/>
        <w:gridCol w:w="146"/>
        <w:gridCol w:w="211"/>
        <w:gridCol w:w="736"/>
        <w:gridCol w:w="166"/>
        <w:gridCol w:w="146"/>
        <w:gridCol w:w="211"/>
        <w:gridCol w:w="736"/>
        <w:gridCol w:w="166"/>
        <w:gridCol w:w="146"/>
        <w:gridCol w:w="275"/>
        <w:gridCol w:w="596"/>
        <w:gridCol w:w="31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Interest expense for the year ended December 31, 2025, compared to the same period in 2024, was primarily driven by compounding interest on our Second Amended Note and additional interest expense from the Additional Term Loan Facility, Revolving Credit Facility and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jc w:val="left"/>
        <w:rPr/>
      </w:pPr>
      <w:r>
        <w:rPr/>
        <w:t> </w:t>
      </w:r>
    </w:p>
    <w:tbl>
      <w:tblPr>
        <w:tblW w:w="7352" w:type="dxa"/>
        <w:jc w:val="left"/>
        <w:tblInd w:w="0" w:type="dxa"/>
        <w:tblLayout w:type="fixed"/>
        <w:tblCellMar>
          <w:top w:w="28" w:type="dxa"/>
          <w:left w:w="28" w:type="dxa"/>
          <w:bottom w:w="28" w:type="dxa"/>
          <w:right w:w="28" w:type="dxa"/>
        </w:tblCellMar>
      </w:tblPr>
      <w:tblGrid>
        <w:gridCol w:w="2476"/>
        <w:gridCol w:w="146"/>
        <w:gridCol w:w="231"/>
        <w:gridCol w:w="808"/>
        <w:gridCol w:w="182"/>
        <w:gridCol w:w="160"/>
        <w:gridCol w:w="231"/>
        <w:gridCol w:w="380"/>
        <w:gridCol w:w="146"/>
        <w:gridCol w:w="146"/>
        <w:gridCol w:w="211"/>
        <w:gridCol w:w="736"/>
        <w:gridCol w:w="166"/>
        <w:gridCol w:w="146"/>
        <w:gridCol w:w="224"/>
        <w:gridCol w:w="647"/>
        <w:gridCol w:w="3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change in Loss on debt extinguishment for the year ended December 31, 2025, compared to the same period in 2024, was driven by the repayment of the Term Loan Facility, which includes repayment of the principal, accrued interest, and prepayment premium. The repayment resulted in a loss on debt extinguishment of $12.0 million.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jc w:val="left"/>
        <w:rPr/>
      </w:pPr>
      <w:r>
        <w:rPr/>
        <w:t> </w:t>
      </w:r>
    </w:p>
    <w:tbl>
      <w:tblPr>
        <w:tblW w:w="6360" w:type="dxa"/>
        <w:jc w:val="left"/>
        <w:tblInd w:w="0" w:type="dxa"/>
        <w:tblLayout w:type="fixed"/>
        <w:tblCellMar>
          <w:top w:w="28" w:type="dxa"/>
          <w:left w:w="28" w:type="dxa"/>
          <w:bottom w:w="28" w:type="dxa"/>
          <w:right w:w="28" w:type="dxa"/>
        </w:tblCellMar>
      </w:tblPr>
      <w:tblGrid>
        <w:gridCol w:w="1561"/>
        <w:gridCol w:w="146"/>
        <w:gridCol w:w="211"/>
        <w:gridCol w:w="676"/>
        <w:gridCol w:w="146"/>
        <w:gridCol w:w="146"/>
        <w:gridCol w:w="211"/>
        <w:gridCol w:w="676"/>
        <w:gridCol w:w="146"/>
        <w:gridCol w:w="146"/>
        <w:gridCol w:w="242"/>
        <w:gridCol w:w="554"/>
        <w:gridCol w:w="166"/>
        <w:gridCol w:w="146"/>
        <w:gridCol w:w="304"/>
        <w:gridCol w:w="567"/>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3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Other income, net for the year ended December 31, 2025, compared to the same period in 2024, was primarily driven by a $42.4 million increase in income due to the change in fair value of our warrant liability, which was terminated.in December 2024, $8.0 million increase in income from the IP License Agreement with SB Tempus, $4.4 million increase in income due to realized and unrealized gains on marketable equity securities, and a $2.3 million increase in income due to the G-4 Special Payment made in the prior period, offset by a $39.1 million decrease in income related to termination of the warrant with AstraZeneca in the prior period and a $18.3 million decrease in income due to the change in fair value of our warrant asset.</w:t>
      </w:r>
    </w:p>
    <w:p>
      <w:pPr>
        <w:pStyle w:val="TextBody"/>
        <w:bidi w:val="0"/>
        <w:spacing w:before="360" w:after="283"/>
        <w:jc w:val="left"/>
        <w:rPr>
          <w:rFonts w:ascii="Times New Roman" w:hAnsi="Times New Roman"/>
          <w:sz w:val="20"/>
        </w:rPr>
      </w:pPr>
      <w:r>
        <w:rPr>
          <w:rFonts w:ascii="Times New Roman" w:hAnsi="Times New Roman"/>
          <w:b/>
          <w:i/>
          <w:color w:val="000000"/>
          <w:sz w:val="20"/>
        </w:rPr>
        <w:t>Benefit from (provision for) for income taxes</w:t>
      </w:r>
      <w:r>
        <w:rPr>
          <w:rFonts w:ascii="Times New Roman" w:hAnsi="Times New Roman"/>
          <w:color w:val="000000"/>
          <w:sz w:val="20"/>
        </w:rPr>
        <w:t xml:space="preserve"> </w:t>
      </w:r>
    </w:p>
    <w:p>
      <w:pPr>
        <w:pStyle w:val="TextBody"/>
        <w:bidi w:val="0"/>
        <w:jc w:val="left"/>
        <w:rPr/>
      </w:pPr>
      <w:r>
        <w:rPr/>
        <w:t> </w:t>
      </w:r>
    </w:p>
    <w:tbl>
      <w:tblPr>
        <w:tblW w:w="8013" w:type="dxa"/>
        <w:jc w:val="left"/>
        <w:tblInd w:w="0" w:type="dxa"/>
        <w:tblLayout w:type="fixed"/>
        <w:tblCellMar>
          <w:top w:w="28" w:type="dxa"/>
          <w:left w:w="28" w:type="dxa"/>
          <w:bottom w:w="28" w:type="dxa"/>
          <w:right w:w="28" w:type="dxa"/>
        </w:tblCellMar>
      </w:tblPr>
      <w:tblGrid>
        <w:gridCol w:w="3466"/>
        <w:gridCol w:w="146"/>
        <w:gridCol w:w="225"/>
        <w:gridCol w:w="721"/>
        <w:gridCol w:w="155"/>
        <w:gridCol w:w="155"/>
        <w:gridCol w:w="225"/>
        <w:gridCol w:w="513"/>
        <w:gridCol w:w="166"/>
        <w:gridCol w:w="146"/>
        <w:gridCol w:w="211"/>
        <w:gridCol w:w="676"/>
        <w:gridCol w:w="146"/>
        <w:gridCol w:w="146"/>
        <w:gridCol w:w="91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5"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1"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51,684</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NM</w:t>
            </w:r>
            <w:r>
              <w:rPr>
                <w:rFonts w:ascii="Times New Roman" w:hAnsi="Times New Roman"/>
                <w:color w:val="000000"/>
                <w:sz w:val="13"/>
              </w:rPr>
              <w:t>(1)</w:t>
            </w:r>
          </w:p>
        </w:tc>
      </w:tr>
    </w:tbl>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Not meaningful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benefit from (provision for) for income taxes for the year ended December 31, 2025, compared to the same period in 2024, was primarily due to a $52.7 million discrete tax benefit recorded from the release of a portion of the valuation allowance attributable to net deferred tax liabilities related to the acquisition of Ambry which offset certain of our net deferred tax assets.</w:t>
      </w:r>
    </w:p>
    <w:p>
      <w:pPr>
        <w:pStyle w:val="TextBody"/>
        <w:bidi w:val="0"/>
        <w:spacing w:before="360" w:after="283"/>
        <w:jc w:val="left"/>
        <w:rPr>
          <w:rFonts w:ascii="Times New Roman" w:hAnsi="Times New Roman"/>
          <w:sz w:val="20"/>
        </w:rPr>
      </w:pPr>
      <w:r>
        <w:rPr>
          <w:rFonts w:ascii="Times New Roman" w:hAnsi="Times New Roman"/>
          <w:b/>
          <w:i/>
          <w:color w:val="000000"/>
          <w:sz w:val="20"/>
        </w:rPr>
        <w:t>Losses from Equity Method Investments</w:t>
      </w:r>
      <w:r>
        <w:rPr>
          <w:rFonts w:ascii="Times New Roman" w:hAnsi="Times New Roman"/>
          <w:color w:val="000000"/>
          <w:sz w:val="20"/>
        </w:rPr>
        <w:t xml:space="preserve"> </w:t>
      </w:r>
    </w:p>
    <w:p>
      <w:pPr>
        <w:pStyle w:val="TextBody"/>
        <w:bidi w:val="0"/>
        <w:jc w:val="left"/>
        <w:rPr/>
      </w:pPr>
      <w:r>
        <w:rPr/>
        <w:t> </w:t>
      </w:r>
    </w:p>
    <w:tbl>
      <w:tblPr>
        <w:tblW w:w="8126" w:type="dxa"/>
        <w:jc w:val="left"/>
        <w:tblInd w:w="0" w:type="dxa"/>
        <w:tblLayout w:type="fixed"/>
        <w:tblCellMar>
          <w:top w:w="28" w:type="dxa"/>
          <w:left w:w="28" w:type="dxa"/>
          <w:bottom w:w="28" w:type="dxa"/>
          <w:right w:w="28" w:type="dxa"/>
        </w:tblCellMar>
      </w:tblPr>
      <w:tblGrid>
        <w:gridCol w:w="3331"/>
        <w:gridCol w:w="146"/>
        <w:gridCol w:w="211"/>
        <w:gridCol w:w="631"/>
        <w:gridCol w:w="166"/>
        <w:gridCol w:w="146"/>
        <w:gridCol w:w="211"/>
        <w:gridCol w:w="631"/>
        <w:gridCol w:w="166"/>
        <w:gridCol w:w="146"/>
        <w:gridCol w:w="211"/>
        <w:gridCol w:w="631"/>
        <w:gridCol w:w="166"/>
        <w:gridCol w:w="146"/>
        <w:gridCol w:w="275"/>
        <w:gridCol w:w="596"/>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3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losses from equity method investments for the year ended December 31, 2025, compared to the same period in 2024, was due to the losses from the joint venture we entered into in July 2024 (see Note 6 to our consolidated financial statements included elsewhere in this Annual Report on Form 10-K). </w:t>
      </w:r>
    </w:p>
    <w:p>
      <w:pPr>
        <w:pStyle w:val="TextBody"/>
        <w:bidi w:val="0"/>
        <w:spacing w:before="360" w:after="283"/>
        <w:jc w:val="left"/>
        <w:rPr>
          <w:rFonts w:ascii="Times New Roman" w:hAnsi="Times New Roman"/>
          <w:sz w:val="20"/>
        </w:rPr>
      </w:pPr>
      <w:r>
        <w:rPr>
          <w:rFonts w:ascii="Times New Roman" w:hAnsi="Times New Roman"/>
          <w:b/>
          <w:color w:val="000000"/>
          <w:sz w:val="20"/>
        </w:rPr>
        <w:t>Non-GAAP Financial Measure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supplement our consolidated financial statements prepared and presented in accordance with accounting principles generally accepted in the United States of America, or GAAP, we use adjusted EBITDA to facilitate analysis of our financial and business trends and for internal planning and forecasting purposes.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EBITDA is defined as earnings before interest, taxes, depreciation and amortization. We define adjusted EBITDA as net income (loss), adjusted to exclude (i) interest income, (ii) interest expense, (iii) depreciation and amortization, (iv) (benefit from) provision for income taxes, (v) losses from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 (ix) </w:t>
      </w:r>
      <w:r>
        <w:rPr>
          <w:rFonts w:ascii="Times New Roman" w:hAnsi="Times New Roman"/>
          <w:color w:val="231F20"/>
          <w:sz w:val="20"/>
        </w:rPr>
        <w:t>acquisition-related expenses</w:t>
      </w:r>
      <w:r>
        <w:rPr>
          <w:rFonts w:ascii="Times New Roman" w:hAnsi="Times New Roman"/>
          <w:color w:val="000000"/>
          <w:sz w:val="20"/>
        </w:rPr>
        <w:t xml:space="preserve">, (x) the G-4 Special Payment (as defined in Note 10 to our consolidated financial statements included elsewhere in this Annual Report on Form 10-K), (xi) amortization of deferred other income from our IP License Agreement with SB Tempus, (xii) franchise taxes related to our IPO, (xiii) other tax expense and (xiv) loss on debt extinguishment. We use adjusted 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adjusted EBITDA is a key measurement used by our management internally to make operating decisions, including those related to analyzing operating expenses, evaluating performance, and performing strategic planning and annual budgeting.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has limitations as a financial measure, should be considered as supplemental in nature, and is not meant as a substitute for, or superior to, the related financial information prepared in accordance with GAAP. Some of these limitations are that adjusted EBITDA: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does not reflect interest income which increases cash available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excludes depreciation and amortization expense, and although these are non-cash expenses, the asset being depreciated may have to be replaced in the future, increasing our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does not reflect provision for or benefit from income taxes that reduces cash available to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excludes change in fair value of warrant liabilities, contingent consideration and warrant asset.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adjusted EBITDA, along with net loss, the most directly comparable GAAP measure, for each period presented below: </w:t>
      </w:r>
    </w:p>
    <w:p>
      <w:pPr>
        <w:pStyle w:val="TextBody"/>
        <w:bidi w:val="0"/>
        <w:jc w:val="left"/>
        <w:rPr/>
      </w:pPr>
      <w:r>
        <w:rPr/>
        <w:t> </w:t>
      </w:r>
    </w:p>
    <w:tbl>
      <w:tblPr>
        <w:tblW w:w="8019" w:type="dxa"/>
        <w:jc w:val="left"/>
        <w:tblInd w:w="0" w:type="dxa"/>
        <w:tblLayout w:type="fixed"/>
        <w:tblCellMar>
          <w:top w:w="28" w:type="dxa"/>
          <w:left w:w="28" w:type="dxa"/>
          <w:bottom w:w="28" w:type="dxa"/>
          <w:right w:w="28" w:type="dxa"/>
        </w:tblCellMar>
      </w:tblPr>
      <w:tblGrid>
        <w:gridCol w:w="5046"/>
        <w:gridCol w:w="146"/>
        <w:gridCol w:w="211"/>
        <w:gridCol w:w="841"/>
        <w:gridCol w:w="166"/>
        <w:gridCol w:w="146"/>
        <w:gridCol w:w="211"/>
        <w:gridCol w:w="841"/>
        <w:gridCol w:w="41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G-4 Special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Fair value changes include gains and losses related to quarterly fair value adjustments of our warrant liability, warrant asset, marketable equity securities, contingent consideration liabilities, and indemnity-related holdback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Acquisition related expenses consist of legal, diligence, accounting, and financing costs, as well as a gain on bargain purchase, incurred for acquisitions during the years ended December 31, 2025 and 2024</w:t>
      </w:r>
      <w:r>
        <w:rPr>
          <w:rFonts w:ascii="Times New Roman" w:hAnsi="Times New Roman"/>
          <w:color w:val="231F20"/>
          <w:sz w:val="20"/>
        </w:rPr>
        <w:t>.</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losses and negative cash flows from operations since our inception, and as of December 31, 2025, we had an accumulated deficit of $2.4 billion.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funded our operations to date principally from the sale of stock, convertible debt, term debt, the Revolving Credit Facility, and sales of our products. As of December 31, 2025, we had cash, cash equivalents and restricted cash of $609.5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business plan, we believe our current cash and cash equivalents, marketable equity securities and anticipated cash flows from operations, will be sufficient to meet our anticipated cash requirements for more than twelve months from the date of this Annual Report on Form 10-K. We may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Annual Report on Form 10-K,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 2025, we completed the Offering of $750.0 million aggregate principal amount of 0.75% Convertible Senior Notes due 2030, or the Notes. Our net proceeds from the Offering were $725.7 million, after deducting the initial purchasers' discount and commissions and offering expenses payable by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Notes are general unsecured obligations of ours and will mature on July 15, 2030. Interest on the Notes will accrue at a rate of 0.75% per year from July 3, 2025 and will be payable semiannually in arrears on January 15 and July 15 of each year, beginning on January 15, 2026. The Notes are convertible at the option of the holders prior to April 15, 2030, upon satisfaction of one or more of the following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any calendar quarter, commencing after the fiscal quarter ending on September 30, 2025, if the last reported sale price of our Class A common stock, for at least 20 trading days (whether or not consecutive) during a period of 30 consecutive trading days ending on the last trading day of the immediately preceding calendar quarter is greater than or equal to 130% of the conversion price for the Notes on each applicable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five business day period after any ten consecutive trading day period, or the measurement period, in which the trading price per $1,000 principal amount of the Notes for each trading day of the measurement period was less than 98% of the product of the last reported sale price of our Class A common stock and the conversion rate for the Notes on each such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call the Notes for redemption, at any time prior to the close of business on the second scheduled trading day immediately preceding the redemption date;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occurrence of specified corporate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April 15, 2030, until the close of business on the second scheduled trading day immediately preceding the maturity date, holders may convert all or any portion of their Notes at their option at any time, regardless of the foregoing conditions. Upon conversion, we will pay or deliver cash, shares of our Class A common stock or a combination of cash and shares of our Class A common stock, at our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rate for the Notes will is 11.8778 shares of Class A common stock per $1,000 principal amount of Notes, which is equivalent to an initial conversion price of approximately $84.19 per share of Class A common stock. The conversion rate is subject to adjustment under certain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July 20, 2028, we may redeem for cash all or any portion of the Notes if the last reported sale price of our Class A common stock has been at least 130% of the conversion price for the Notes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If we redeem less than all the outstanding Notes, at least $100.0 million aggregate principal amount of Notes must be outstanding and not subject to redemption. No sinking fund is provided for the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undergo a fundamental change (as defined in the indenture governing the Notes), then, subject to certain conditions and exceptions, noteholders may require us to repurchase for cash all or any portion of their Notes at a fundamental change repurchase price equal to 100% of the principal amount of the Notes to be repurchased, plus accrued and unpaid interest, to, but excluding, the fundamental change repurchase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pricing of the Notes on June 30, 2025, and in connection with the exercise in full by the initial purchasers of their option to purchase additional Notes on July 1, 2025, we entered into capped call transactions, or the Capped Call, effective as of July 3, 2025, with one of the initial purchasers and certain other financial institutions. The Capped Call is expected generally to reduce the potential dilution to our Class A common stock upon any conversion of the Notes and/or offset any cash payments we are required to make in excess of the principal amount of converted Notes, with such reduction and/or offset subject to a cap based on a cap price initially equal to $111.1950 per share, which is subject to certain adjustments under the terms of the Capped Call. The Capped Calls have an initial strike price of approximately $84.19 per share, subject to certain adjustments, which corresponds to the initial conversion price of the Notes. The Capped Calls cover, subject to anti-dilution adjustments, approximately 8,908,350 shares of the Company's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paid approximately $41.8 million cost of the Capped Call from the proceeds of the Offering. We expect to use the remaining net proceeds from the Offering for general corporate purposes, which may include acquisitions or strategic investments in complementary businesses or technologies, working capital, operating expenses, capital expenditures and repayment of additional indebtedness.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Credit Facilities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On September 22, 2022, we entered into a Credit Agreement, or the Original Credit Agreement, with Ares Capital Corporation, or Ares, for a senior secured loan, or the Term Loan Facility that matures in September 2027, in an original principal amount of $175.0 million, less original issue discount of $4.4 million and deferred financing fees of $2.6 million. The Original Credit Agreement was amended on April 25, 2023 and October 11, 2023, to, among other things, increase the original principal amount of the Term Loan Facility by $85.0 million in the aggregate, less original issue discount of $2.2 million in the aggregate.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On February 3, 2025, we entered into a Third Amendment Agreement, or the Third Amendment Agreement which, among other things, provided for an additional $200.0 million tranche of senior secured term loans, or the Additional Term Loan Facility, and together with the Term Loan Facility, the Term Loans, and $100.0 million in priority revolving loan commitments, or the Revolving Credit Facility, and loans thereunder, the Revolving Loans. We received $194.0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Third Amendment Agreement was accounted for as a debt modification. The Additional Term Loan Facility and the Revolving Credit Facility mature on February 3, 2030.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June 30, 2025, in conjunction with the Offering, we entered into a Fourth Amendment to the Credit Agreement, or the Fourth Amendment Agreement. The Fourth Amendment Agreement amended the terms of the Credit Agreement to (i) permit the Offering and the related derivative transactions and (ii) provide that the Offering satisfies the junior capital raise requirement set forth in the Credit Agreement. Except as noted above, the material terms of the Credit Agreement were not amended. The Fourth Amendment Agreement was accounted for as a debt modification.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Term Loans and Revolving Credit Facility, or together with the Term Loan Facilities, the Credit Facilities, are subject to quarterly interest payments for Base Rate loans and at the end of the applicable interest rate period for Term Secured Overnight Financing Rate, or SOFR, loans.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Term Loans are subject to quarterly interest payments, which bears interest based on Term SOFR. Additionally, we may make either a paid-in-kind, or PIK, election or a Cash election. Pursuant to the Original Credit Agreement, as amended by the Fourth Amendment Agreement, or the Credit Agreement, through December 31, 2025, interest on the Term Loans accrues at a per annum rate as follows: (i) for any interest period for which we elect to pay interest in cash, the cash interest rate for Term SOFR borrowings will be Term SOFR plus 7.25%, respectively, and (ii) for any interest period for which we elect to pay interest in kind, the cash interest rate for Term SOFR borrowings will be Term SOFR plus 5%, respectively, and the PIK interest rate will be 3.25%.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From and after January 1, 2026, interest on the Term Loans accrues at a per annum rate as follows: (i) for any interest period for which we elect to pay interest in cash, the cash interest rate for Term SOFR borrowings will be Term SOFR plus a margin ranging from 6.75% to 7.75%, respectively, and (ii) for any interest period for which we elect to pay interest in kind, the cash interest rate for Term SOFR borrowings will be Term SOFR plus a margin of 5%, respectively, and the PIK interest rate will be 3.25%. The applicable margin for any interest period for which we elect to pay interest in cash will be based on a consolidated first lien leverage ratio.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Interest on the Revolving Loans accrues interest at a per annum rate equal to Term SOFR plus 3.75% At all times prior to the termination of the Revolving Credit Facility, to the extent that, on any date, the outstanding aggregate principal amount of Revolving Credit Facility is less than the greater of (x) 50.0% of the revolving commitments and (y) $50.0 million, the amount of interest payable on the Revolving Loans shall be equal to the amount of interest that would be payable had the outstanding principal amount of Revolving Loans equaled the greater of (x) 50.0% of the revolving commitments and (y) $50.0 million, or the Minimum Revolving Interest Amount. A commitment fee will accrue on the unused amount of the Revolving Credit Facility at a per annum rate of 0.50%; provided, however, that no such fee shall accrue to the extent we are being charged the Minimum Revolving Interest Amount.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$1.0 billion on a pro forma basis and for the fiscal quarters ending March 31, 2025 through December 31, 2025, and shall equal $1.1 billion for the fiscal quarters ending March 31, 2026 through December 31, 2026. The Credit Agreement also contains a maximum first lien leverage from and after the fiscal quarter ending March 31, 2027. We are in compliance with all covenants in the Credit Agreement as of December 31, 2025.</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Through December 31, 2025, we repaid in full the principal amount of the Term Loan Facility for $276.9 million, leaving only the Additional Term Loan Facility and Revolving Credit Facility as outstanding.</w:t>
      </w:r>
    </w:p>
    <w:p>
      <w:pPr>
        <w:pStyle w:val="TextBody"/>
        <w:bidi w:val="0"/>
        <w:spacing w:before="200" w:after="283"/>
        <w:jc w:val="left"/>
        <w:rPr>
          <w:rFonts w:ascii="Times New Roman" w:hAnsi="Times New Roman"/>
          <w:sz w:val="20"/>
        </w:rPr>
      </w:pPr>
      <w:r>
        <w:rPr>
          <w:rFonts w:ascii="Times New Roman" w:hAnsi="Times New Roman"/>
          <w:b/>
          <w:i/>
          <w:color w:val="000000"/>
          <w:sz w:val="20"/>
        </w:rPr>
        <w:t>Convertible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22, 2025, we amended our convertible promissory note, or the Second Amended Note, with Google LLC, or Google, originally entered into on June 22, 2020, or the Initial Note, and subsequently amended on November 19, 2020, or the Amended Note. The amendment extended the maturity date of the Second Amended Note from March 22, 2026 to December 31, 2030. In addition, the amendment provides us the option upon maturity to repay up to 50% of the outstanding principal and accrued interest balance, or the Outstanding Amount, in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us. We account for the principal reductions as an offset to its cloud and compute spend within selling, general and administrative in its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us of ours Google Cloud Platform agreement. We generally may not prepay the Outstanding Amount, except that we may, at our option, prepay the Outstanding Amount in an amount such that the principal amount remaining outstanding after such repayment is $150.0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At the Market Sales Agreement</w:t>
      </w:r>
    </w:p>
    <w:p>
      <w:pPr>
        <w:pStyle w:val="TextBody"/>
        <w:bidi w:val="0"/>
        <w:spacing w:before="120" w:after="283"/>
        <w:jc w:val="left"/>
        <w:rPr>
          <w:rFonts w:ascii="Times New Roman" w:hAnsi="Times New Roman"/>
          <w:sz w:val="20"/>
        </w:rPr>
      </w:pPr>
      <w:r>
        <w:rPr>
          <w:rFonts w:ascii="Times New Roman" w:hAnsi="Times New Roman"/>
          <w:color w:val="000000"/>
          <w:sz w:val="20"/>
        </w:rPr>
        <w:t>On August 8, 2025, we entered into a Controlled Equity Offering</w:t>
      </w:r>
      <w:r>
        <w:rPr>
          <w:rFonts w:ascii="Times New Roman" w:hAnsi="Times New Roman"/>
          <w:color w:val="000000"/>
          <w:sz w:val="16"/>
        </w:rPr>
        <w:t>SM</w:t>
      </w:r>
      <w:r>
        <w:rPr>
          <w:rFonts w:ascii="Times New Roman" w:hAnsi="Times New Roman"/>
          <w:color w:val="000000"/>
          <w:sz w:val="20"/>
        </w:rPr>
        <w:t xml:space="preserve"> Sales Agreement, or the Sales Agreement, with Morgan Stanley &amp; Co., LLC, Cantor Fitzgerald &amp; Co., TD Securities (USA), LLC and Allen &amp; Company LLC, as sales agents, or collectively, the Sales Agents, pursuant to which we may offer and sell from time to time, at our option, shares of Class A common stock through the Sales Agents, or the ATM. The issuance and sale, if any, of shares of Class A Common Stock under the Sales Agreement will be made pursuant to an automatically effective registration statement on Form S-3 and the related prospectus included therein, or the ATM Prospectus, which was filed with the SEC on August 8, 2025. In accordance with the terms of the Sales Agreement, under the ATM Prospectus, wee may offer and sell shares of Class A common stock having an aggregate offering price of up to $500.0 million from time to time through the Sales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2025, we sold 2,381,895 shares under the ATM at a weighted average price of $83.97 per share for total proceeds of $195.5 million, net of $4.5 million in commissions. In connection with the entry of the Sales Agreement and filing of the ATM Prospectus, we incurred $0.9 million of deferred offering costs, of which $0.8 million was reclassified as a reduction of paid-in-capital upon completion of the sales that occurred in 2025. The remaining deferred offering costs, which were incurred in anticipation of future ATM sales, are recorded in Prepaid and other assets on the consolidated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balance sheet. As of December 31, 2025, approximately $300.0 million remained available for sale pursuant to the Sales Agreement and ATM Prospectus.</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6239" w:type="dxa"/>
        <w:jc w:val="left"/>
        <w:tblInd w:w="0" w:type="dxa"/>
        <w:tblLayout w:type="fixed"/>
        <w:tblCellMar>
          <w:top w:w="28" w:type="dxa"/>
          <w:left w:w="28" w:type="dxa"/>
          <w:bottom w:w="28" w:type="dxa"/>
          <w:right w:w="28" w:type="dxa"/>
        </w:tblCellMar>
      </w:tblPr>
      <w:tblGrid>
        <w:gridCol w:w="3466"/>
        <w:gridCol w:w="146"/>
        <w:gridCol w:w="211"/>
        <w:gridCol w:w="841"/>
        <w:gridCol w:w="166"/>
        <w:gridCol w:w="146"/>
        <w:gridCol w:w="211"/>
        <w:gridCol w:w="84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during the year ended December 31, 2025 was $218.1 million, which resulted from a net loss of $245.0 million and a net change in our operating assets and liabilities of $178.5 million, offset by non-cash charges of $205.5 million. Non-cash charges primarily consisted of $124.7 million of stock-based compensation, $102.3 million of depreciation and amortization, $12.0 million loss on debt extinguishment, $11.6 million of non-cash operating lease costs and $10.5 million of PIK interest added to principal, offset by deferred income taxes of $52.7 million, and $16.5 million of gain on marketable equity securities. The net change in our operating assets and liabilities was primarily the result of a $90.4 million increase in accounts receivable due to increased sales and the timing of customer payments, a $25.0 million increase in related party asset, due to future services to be provided by Pathos under the Pathos Master Agreement, a $17.3 million increase in investments and other assets, a $16.0 million decrease in deferred other income related to the IP License Agreement with SB Tempus, and a $7.2 million decrease in accounts payable, due to timing of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operating activities during the year ended December 31, 2024 was $189.0 million, which resulted from a net loss of $705.8 million and a net change in our operating assets and liabilities of $37.8 million, offset by non-cash charges of $554.6 million. Non-cash charges primarily consisted of $534.1 million of stock-based compensation, a $42.4 million increase in the fair value of the warrant liability, and $37.2 million of depreciation and amortization, offset by a gain of $39.1 million on the termination of our warrant with AstraZeneca, a change in the fair value of our warrant asset of $18.3 million, and the reversal of warrant contract asset amortization of $16.3 million. The net change in our operating assets and liabilities was primarily the result of a $61.0 million increase in accounts receivable due to increased sales and timing of customer payments, a decrease in accounts payable of $23.9 million, a decrease of $20.9 million in deferred revenue, and an increase in prepaid expenses and other current assets of $13.7 million, offset by a $50.5 million increase in accrued expenses and other, primarily due to increased cloud spend and payroll taxes from RSU settlements, and a $39.9 million increase in deferred other income related to the IP License Agreement with SB Tempus.</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during the year ended December 31, 2025 was $398.4 million, which was the result of $376.7 million cash paid related to the Ambry, Paige, Deep 6 and OneOme acquisitions, purchases of property and equipment of $21.0 million, and $6.2 million of capitalized software costs from the Ambry Acquisition, offset by proceeds from the sale of marketable equity securities of $8.3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investing activities during the year ended December 31, 2024 was $130.4 million, which was the result of a $95.2 million investment in a joint venture in July 2024 (see Note 6 to our consolidated financial statements included elsewhere in this Annual Report on Form 10-K), $36.2 million in purchases of marketable equity securities, and purchases of property and equipment of $22.1 million, offset by proceeds from the sale of marketable equity securities of $23.1 million.</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during the year ended December 31, 2025 was $884.1 million, which was the result of net proceeds from the Notes of $726.5 million, net proceeds from the Additional Term Loan Facility of $196.0 million, net proceeds from the ATM of $195.5 million, and net proceeds from the Revolving Credit Facility of $98.0 million, offset by $276.9 million of principal payments on the Term Loan Facility, $41.8 million of purchases of the Capped Call, and $7.8 million of prepayment premium on the Term Loan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financing activities during the year ended December 31, 2024 was $494.3 million, which was the result of proceeds from the issuance of common stock in connection with our IPO, net of underwriting discounts and commissions of $382.0 million, and the issuance of Series G-5 Preferred Stock of $199.8 million, offset by $8.8 million of payments of deferred offering costs, $5.6 million of dividend payments, and $69.9 million of taxes paid related to the net settlement of a portion of the RSUs outstanding as of June 1, 2024 for which the service-based vesting condition was satisfied before June 14, 2024 and for which the performance-based vesting condition was satisfied in connection with the IPO, or the RSU Net Settlement.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 See Note 7, Note 8, and Note 12 to the consolidated financial statements included elsewhere in this Annual Report on Form 10-K for our contractual commitments.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our significant accounting policies are described in more detail in Note 2 to our audited consolidated financial statements included elsewhere in this Annual Report on Form 10-K, we believe the following accounting policies to be critical to the judgments and estimates used in the preparation of our financial statements.</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derive Diagnostics revenue from selling lab services to physicians, academic research institutions, and other parties. We also derive Data and applications revenue from the commercialization of data generated in the lab through the licensing of de-identified datasets to third parties and from matching patients to clinical trials enrolled in its clinical trial network and related services. The majority of our revenue is generated in North America.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account for our revenue in accordance with ASC Topic 606, </w:t>
      </w:r>
      <w:r>
        <w:rPr>
          <w:rFonts w:ascii="Times New Roman" w:hAnsi="Times New Roman"/>
          <w:i/>
          <w:color w:val="000000"/>
          <w:sz w:val="20"/>
        </w:rPr>
        <w:t>Revenue From Contracts With Customers</w:t>
      </w:r>
      <w:r>
        <w:rPr>
          <w:rFonts w:ascii="Times New Roman" w:hAnsi="Times New Roman"/>
          <w:color w:val="000000"/>
          <w:sz w:val="20"/>
        </w:rPr>
        <w:t xml:space="preserve">.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Diagnostics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clinical orders billed to Medicare, Medicaid, and commercial insurance, we determine the transaction price by reducing the standard charge by the estimated effects of any variable consideration, such as contractual allowance and implicit price concessions. We estimate variable consideration using the expected value method which is based on historical collections in relation to established rates, as well as known current or anticipated reimbursement trends not reflected in the historical data. We use significant judgment when assessing whether estimates of variable consideration are constrained and these estimates are calculated based upon both insurance payor-specific and aggregated factors that include historical billing and adjustment data. Estimates are inclusive of the consideration to which we will be entitled at an amount for which it is probable that a reversal of cumulative consideration will not occur. We monitor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w:t>
      </w:r>
    </w:p>
    <w:p>
      <w:pPr>
        <w:pStyle w:val="TextBody"/>
        <w:bidi w:val="0"/>
        <w:spacing w:before="360" w:after="160"/>
        <w:jc w:val="both"/>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accordance with ASC Topic 805, Business Combinations, we use the acquisition method of accounting to allocate the purchase price of an acquired business to the assets acquired and liabilities assumed based on their estimated fair values at the date of acquisition. The excess of the purchase price over the estimated fair value of assets and liabilities is recorded as goodwill. Assigning fair market values to the assets acquired and liabilities assumed at the date of an acquisition often requires the application of judgment regarding estimates and assumptions. These estimates include, but are not limited to, a market participant’s expectation of future cash flows from acquired customer relationships, acquired trade names, and acquired developed technology. All acquisition costs are expensed as incurred.</w:t>
      </w:r>
    </w:p>
    <w:p>
      <w:pPr>
        <w:pStyle w:val="TextBody"/>
        <w:bidi w:val="0"/>
        <w:spacing w:before="200" w:after="160"/>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recognize stock-based compensation for equity awards with only a service condition on the grant-date fair value on a straight-line basis over the remaining requisite service period for the award, which is generally the vesting period. We recognize stock-based compensation for equity awards with a market or performance condition using an accelerated attribution model over the requisite service period for each separately vesting portion of the award. For those awards with a market condition, we utilize a Monte Carlo simulation model to estimate the fair value of the restricted stock units. The Monte Carlo simulation model requires the input of estimates and assumptions, including, but not limited to, the expected stock price volatility, the life of the award and the risk-free interest rate. The probability of actual shares expected to be earned is considered in the grant date fair value. As a result, the expense is not adjusted to reflect the actual shares earned. For those awards with a performance condition, we recognize stock-based compensation if it is probable that the performance condition will be satisfied and will reflect the number of awards that ultimately vest. At each reporting period, we reassess the probability of achievement of the performance condition and any change in expense resulting from an adjustment to estimates is treated as a cumulative catch-up in the period of the adjustment. </w:t>
      </w:r>
    </w:p>
    <w:p>
      <w:pPr>
        <w:pStyle w:val="TextBody"/>
        <w:bidi w:val="0"/>
        <w:spacing w:before="200" w:after="283"/>
        <w:jc w:val="left"/>
        <w:rPr>
          <w:rFonts w:ascii="Times New Roman" w:hAnsi="Times New Roman"/>
          <w:sz w:val="20"/>
        </w:rPr>
      </w:pPr>
      <w:r>
        <w:rPr>
          <w:rFonts w:ascii="Times New Roman" w:hAnsi="Times New Roman"/>
          <w:b/>
          <w:i/>
          <w:color w:val="000000"/>
          <w:sz w:val="20"/>
        </w:rPr>
        <w:t>Common Stock Valuations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IPO,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valuing our common stock, management determined the equity value of our business using various valuation methods including combinations of income and market approaches.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each valuation, the equity value determined by the income and market approaches was then allocated to the common stock. We performed this allocation using either the option pricing method, or OPM, which treats the securities comprising our capital structure as call options with exercise prices based on the liquidation preferences of our various series of preferred stock and the exercise prices of our options and warrants or a probability-weighted expected return method, or PWERM, which involves the estimation of multiple future potential outcomes, and estimates of the probability of each potential outcome. The per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 value of our common stock is ultimately based upon probability-weighted per share values resulting from the various future scenarios, which include an initial public offering, merger or sale or continued operation as a private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valuations after the completion of our IPO, management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section titled “Summary of Significant Accounting Policies” in Note 2 to our consolidated financial statements included elsewhere in this Annual Report on Form 10-K for more information. </w:t>
      </w:r>
    </w:p>
    <w:p>
      <w:pPr>
        <w:pStyle w:val="TextBody"/>
        <w:bidi w:val="0"/>
        <w:spacing w:before="360" w:after="283"/>
        <w:jc w:val="left"/>
        <w:rPr/>
      </w:pPr>
      <w:r>
        <w:rPr/>
        <w:t> </w:t>
      </w:r>
    </w:p>
    <w:p>
      <w:pPr>
        <w:pStyle w:val="TextBody"/>
        <w:bidi w:val="0"/>
        <w:jc w:val="left"/>
        <w:rPr>
          <w:rFonts w:ascii="Times New Roman" w:hAnsi="Times New Roman"/>
          <w:b/>
          <w:color w:val="000000"/>
          <w:sz w:val="20"/>
        </w:rPr>
      </w:pPr>
      <w:bookmarkStart w:id="15" w:name="quantitative_and_qualitative_disclosures"/>
      <w:bookmarkEnd w:id="15"/>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and inflation risk.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for changes in interest rates related primarily to our cash, cash equivalents and restricted cash, and our indebtedness. As of December 31, 2025, we had cash, cash equivalents and restricted cash of $609.5 million held primarily in cash deposits and money market funds. As of December 31, 2025, we had $306.0 million outstanding under our Term Loan Facilities and Revolving Credit Facility, which are subject to quarterly interest payments. A hypothetical 100 basis point increase or decrease in interest rates under our Term Loan Facilities and Revolving Credit Facility would not be material to our financial condition or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revenue is generated in the United States. Through December 31, 2025,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December 31, 2025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8_financial_statements"/>
      <w:bookmarkEnd w:id="16"/>
      <w:r>
        <w:rPr>
          <w:rFonts w:ascii="Times New Roman" w:hAnsi="Times New Roman"/>
          <w:b/>
          <w:color w:val="000000"/>
          <w:sz w:val="20"/>
        </w:rPr>
        <w:t>Item 8. Financial Statements and Supplementary Data.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39"/>
        <w:gridCol w:w="466"/>
      </w:tblGrid>
      <w:tr>
        <w:trPr/>
        <w:tc>
          <w:tcPr>
            <w:tcW w:w="973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 (PCAOB ID 238)</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r>
      <w:tr>
        <w:trPr/>
        <w:tc>
          <w:tcPr>
            <w:tcW w:w="9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Consolidated Balance Sheets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r>
        <w:trPr/>
        <w:tc>
          <w:tcPr>
            <w:tcW w:w="9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perations_and_comprehensive_loss">
              <w:r>
                <w:rPr>
                  <w:rStyle w:val="InternetLink"/>
                  <w:rFonts w:ascii="Times New Roman" w:hAnsi="Times New Roman"/>
                  <w:color w:val="0000FF"/>
                  <w:sz w:val="20"/>
                  <w:u w:val="single"/>
                </w:rPr>
                <w:t>Consolidated Statements of Operations and Comprehensive Loss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r>
      <w:tr>
        <w:trPr/>
        <w:tc>
          <w:tcPr>
            <w:tcW w:w="9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
              <w:r>
                <w:rPr>
                  <w:rStyle w:val="InternetLink"/>
                  <w:rFonts w:ascii="Times New Roman" w:hAnsi="Times New Roman"/>
                  <w:color w:val="0000FF"/>
                  <w:sz w:val="20"/>
                  <w:u w:val="single"/>
                </w:rPr>
                <w:t>Consolidated Statements of Cash Flows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r>
      <w:tr>
        <w:trPr/>
        <w:tc>
          <w:tcPr>
            <w:tcW w:w="9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_and_stockholders_equity">
              <w:r>
                <w:rPr>
                  <w:rStyle w:val="InternetLink"/>
                  <w:rFonts w:ascii="Times New Roman" w:hAnsi="Times New Roman"/>
                  <w:color w:val="0000FF"/>
                  <w:sz w:val="20"/>
                  <w:u w:val="single"/>
                </w:rPr>
                <w:t>Consolidated Statements of Redeemable Convertible Preferred Stock, Common Stock and Stockholders' Equity (Deficit)</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r>
      <w:tr>
        <w:trPr/>
        <w:tc>
          <w:tcPr>
            <w:tcW w:w="9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densed_consolidated_financial">
              <w:r>
                <w:rPr>
                  <w:rStyle w:val="InternetLink"/>
                  <w:rFonts w:ascii="Times New Roman" w:hAnsi="Times New Roman"/>
                  <w:color w:val="0000FF"/>
                  <w:sz w:val="20"/>
                  <w:u w:val="single"/>
                </w:rPr>
                <w:t>Notes to Consolidated Financial Statements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17" w:name="report_of_independent_registered_public"/>
      <w:bookmarkEnd w:id="17"/>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To the Board of Directors and Stockholders of Tempus AI, Inc.</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Opinions on the Financial Statements and Internal Control over Financial Reporting</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have audited the accompanying consolidated balance sheets of Tempus AI, Inc. and its subsidiaries (the "Company") as of December 31, 2025 and 2024, and the related consolidated statements of operations and comprehensive loss, of redeemable convertible preferred stock, common stock and stockholders' equity (deficit)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Framework(2013) issued by the COSO.</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Basis for Opinions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As described in Management's Report on Internal Control over Financial Reporting, management has excluded Ambry Genetics Corporation (Ambry) and Paige.AI, Inc. (Paige) from its assessment of internal control over financial reporting as of December 31, 2025, because they were acquired by the Company in purchase business combinations during 2025. We have also excluded Ambry and Paige from our audit of internal control over financial reporting. Ambry and Paige are wholly-owned subsidiaries whose total assets and total revenues excluded from management’s assessment and our audit of internal control over financial reporting collectively represent approximately 11% and 29%, respectively, of the related consolidated financial statement amounts as of and for the year ended December 31, 2025.</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Definition and Limitations of Internal Control over Financial Reporting</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40" w:after="160"/>
        <w:jc w:val="left"/>
        <w:rPr>
          <w:rFonts w:ascii="Times New Roman" w:hAnsi="Times New Roman"/>
          <w:i/>
          <w:color w:val="000000"/>
          <w:sz w:val="20"/>
        </w:rPr>
      </w:pPr>
      <w:r>
        <w:rPr>
          <w:rFonts w:ascii="Times New Roman" w:hAnsi="Times New Roman"/>
          <w:i/>
          <w:color w:val="000000"/>
          <w:sz w:val="20"/>
        </w:rPr>
        <w:t>Diagnostics Revenue – Variable Consideration for Clinical Orders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As described in Note 2 to the consolidated financial statements, the Company recognized Diagnostics revenue of $955.4 million for the year ended December 31, 2025, of which $884.5 million relates to clinical orders. The Company generally recognizes revenue for its Diagnostics product offering when it has met its performance obligation relating to an order. Management has determined its sole performance obligation to be the delivery of the testing results to the ordering party. For clinical orders from Medicare, Medicaid, and commercial insurance, management determines transaction price by reducing the standard charge by the estimated effects of any variable consideration, such as contractual allowance and implicit price concessions. Management estimates variable consideration using the expected value method which is based on historical collections in relation to established rates, as well as known current or anticipated reimbursement trends not reflected in the historical data. Management uses significant judgment when assessing whether estimates of variable consideration are constrained and these estimates are calculated based upon both insurance payor-specific and aggregated factors that include historical billing and adjustment data.</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The principal considerations for our determination that performing procedures relating to the Diagnostics revenue variable consideration for clinical orders is a critical audit matter are (i) the significant judgment by management when developing the estimate of variable consideration for clinical orders and (ii) a high degree of auditor judgment, subjectivity, and effort in performing procedures and evaluating management’s significant assumption related to the anticipated reimbursement trends not reflected in the historical data.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Diagnostics revenue recognition process, including controls over management’s estimation of variable consideration for clinical orders. These procedures also included, among others (i) testing the completeness and accuracy of data provided by management and (ii) evaluating the reasonableness of management’s estimate by (a) developing an independent estimate of variable consideration for clinical orders by utilizing revenue and historical reimbursement data and (b) comparing the independent estimate to management’s estimate.</w:t>
      </w:r>
    </w:p>
    <w:p>
      <w:pPr>
        <w:pStyle w:val="TextBody"/>
        <w:bidi w:val="0"/>
        <w:spacing w:before="40" w:after="160"/>
        <w:jc w:val="left"/>
        <w:rPr>
          <w:rFonts w:ascii="Times New Roman" w:hAnsi="Times New Roman"/>
          <w:i/>
          <w:color w:val="000000"/>
          <w:sz w:val="20"/>
        </w:rPr>
      </w:pPr>
      <w:r>
        <w:rPr>
          <w:rFonts w:ascii="Times New Roman" w:hAnsi="Times New Roman"/>
          <w:i/>
          <w:color w:val="000000"/>
          <w:sz w:val="20"/>
        </w:rPr>
        <w:t>Acquisition of Ambry – Valuation of Customer Relationships and Developed Technology – Biotech</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As described in Note 3 to the consolidated financial statements, on February 3, 2025, the Company completed its acquisition of Ambry for total consideration of $692.3 million. Of the acquired intangibles, $234.0 million of customer relationships and $114.0 million of developed technology – biotech were recorded. The fair value of customer relationships was estimated using the multi-period excess earnings method. Significant assumptions used in the valuation of customer relationships included forecasted revenue and expenses, customer attrition, contributory asset charges, and discount rate. The fair value of developed technology – biotech was estimated using the relief from royalty method. Significant assumptions used in the valuation of developed technology – biotech included forecasted revenue, royalty rate, discount rate, and assumed obsolescence rates.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The principal considerations for our determination that performing procedures relating to the valuation of customer relationships and developed technology – biotech acquired in the acquisition of Ambry is a critical audit matter are (i) the significant judgment by management when developing the fair value estimate of the customer relationships and developed technology – biotech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acquired; (ii) a high degree of auditor judgment, subjectivity, and effort in performing procedures and evaluating management’s significant assumptions related to forecasted revenue and expenses, customer attrition, contributory asset charges, and discount rate for customer relationships and forecasted revenue, royalty rate, discount rate, and assumed obsolescence rates for developed technology – biotech; and (iii) the audit effort involved the use of professionals with specialized skill and knowledge.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and developed technology – biotech acquired. These procedures also included, among others (i) reading the purchase agreement; (ii) testing management’s process for developing the fair value estimate of the customer relationships and developed technology – biotech acquired; (iii) evaluating the appropriateness of the multi-period excess earnings and relief from royalty methods used by management; (iv) testing the completeness and accuracy of the underlying data used in the multi-period excess earnings and relief from royalty methods; and (v) evaluating the reasonableness of the significant assumptions used by management related to forecasted revenue and expenses, customer attrition, contributory asset charges, and discount rate for customer relationships and forecasted revenue, royalty rate, discount rate, and assumed obsolescence rates for developed technology – biotech. Evaluating management’s assumptions related to forecasted revenue and expenses and customer attrition for customer relationships and forecasted revenue and royalty rate for developed technology – biotech involved considering (i) the current and past performance of the Ambry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multi-period excess earnings and relief from royalty methods and (ii) the reasonableness of the contributory asset charges and discount rate assumptions for the customer relationships and the royalty rate, discount rate, and assumed obsolescence rates assumptions for the developed technology – biotech.</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Chicago, Illinois</w:t>
      </w:r>
    </w:p>
    <w:p>
      <w:pPr>
        <w:pStyle w:val="TextBody"/>
        <w:bidi w:val="0"/>
        <w:jc w:val="left"/>
        <w:rPr>
          <w:rFonts w:ascii="Times New Roman" w:hAnsi="Times New Roman"/>
          <w:color w:val="000000"/>
          <w:sz w:val="20"/>
        </w:rPr>
      </w:pPr>
      <w:r>
        <w:rPr>
          <w:rFonts w:ascii="Times New Roman" w:hAnsi="Times New Roman"/>
          <w:color w:val="000000"/>
          <w:sz w:val="20"/>
        </w:rPr>
        <w:t>February 24, 2026</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We have served as the Company’s auditor since 2019.</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18" w:name="balance_sheets"/>
      <w:bookmarkEnd w:id="18"/>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97"/>
        <w:gridCol w:w="146"/>
        <w:gridCol w:w="252"/>
        <w:gridCol w:w="1114"/>
        <w:gridCol w:w="146"/>
        <w:gridCol w:w="146"/>
        <w:gridCol w:w="278"/>
        <w:gridCol w:w="1032"/>
        <w:gridCol w:w="794"/>
      </w:tblGrid>
      <w:tr>
        <w:trPr/>
        <w:tc>
          <w:tcPr>
            <w:tcW w:w="6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340,954</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Accounts receivable</w:t>
            </w:r>
            <w:r>
              <w:rPr>
                <w:rFonts w:ascii="Times New Roman" w:hAnsi="Times New Roman"/>
                <w:color w:val="000000"/>
                <w:sz w:val="13"/>
              </w:rPr>
              <w:t>(1)</w:t>
            </w:r>
            <w:r>
              <w:rPr>
                <w:rFonts w:ascii="Times New Roman" w:hAnsi="Times New Roman"/>
                <w:color w:val="000000"/>
                <w:sz w:val="20"/>
              </w:rPr>
              <w:t>, net of allowances of $2,755 and $1,141 at December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154,819</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38,386</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26,135</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107,309</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667,603</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58,056</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73,343</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91,450</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14,762</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926,116</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redeemable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53,804</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130,407</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75,981</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291,070</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26,199</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168,192</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70,450</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267,244</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869,777</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Includes related party accounts receivable of $6,428 and $4,287 as of December 31, 2025 and 2024, respectively.</w:t>
      </w:r>
    </w:p>
    <w:p>
      <w:pPr>
        <w:pStyle w:val="TextBody"/>
        <w:bidi w:val="0"/>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Includes related party deferred revenue of $3,938 and $0 as of December 31, 2025 and 2024,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2"/>
        <w:gridCol w:w="146"/>
        <w:gridCol w:w="211"/>
        <w:gridCol w:w="991"/>
        <w:gridCol w:w="166"/>
        <w:gridCol w:w="146"/>
        <w:gridCol w:w="211"/>
        <w:gridCol w:w="991"/>
        <w:gridCol w:w="411"/>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redeemable preferred stock, $0.0001 par value, 20,000,000 shares authorized at December 31, 2025 and 2024, respectively, no shares issued and outstanding at December 31,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$0.0001 par value, 1,000,000,000 shares authorized at December 31, 2025 and 2024, respectively; 173,235,428 and 157,076,972 shares issued and outstanding at December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$0.0001 par value, 5,500,000 shares authorized at December 31, 2025 and 2024, respectively; 5,043,789 issued and outstanding at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$0.0001 par value, no shares authorized at December 31, 2025 and 2024, respectively; no shares issued and outstanding at December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183,229 and 145,466 shares at December 31, 2025 and 2024, respectively,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2,210,664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(2,150,834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Convertible redeemable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9" w:name="operations_and_comprehensive_loss"/>
      <w:bookmarkEnd w:id="19"/>
      <w:r>
        <w:rPr>
          <w:rFonts w:ascii="Times New Roman" w:hAnsi="Times New Roman"/>
          <w:b/>
          <w:color w:val="000000"/>
          <w:sz w:val="20"/>
        </w:rPr>
        <w:t>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88"/>
        <w:gridCol w:w="146"/>
        <w:gridCol w:w="211"/>
        <w:gridCol w:w="931"/>
        <w:gridCol w:w="166"/>
        <w:gridCol w:w="146"/>
        <w:gridCol w:w="211"/>
        <w:gridCol w:w="931"/>
        <w:gridCol w:w="166"/>
        <w:gridCol w:w="146"/>
        <w:gridCol w:w="211"/>
        <w:gridCol w:w="841"/>
        <w:gridCol w:w="611"/>
      </w:tblGrid>
      <w:tr>
        <w:trPr/>
        <w:tc>
          <w:tcPr>
            <w:tcW w:w="5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Data and applications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531,822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(214,118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convertible preferred stock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Dividends on Series A, B, B-1, B-2, C, D, E, F, G, G-3, and G-4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Cumulative undeclared dividends on Series C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 shareholders,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 to compute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related party revenue of $65,251, $4,502 and $673 for the years ended December 31, 2025, 2024 and 2023,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0" w:name="statements_of_cash_flow"/>
      <w:bookmarkEnd w:id="20"/>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9398" w:type="dxa"/>
        <w:jc w:val="left"/>
        <w:tblInd w:w="0" w:type="dxa"/>
        <w:tblLayout w:type="fixed"/>
        <w:tblCellMar>
          <w:top w:w="28" w:type="dxa"/>
          <w:left w:w="28" w:type="dxa"/>
          <w:bottom w:w="28" w:type="dxa"/>
          <w:right w:w="28" w:type="dxa"/>
        </w:tblCellMar>
      </w:tblPr>
      <w:tblGrid>
        <w:gridCol w:w="5176"/>
        <w:gridCol w:w="146"/>
        <w:gridCol w:w="196"/>
        <w:gridCol w:w="751"/>
        <w:gridCol w:w="166"/>
        <w:gridCol w:w="146"/>
        <w:gridCol w:w="196"/>
        <w:gridCol w:w="751"/>
        <w:gridCol w:w="166"/>
        <w:gridCol w:w="146"/>
        <w:gridCol w:w="196"/>
        <w:gridCol w:w="751"/>
        <w:gridCol w:w="61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(214,118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warrant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Reversal of warrant contract asset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holdback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warrant contract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bad debt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finance right-of-use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Minimum accretion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PIK interest added to 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Accounts receivable</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Related party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Deferred revenue</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data licensing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&amp;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(214,339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increase in related party accounts receivable of $2,141 and $4,203 as of December 31, 2025 and 2024, respectively. Includes decrease in related party accounts receivable of $318 as of December 31,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Includes increase in related party deferred revenue of $3,938, $0 and $0 as of December 31, 2025, 2024 and 2023,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03"/>
        <w:gridCol w:w="146"/>
        <w:gridCol w:w="196"/>
        <w:gridCol w:w="751"/>
        <w:gridCol w:w="166"/>
        <w:gridCol w:w="146"/>
        <w:gridCol w:w="196"/>
        <w:gridCol w:w="751"/>
        <w:gridCol w:w="166"/>
        <w:gridCol w:w="146"/>
        <w:gridCol w:w="196"/>
        <w:gridCol w:w="751"/>
        <w:gridCol w:w="391"/>
      </w:tblGrid>
      <w:tr>
        <w:trPr/>
        <w:tc>
          <w:tcPr>
            <w:tcW w:w="6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Business combinations, net of cash acquired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in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in connection with initial public offering, net of underwriting discounts and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withholding related to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Series G-4 Preferred Stock,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Series G-5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payments on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revolving credit facility, net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long-term debt, net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convertible senior notes, net of initial purchasers'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indemnity holdback related to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G-4 Special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payments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Prepayment premium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capped call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in connection with at-the-market offering,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foreign exchange rates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303,731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609,451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are Comprised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378"/>
        <w:gridCol w:w="146"/>
        <w:gridCol w:w="196"/>
        <w:gridCol w:w="691"/>
        <w:gridCol w:w="146"/>
        <w:gridCol w:w="146"/>
        <w:gridCol w:w="196"/>
        <w:gridCol w:w="826"/>
        <w:gridCol w:w="146"/>
        <w:gridCol w:w="146"/>
        <w:gridCol w:w="196"/>
        <w:gridCol w:w="601"/>
        <w:gridCol w:w="391"/>
      </w:tblGrid>
      <w:tr>
        <w:trPr/>
        <w:tc>
          <w:tcPr>
            <w:tcW w:w="6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during the year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equity securities received on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 accrued but not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Redemption of 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Non-voting common stock issued in connection with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convertible preferred stock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offering costs, accrued but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financing fees, accrued but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Reclassification of deferred offering costs to additional paid-in capital upon at-the-market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arising from obtaining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Conversion of redeemable convertible preferred stock to common stock in connection with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Taxes related to net share settlement of restricted stock units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Reclassification of deferred offering costs to additional paid-in capital upon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Class A Common Stock issued in connection with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Class A Common Stock issued in connection with license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Series G-3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Series G-4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Convertible promissory note principal reset due to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STATEMENTS OF REDEEMABLE CONVERTIBLE</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1" w:name="stock_and_stockholders_equity"/>
      <w:bookmarkEnd w:id="21"/>
      <w:r>
        <w:rPr>
          <w:rFonts w:ascii="Times New Roman" w:hAnsi="Times New Roman"/>
          <w:b/>
          <w:color w:val="000000"/>
          <w:sz w:val="20"/>
        </w:rPr>
        <w:t>PREFERRED STOCK, COMMON STOCK AND STOCKHOLDERS’ EQUITY (DEFICIT)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tbl>
      <w:tblPr>
        <w:tblW w:w="13185" w:type="dxa"/>
        <w:jc w:val="left"/>
        <w:tblInd w:w="0" w:type="dxa"/>
        <w:tblLayout w:type="fixed"/>
        <w:tblCellMar>
          <w:top w:w="28" w:type="dxa"/>
          <w:left w:w="28" w:type="dxa"/>
          <w:bottom w:w="28" w:type="dxa"/>
          <w:right w:w="28" w:type="dxa"/>
        </w:tblCellMar>
      </w:tblPr>
      <w:tblGrid>
        <w:gridCol w:w="796"/>
        <w:gridCol w:w="146"/>
        <w:gridCol w:w="146"/>
        <w:gridCol w:w="691"/>
        <w:gridCol w:w="151"/>
        <w:gridCol w:w="166"/>
        <w:gridCol w:w="631"/>
        <w:gridCol w:w="151"/>
        <w:gridCol w:w="146"/>
        <w:gridCol w:w="706"/>
        <w:gridCol w:w="146"/>
        <w:gridCol w:w="170"/>
        <w:gridCol w:w="356"/>
        <w:gridCol w:w="146"/>
        <w:gridCol w:w="146"/>
        <w:gridCol w:w="586"/>
        <w:gridCol w:w="146"/>
        <w:gridCol w:w="170"/>
        <w:gridCol w:w="356"/>
        <w:gridCol w:w="146"/>
        <w:gridCol w:w="146"/>
        <w:gridCol w:w="631"/>
        <w:gridCol w:w="151"/>
        <w:gridCol w:w="170"/>
        <w:gridCol w:w="356"/>
        <w:gridCol w:w="146"/>
        <w:gridCol w:w="146"/>
        <w:gridCol w:w="541"/>
        <w:gridCol w:w="151"/>
        <w:gridCol w:w="166"/>
        <w:gridCol w:w="421"/>
        <w:gridCol w:w="151"/>
        <w:gridCol w:w="166"/>
        <w:gridCol w:w="586"/>
        <w:gridCol w:w="151"/>
        <w:gridCol w:w="166"/>
        <w:gridCol w:w="631"/>
        <w:gridCol w:w="151"/>
        <w:gridCol w:w="296"/>
        <w:gridCol w:w="620"/>
        <w:gridCol w:w="151"/>
        <w:gridCol w:w="166"/>
        <w:gridCol w:w="631"/>
        <w:gridCol w:w="19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 Convertible</w:t>
              <w:br/>
              <w:t>Preferred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62,692,927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1,026,143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58,367,961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4,932,415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(1,138,302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(1,129,027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G-3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G-4 Preferred Stock, net of stock issuance costs of $4,338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785,245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Accretion of convertible preferred stock to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Repurchase of Non-voting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issued in connection with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273,387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(214,118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(214,118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63,525,953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1,105,543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58,367,961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5,205,802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18,345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(1,396,917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(1,382,163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G-3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G-4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G-5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3,489,981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199,750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issued in connection with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initial public offering, net of underwriting discounts and other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369,603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369,604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 exercise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redeemable convertible preferred stock to common</w:t>
              <w:br/>
              <w:t>   stock in connection with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(67,093,065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(1,343,382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71,976,178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1,357,562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1,348,809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non-voting common stock to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5,069,477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(5,214,943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w:t>
              <w:br/>
              <w:t>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10,228,430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534,138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534,138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(705,809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(705,809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157,076,972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2,210,664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(2,150,834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56,339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STATEMENTS OF REDEEMABLE CONVERTIBLE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PREFERRED STOCK, COMMON STOCK AND STOCKHOLDERS’ EQUITY (DEFICIT)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379"/>
        <w:gridCol w:w="146"/>
        <w:gridCol w:w="146"/>
        <w:gridCol w:w="706"/>
        <w:gridCol w:w="151"/>
        <w:gridCol w:w="170"/>
        <w:gridCol w:w="356"/>
        <w:gridCol w:w="146"/>
        <w:gridCol w:w="146"/>
        <w:gridCol w:w="586"/>
        <w:gridCol w:w="146"/>
        <w:gridCol w:w="170"/>
        <w:gridCol w:w="356"/>
        <w:gridCol w:w="146"/>
        <w:gridCol w:w="146"/>
        <w:gridCol w:w="541"/>
        <w:gridCol w:w="151"/>
        <w:gridCol w:w="166"/>
        <w:gridCol w:w="421"/>
        <w:gridCol w:w="151"/>
        <w:gridCol w:w="166"/>
        <w:gridCol w:w="586"/>
        <w:gridCol w:w="151"/>
        <w:gridCol w:w="166"/>
        <w:gridCol w:w="631"/>
        <w:gridCol w:w="151"/>
        <w:gridCol w:w="296"/>
        <w:gridCol w:w="620"/>
        <w:gridCol w:w="146"/>
        <w:gridCol w:w="179"/>
        <w:gridCol w:w="589"/>
        <w:gridCol w:w="198"/>
      </w:tblGrid>
      <w:tr>
        <w:trPr/>
        <w:tc>
          <w:tcPr>
            <w:tcW w:w="1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157,076,972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2,210,664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(2,150,834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56,339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7,497,808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At the Market offering, net of offering costs and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2,381,895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194,678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194,678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6,298,601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403,154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403,154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license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Purchase of capped call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(41,775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124,747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124,747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Repurchase of Class A voting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(245,028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(245,028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173,235,428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(183,229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2,892,910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(2,395,862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491,326</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22" w:name="notes_condensed_consolidated_financial"/>
      <w:bookmarkEnd w:id="22"/>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w:t>
      </w:r>
    </w:p>
    <w:p>
      <w:pPr>
        <w:pStyle w:val="TextBody"/>
        <w:bidi w:val="0"/>
        <w:spacing w:before="120" w:after="283"/>
        <w:jc w:val="left"/>
        <w:rPr>
          <w:rFonts w:ascii="Times New Roman" w:hAnsi="Times New Roman"/>
          <w:sz w:val="20"/>
        </w:rPr>
      </w:pPr>
      <w:r>
        <w:rPr>
          <w:rFonts w:ascii="Times New Roman" w:hAnsi="Times New Roman"/>
          <w:b/>
          <w:color w:val="000000"/>
          <w:sz w:val="20"/>
        </w:rPr>
        <w:t>Company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AI, Inc., together with the subsidiaries through which it conducts business (the “Company” or "Tempus"),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payers, and pharmaceutical companies. The Company primarily derives revenue from selling comprehensive genetic testing to physicians and large academic research institutions, licensing data to third parties, matching patients to clinical trials, and related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 Effective August 7, 2025, the Company reincorporated, by conversion, from a Delaware corporation to a Nevada corporation.</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one operating and reportable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consolidated net loss that is reported on the consolidated statements of operations and comprehensive loss. The CODM uses consolidated net loss to evaluate income generated from segment assets. Net loss is used to monitor budget versus actual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of the expenses reported on the consolidated statements of operations and comprehensive loss, the CODM regularly reviews personnel costs and cloud costs within selling, general, and administrative expenses, which the Company has identified as significant segment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summarizes the significant segment expenses reconciled to total selling, general and administrative expenses shown on the consolidated statements of operations and comprehensive loss. Other selling, general, and administrative expenses include facilities, professional fees, marketing, travel and entertainment, depreciation and amortization, and stock-based compensation (see Note 11). </w:t>
      </w:r>
    </w:p>
    <w:p>
      <w:pPr>
        <w:pStyle w:val="TextBody"/>
        <w:bidi w:val="0"/>
        <w:jc w:val="left"/>
        <w:rPr/>
      </w:pPr>
      <w:r>
        <w:rPr/>
        <w:t> </w:t>
      </w:r>
    </w:p>
    <w:tbl>
      <w:tblPr>
        <w:tblW w:w="7937" w:type="dxa"/>
        <w:jc w:val="left"/>
        <w:tblInd w:w="0" w:type="dxa"/>
        <w:tblLayout w:type="fixed"/>
        <w:tblCellMar>
          <w:top w:w="28" w:type="dxa"/>
          <w:left w:w="28" w:type="dxa"/>
          <w:bottom w:w="28" w:type="dxa"/>
          <w:right w:w="28" w:type="dxa"/>
        </w:tblCellMar>
      </w:tblPr>
      <w:tblGrid>
        <w:gridCol w:w="3886"/>
        <w:gridCol w:w="211"/>
        <w:gridCol w:w="781"/>
        <w:gridCol w:w="146"/>
        <w:gridCol w:w="146"/>
        <w:gridCol w:w="211"/>
        <w:gridCol w:w="781"/>
        <w:gridCol w:w="146"/>
        <w:gridCol w:w="146"/>
        <w:gridCol w:w="211"/>
        <w:gridCol w:w="781"/>
        <w:gridCol w:w="491"/>
      </w:tblGrid>
      <w:tr>
        <w:trPr/>
        <w:tc>
          <w:tcPr>
            <w:tcW w:w="3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 payroll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135,466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Cloud and software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selling, 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296,760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color w:val="000000"/>
          <w:sz w:val="20"/>
        </w:rPr>
        <w:t>Principles of Consolidation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Tempus AI,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believes that its existing cash and cash equivalents and marketable equity securities at December 31, 2025 will be sufficient to allow the Company to fund its current operating plan through at least a period of one year from the date of issuance.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w:t>
      </w:r>
    </w:p>
    <w:p>
      <w:pPr>
        <w:pStyle w:val="TextBody"/>
        <w:bidi w:val="0"/>
        <w:spacing w:before="36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GAAP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operating lease liabilities, and the useful lives of property, equipment and intangible assets, and the cash flows used in determining the fair value of acquired intangible assets. Actual results could differ from those estimates.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Cash, Cash Equivalents and Restricted Cash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considers all highly-liquid investments with an original maturity of three months or less from the date of purchase to be cash equivalents. Restricted cash primarily represents amounts that the Company is unable to access for operational purposes pursuant to letters of credit with a financial institution in connection with certain of the Company's operating leases. The Company had $4.7 million and $0.9 million of restricted cash as of December 31, 2025 and 2024, respectively.</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Accounts Receivable and Allowances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Accounts receivable primarily represents the net cash due from the Company’s customers, including payors, pharmaceutical companies, genetic counselors, and research institutions. Payments of accounts receivable are allocated to the specific invoices identified on the remittance advice. Accounts receivables are reported at their gross outstanding balance reduced by an allowance for doubtful accounts and contractual allowance. The allowance for doubtful accounts is based on the age of an invoice, historical payment trends, as well as forward looking data and current economic trends.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Concentration of Credit Risk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Financial instruments that potentially expose the Company to concentrations of credit risk are primarily cash, cash equivalents, restricted cash and accounts receivable. The Company maintains cash balances that may exceed the insured limits by the Federal Deposit Insurance Corporation. The Company has not experienced any losses on its deposits of cash.</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pStyle w:val="TextBody"/>
        <w:bidi w:val="0"/>
        <w:spacing w:before="240" w:after="283"/>
        <w:jc w:val="left"/>
        <w:rPr>
          <w:rFonts w:ascii="Times New Roman" w:hAnsi="Times New Roman"/>
          <w:sz w:val="20"/>
        </w:rPr>
      </w:pPr>
      <w:r>
        <w:rPr>
          <w:rFonts w:ascii="Times New Roman" w:hAnsi="Times New Roman"/>
          <w:color w:val="231F20"/>
          <w:sz w:val="20"/>
        </w:rPr>
        <w:t>There were no customers that represented a significant portion of the Company's revenues for the years ended December 31, 2025, 2024 and 2023, respectively. No single customer represents a material portion of the Company's accounts receivable</w:t>
      </w:r>
      <w:r>
        <w:rPr>
          <w:rFonts w:ascii="Times New Roman" w:hAnsi="Times New Roman"/>
          <w:color w:val="000000"/>
          <w:sz w:val="20"/>
        </w:rPr>
        <w:t xml:space="preserve"> as of December 31, 2025 and 2024.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Inventories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Inventories, consisting of supplies and consumables used in the lab, are accounted for using the first-in, first-out method of accounting and are valued at the lower of cost or net realizable value. The Company periodically reviews inventory for excess or obsolescence and writes-down obsolete or otherwise un-usable inventory to its estimated net realizable value. Amounts written-down due to obsolete inventory are charged to cost of revenues. As of December 31, 2025, the Company had approximately $49.9 million of inventory and $1.7 million of inventory in process in the labs. As of December 31, 2024, the Company had approximately $36.9 million of inventory and $1.5 million of inventory in process in the labs.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 relies on a sole supplier for certain laboratory materials, equipment and services. Purchases from this supplier accounted for approximately 33%, 39% and 33% of total vendor payments for the years ended December 31, 2025, 2024 and 2023, respectively. Amounts due to this vendor approximated $15.9 million and $18.2 million at December 31,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Prepaid expenses and Other Current Assets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capitalized implementation costs, the short-term portion of the Company’s contract asset related to Personalis and other receivables.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Marketable Equity Securities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holds marketable equity securities, all of which are publicly traded shares of common stock, which have quoted prices in active markets and are classified as short-term.</w:t>
      </w:r>
      <w:r>
        <w:rPr>
          <w:rFonts w:ascii="Times New Roman" w:hAnsi="Times New Roman"/>
          <w:color w:val="231F20"/>
          <w:sz w:val="20"/>
        </w:rPr>
        <w:t xml:space="preserve"> The Company’s investment in marketable equity securities does not give the Company the ability to control or exercise significant influence over the investee. See Note 15, "Fair Value Measurements and Marketable Equity Securities" for further information.</w:t>
      </w:r>
      <w:r>
        <w:rPr>
          <w:rFonts w:ascii="Times New Roman" w:hAnsi="Times New Roman"/>
          <w:color w:val="000000"/>
          <w:sz w:val="20"/>
        </w:rPr>
        <w:t xml:space="preserve"> </w:t>
      </w:r>
      <w:r>
        <w:rPr>
          <w:rFonts w:ascii="Times New Roman" w:hAnsi="Times New Roman"/>
          <w:color w:val="231F20"/>
          <w:sz w:val="20"/>
        </w:rPr>
        <w:t>Changes in fair value are recorded in earnings within Other income, net on the consolidated statements of operations and comprehensive loss.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Long-Lived Assets</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Property and Equipment and Intangibles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Property and equipment are stated at cost and assets under finance leases are stated at the lesser of the present value of minimum lease payments or their fair market value. Depreciation is recognized using the straight-line method over the estimated useful lives of the related assets. Generally, the useful lives are three years for equipment, seven years for furniture and fixtures and 30-40 years for buildings.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Impairment of Long-Lived Assets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 Company recognized an impairment charge related to long-lived assets during the year ended December 31, 2023. See Note 5, “Goodwill and Intangibles” for additional information. There were no impairment charges recognized related to long-lived assets during the years ended December 31, 2025 and 2024.</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Goodwill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2025, 2024 and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 Method Investments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uses the equity method to account for investments in which it has the ability to exercise significant influence over the investee's operating and financial policies. The Company follows the guidance in ASC 323, </w:t>
      </w:r>
      <w:r>
        <w:rPr>
          <w:rFonts w:ascii="Times New Roman" w:hAnsi="Times New Roman"/>
          <w:i/>
          <w:color w:val="000000"/>
          <w:sz w:val="20"/>
        </w:rPr>
        <w:t>Investments—Equity Method and Joint Ventures</w:t>
      </w:r>
      <w:r>
        <w:rPr>
          <w:rFonts w:ascii="Times New Roman" w:hAnsi="Times New Roman"/>
          <w:color w:val="000000"/>
          <w:sz w:val="20"/>
        </w:rPr>
        <w:t xml:space="preserve">, which prescribes the use of the equity method for investments in joint ventures where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has significant influence. The Company records the initial investment at cost and is subsequently adjusted by the Company's share, based on percentage ownership, of the investee's net income or loss after the date of investment. For the Company's foreign-based equity method investment, the proportionate share of the investee's income is translated into USD at the average exchange rate for the period and the investment is translated using the exchange rate as of the end of the reporting period. The unrealized gains and losses associated with the foreign currency translation of the investment are deferred in accumulated other comprehensive income on the Company's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Variable Interest Entities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variable interest entity (“VIE”) is an entity that (i) has insufficient equity to permit the entity to finance its activities without additional subordinated financial support, (ii) has equity investors who lack the characteristics of a controlling financial interest, or (iii) the entity is established with non-substantive voting rights (i.e., the entity deprives the majority economic interest holder(s) of voting rights). Under ASC 810, </w:t>
      </w:r>
      <w:r>
        <w:rPr>
          <w:rFonts w:ascii="Times New Roman" w:hAnsi="Times New Roman"/>
          <w:i/>
          <w:color w:val="000000"/>
          <w:sz w:val="20"/>
        </w:rPr>
        <w:t>Consolidation</w:t>
      </w:r>
      <w:r>
        <w:rPr>
          <w:rFonts w:ascii="Times New Roman" w:hAnsi="Times New Roman"/>
          <w:color w:val="000000"/>
          <w:sz w:val="20"/>
        </w:rPr>
        <w:t>, an entity that holds a variable interest in a VIE and meets certain requirements would be considered to be the primary beneficiary of the VIE and required to consolidate the VIE in its consolidated financial statements. In order to be considered the primary beneficiary of a VIE, an entity must hold a variable interest in the VIE and have both: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power to direct the activities that most significantly impact the economic performance of the VIE;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 to receive benefits from, or the obligation to absorb losses of, the VIE that could be potentially significant to the VIE.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is not the primary beneficiary in a VIE, it accounts for the investment or other variable interests in a VIE in accordance with applicable GAAP. Periodically, the Company assesses whether any changes in its interest or relationship with the entity affects its determination of whether the entity is a VIE and, if so, whether it is the primary beneficiary.</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Term Loan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outstanding term loan (see Note 12) is accounted for in accordance with ASC 470. The original issue discount and deferred financing fees are amortized into Interest expense within the consolidated statements of operations using the straight-line method over the term of the underlying debt, and unamortized amounts are presented net of the principal balance within Long-term debt in the consolidated balance sheets.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Revolving Credit Facility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outstanding priority revolving loan commitments (see Note 12) is accounted for in accordance with ASC 470. The original issue discount and deferred financing fees are amortized into Interest expense within the consolidated statements of operations using the straight-line method over the term of the underlying revolving loan commitment, and the outstanding balance is presented within Revolving credit facility in the consolidated balance sheets.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outstanding convertible senior notes (see Note 12) is accounted for in accordance with ASC 470. The Company determined the embedded conversion options, redemption features, and contingent interest and payments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 The initial purchasers' discount and deferred financing fees are amortized into Interest expense within the consolidated statements of operations using the straight-line method over the term of the underlying debt, and unamortized amounts are presented net of the principal balance within Convertible senior notes in the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Notes, the Company entered into the Capped Call, or the Capped Call, with one of the initial purchasers and certain other financial institutions. The Capped Call is expected generally to reduce the potential dilution to our Class A common stock upon any conversion of the Notes and/or offset any cash payments the Company is required to make in excess of the principal amount of converted Notes, with such reduction and/or offset subject to a cap based on a cap price initially equal to $111.1950 per share, which is subject to certain adjustments under the terms of the Capped Call. The equity-classified Capped Call is not remeasured each reporting period and are recorded as a reduction to additional paid-in-capital within shareholders’ equity when purchased.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Convertible Note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Company’s outstanding promissory note (see Note 12) is accounted for in accordance with ASC 470. The Company determined the embedded conversion options, redemption features, and acceleration of repayment upon default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 </w:t>
      </w:r>
    </w:p>
    <w:p>
      <w:pPr>
        <w:pStyle w:val="TextBody"/>
        <w:bidi w:val="0"/>
        <w:spacing w:before="360" w:after="160"/>
        <w:jc w:val="left"/>
        <w:rPr>
          <w:rFonts w:ascii="Times New Roman" w:hAnsi="Times New Roman"/>
          <w:b/>
          <w:color w:val="231F20"/>
          <w:sz w:val="20"/>
        </w:rPr>
      </w:pPr>
      <w:r>
        <w:rPr>
          <w:rFonts w:ascii="Times New Roman" w:hAnsi="Times New Roman"/>
          <w:b/>
          <w:color w:val="231F20"/>
          <w:sz w:val="20"/>
        </w:rPr>
        <w:t>Business Combinations</w:t>
      </w:r>
    </w:p>
    <w:p>
      <w:pPr>
        <w:pStyle w:val="TextBody"/>
        <w:bidi w:val="0"/>
        <w:spacing w:before="0" w:after="160"/>
        <w:jc w:val="left"/>
        <w:rPr>
          <w:rFonts w:ascii="Times New Roman" w:hAnsi="Times New Roman"/>
          <w:color w:val="231F20"/>
          <w:sz w:val="20"/>
        </w:rPr>
      </w:pPr>
      <w:r>
        <w:rPr>
          <w:rFonts w:ascii="Times New Roman" w:hAnsi="Times New Roman"/>
          <w:color w:val="231F20"/>
          <w:sz w:val="20"/>
        </w:rPr>
        <w:t>In accordance with ASC Topic 805, Business Combinations, we use the acquisition method of accounting to allocate the purchase price of an acquired business to the assets acquired and liabilities assumed based on their estimated fair values at the date of acquisition. The excess of the purchase price over the estimated fair value of assets and liabilities is recorded as goodwill. Assigning fair market values to the assets acquired and liabilities assumed at the date of an acquisition often requires the application of judgment regarding estimates and assumptions. These estimates include, but are not limited to, a market participant’s expectation of future cash flows from acquired customer relationships, acquired trade names, and acquired developed technology. All acquisition costs are expensed as incurred.</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Leases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determines whether an arrangement is or contains a lease at inception, and all significant lease arrangements are recognized at lease commencement. The majority of the Company’s leases are operating leases and are included in operating lease right-of-use assets, operating lease liabilities, and operating lease liabilities, less current portion on the consolidated balance sheets.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ROU assets represent the Company’s right to use an underlying asset for the lease term, and lease liabilities represent the Company’s obligation to make lease payments arising from the lease. Operating ROU assets and operating lease liabilities are recognized at commencement based on the present value of fixed payments not yet paid over the remaining lease term discounted using the Company’s incremental borrowing rate. ROU assets also include any lease payments made at or before the lease commencement date, less lease incentives received and deferred rent. As the Company’s leases do not provide an implicit rate, the incremental borrowing rate used is estimated based on what the Company would have to pay on a collateralized basis over a similar term as the lease.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 has lease arrangements with lease and non-lease components. The Company elected the practical expedient not to separate non-lease components from lease components for the Company’s facility leases. Variable lease payments are presented as rent expense in the period in which they are incurred and consist primarily of our proportionate share of operating expenses, utilities, property taxes, insurance, common area maintenance and other facility-related expenses. The Company also elected to apply the short-term lease measurement and recognition exemption in which ROU assets and lease liabilities are not recognized for leases with terms of twelve months or less, and lease expense is recognized on a straight-line basis over the term of the short-term lease. The Company records rent expense in its consolidated statements of operations and comprehensive loss on a straight-line basis over the term of the lease and records variable lease payments as incurred. The Company’s lease terms may include options to extend or terminate the lease, which the Company includes in calculating the operating lease liabilities if it is reasonably certain that the Company will exercise the option. As of December 31, 2025, the Company’s lease liabilities did not include any options to extend or terminate any of its leases.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revenue from selling lab services (“Diagnostics”) to physicians, genetic counselors, academic research institutions, and other parties. The Company also derives revenue from the commercialization of data generated in the lab (“Data and applications”) through the licensing of de-identified datasets to third parties and by providing clinical trial support, such as matching patients to clinical trials enrolled in its clinical trial network, and related services. The majority of the Company’s revenue is generated in North America.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accounts for revenue in accordance with Financial Accounting Standards Board (“FASB”)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 commences revenue recognition when control of these products is transferred to customers in an amount that reflects the consideration the Company expects to be entitled to in exchange for such products. This principle is achieved by applying the five-step approach: (i) the Company accounts for a contract when it has approval and commitment from both parties, (ii) the rights of the parties are identified, (iii) payment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terms are identified, (iv) the contract has commercial substance and (v) collectability of consideration is probable. Revenues and any contract assets are not recognized until such time that the required conditions are met. </w:t>
      </w:r>
    </w:p>
    <w:p>
      <w:pPr>
        <w:pStyle w:val="TextBody"/>
        <w:bidi w:val="0"/>
        <w:spacing w:before="360" w:after="283"/>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provides disaggregation of revenue based on Diagnostics and Data and applications on the consolidated statements of operations and comprehensive loss, as it believes these best depict how the nature, amount, timing and uncertainty of revenue and cash flows are affected by economic factors. </w:t>
      </w:r>
    </w:p>
    <w:p>
      <w:pPr>
        <w:pStyle w:val="TextBody"/>
        <w:bidi w:val="0"/>
        <w:spacing w:before="360" w:after="283"/>
        <w:jc w:val="left"/>
        <w:rPr>
          <w:rFonts w:ascii="Times New Roman" w:hAnsi="Times New Roman"/>
          <w:sz w:val="20"/>
        </w:rPr>
      </w:pPr>
      <w:r>
        <w:rPr>
          <w:rFonts w:ascii="Times New Roman" w:hAnsi="Times New Roman"/>
          <w:b/>
          <w:color w:val="000000"/>
          <w:sz w:val="20"/>
        </w:rPr>
        <w:t>Diagnostics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generally recognizes revenue for its Diagnostics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variable consideration using the expected value method which is based on historical collections in relation to established rates, as well as known current or anticipated reimbursement trends not reflected in the historical data. The Company uses significant judgment when assessing whether estimates of variable consideration are constrained and these estimates are calculated based upon both insurance payor-specific and aggregated factors that include historical billing and adjustment data. Estimates are inclusive of the consideration to which the Company will be entitled at an amount for which it is probable that a reversal of cumulative consideration will not occur.The Company monitors the estimated amount to be collected at each reporting period based on actual cash collections in order to assess whether a revision to the estimate is required. During the year ended December 31, 2023, the Company recognized $12.2 million from cash collections in excess of revenue recognized in prior years, primarily as a result of achieving a higher success rate on appeals than estimated. During the years ended December 31, 2025 and 2024, the amount recognized from cash collections in excess of revenue recognized in prior years was not material. Payment is typically due after the claim has been processed by the payer, generally 30-120 days from date of service. While management believes that the estimates are accurate, actual results could differ and the potential impact on the financial statements could be significant. The Company recognized revenue for clinical orders of $884.5 million, $409.4 million and $328.4 million for the years ended December 31, 2025, 2024 and 2023,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Diagnostics revenue for direct bill orders of $70.9 million, $42.3 million and $34.6 million for the years ended December 31, 2025, 2024 and 2023,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Data and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and applications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applications product offering when it has met its performance obligation under the terms of the agreement with the customer. The Company’s product offerings are as follows: </w:t>
      </w:r>
    </w:p>
    <w:p>
      <w:pPr>
        <w:pStyle w:val="TextBody"/>
        <w:bidi w:val="0"/>
        <w:spacing w:before="360" w:after="283"/>
        <w:jc w:val="left"/>
        <w:rPr>
          <w:rFonts w:ascii="Times New Roman" w:hAnsi="Times New Roman"/>
          <w:sz w:val="20"/>
        </w:rPr>
      </w:pPr>
      <w:r>
        <w:rPr>
          <w:rFonts w:ascii="Times New Roman" w:hAnsi="Times New Roman"/>
          <w:i/>
          <w:color w:val="000000"/>
          <w:sz w:val="20"/>
        </w:rPr>
        <w:t>Insights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the Company’s technological, operational,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determined that the delivery of de-identified records and, when applicable, analytical services, and access to its enhanced Lens application are separate and distinct performance obligations. The primary Insights contract types are as follows: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Data licensing on a one-time or limited duration basis</w:t>
      </w:r>
      <w:r>
        <w:rPr>
          <w:color w:val="000000"/>
        </w:rPr>
        <w:t xml:space="preserve"> – </w:t>
      </w:r>
      <w:r>
        <w:rPr>
          <w:rFonts w:ascii="Times New Roman" w:hAnsi="Times New Roman"/>
          <w:color w:val="000000"/>
          <w:sz w:val="20"/>
        </w:rPr>
        <w:t xml:space="preserve">Customer licenses a specific dataset of records, and the Company accounts for individual 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Multi-year data subscriptions</w:t>
      </w:r>
      <w:r>
        <w:rPr>
          <w:color w:val="000000"/>
        </w:rPr>
        <w:t xml:space="preserve"> – </w:t>
      </w:r>
      <w:r>
        <w:rPr>
          <w:rFonts w:ascii="Times New Roman" w:hAnsi="Times New Roman"/>
          <w:color w:val="000000"/>
          <w:sz w:val="20"/>
        </w:rPr>
        <w:t xml:space="preserve">Customer licenses an interchangeable maximum number of de-identified records, and the Company accounts for the service as a right to access license and one performance obligation. Revenue is recognized as access to the dataset is provided, ratably over-time, with the measure of progress time-based.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Analytical services and other services</w:t>
      </w:r>
      <w:r>
        <w:rPr>
          <w:color w:val="000000"/>
        </w:rPr>
        <w:t xml:space="preserve"> – </w:t>
      </w:r>
      <w:r>
        <w:rPr>
          <w:rFonts w:ascii="Times New Roman" w:hAnsi="Times New Roman"/>
          <w:color w:val="000000"/>
          <w:sz w:val="20"/>
        </w:rPr>
        <w:t xml:space="preserve">Services typically involve data analysis and research performed on behalf of the customer by the Company. The resulting delivery of data, or a report addressing a series of questions and analytical results, is considered a single performance obligation. Revenue is generally recognized upon the delivery of these services, as defined by the contract.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Enhanced Lens application subscription services</w:t>
      </w:r>
      <w:r>
        <w:rPr>
          <w:color w:val="000000"/>
        </w:rPr>
        <w:t xml:space="preserve"> – </w:t>
      </w:r>
      <w:r>
        <w:rPr>
          <w:rFonts w:ascii="Times New Roman" w:hAnsi="Times New Roman"/>
          <w:color w:val="000000"/>
          <w:sz w:val="20"/>
        </w:rPr>
        <w:t xml:space="preserve">Customer licenses access to the Company’s enhanced Lens application under a 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Cloud hosting services </w:t>
      </w:r>
      <w:r>
        <w:rPr>
          <w:color w:val="000000"/>
        </w:rPr>
        <w:t xml:space="preserve">– </w:t>
      </w:r>
      <w:r>
        <w:rPr>
          <w:rFonts w:ascii="Times New Roman" w:hAnsi="Times New Roman"/>
          <w:color w:val="000000"/>
          <w:sz w:val="20"/>
        </w:rPr>
        <w:t>The Company provides cloud hosting services to customers via a third party cloud infrastructure provider. Revenue is recognized as the related compute and storage costs are incurred by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revenue from Insights products of $257.7 million, $186.8 million and $117.6 million for the years ended December 31, 2025, 2024 and 2023, respectively. </w:t>
      </w:r>
    </w:p>
    <w:p>
      <w:pPr>
        <w:pStyle w:val="TextBody"/>
        <w:bidi w:val="0"/>
        <w:spacing w:before="360" w:after="283"/>
        <w:jc w:val="left"/>
        <w:rPr>
          <w:rFonts w:ascii="Times New Roman" w:hAnsi="Times New Roman"/>
          <w:sz w:val="20"/>
        </w:rPr>
      </w:pPr>
      <w:r>
        <w:rPr>
          <w:rFonts w:ascii="Times New Roman" w:hAnsi="Times New Roman"/>
          <w:i/>
          <w:color w:val="000000"/>
          <w:sz w:val="20"/>
        </w:rPr>
        <w:t>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Trials product includes TIME clinical trial matching services and other clinical trial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TIME, the Company provides other clinical trial services conducting or supporting studies. Tempus Compass LLC, a subsidiary of the Company, is a contract research organization, or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revenue from Trials products of $38.5 million, $42.4 million and $45.6 million for the years ended December 31, 2025, 2024 and 2023,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Next</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 Company's Next product is an AI platform that leverages machine learning to apply an "intelligent layer" onto routinely generated data to proactively identify and minimize care gaps for oncology and cardiology patients. The </w:t>
      </w:r>
      <w:r>
        <w:rPr>
          <w:rFonts w:ascii="Times New Roman" w:hAnsi="Times New Roman"/>
          <w:color w:val="000000"/>
          <w:sz w:val="20"/>
        </w:rPr>
        <w:t>Company evaluates each contract to determine which performance obligations are capable of being distinct and separately identifiable from other promises in the contract and, therefore, represent distinct performance obligations. Fixed-price subscriptions generally represent a single performance obligation and are recognized over-time. Revenue can also be recognized upon delivery of reports or certain milestones as defined by the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revenue from Next of $20.1 million, $12.3 million and $5.1 million for the years ended December 31, 2025, 2024 and 2023,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Insights, Trials and Next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applications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w:t>
      </w:r>
    </w:p>
    <w:p>
      <w:pPr>
        <w:pStyle w:val="TextBody"/>
        <w:bidi w:val="0"/>
        <w:spacing w:before="360" w:after="283"/>
        <w:jc w:val="left"/>
        <w:rPr>
          <w:rFonts w:ascii="Times New Roman" w:hAnsi="Times New Roman"/>
          <w:sz w:val="20"/>
        </w:rPr>
      </w:pPr>
      <w:r>
        <w:rPr>
          <w:rFonts w:ascii="Times New Roman" w:hAnsi="Times New Roman"/>
          <w:b/>
          <w:color w:val="000000"/>
          <w:sz w:val="20"/>
        </w:rPr>
        <w:t>Multi-year Contract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$348.1 million as of December 31, 2025, of which the Company expects to recognize approximately 52% as revenue over the next year, and the remaining 37% and 11% of its remaining performance obligations as revenue in years two and three,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of revenue recognition may differ from the timing of invoicing to customers. Certain performance obligations may require payment before delivery of the service to the customer. The Company recognizes contract assets when the Company has an unconditional right to payment, and when revenues earned on a contract exceeds the billings. Contract assets are presented under accounts receivable, net. Accounts receivable as of December 31, 2025 and 2024 included contract assets of $8.1 million and $4.1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in accordance with ASC 606. The contract asset was initially measured equal to the initial fair value of the warrant liability based on the authoritative guidance under FASB ASC 718 Compensation—Stock Compensation. As revenue is recognized over the period of the contractual commitment of the MSA, the associated contract asset amortization is recorded as reduction of revenue. At each reporting period, the short-term portion of the warrant asset is adjusted based on the financial commitment. The warrant was terminated for no consideration on December 31, 2024. In accordance with ASC 606, the Company recognized $16.3 million in Data and applications revenue to reverse historical warrant contract asset amortization in the year ended December 31, 2024, of which $11.5 million was recorded as contra revenue in prior periods. Additionally, the Company recognized expense of $37.8 million in Other income, net to reverse the warrant contract asset balance as of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the Company entered into a Commercialization and Reference Laboratory Agreement with Personalis, Inc. (“Personalis”), which was subsequently amended in August 2024 and July 2025. The Company agreed to pay up to $12.0 million to Personalis over three years as certain milestones are met, all of which has been paid as of December 31, 2025. These payments are treated as contract assets and amortized into revenue over the life of the contract. Contract asset balances are offset by deferred revenue generated from receipt of warrants for Personalis common stock (see Note 15). As of December 31, 2025 and 2024 , there was $4.7 million and $3.0 million, respectively, of net contract assets related to this agreement recorded in Prepaid expenses and other current assets,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Deferred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the Company’s Data and applications product offerings and timing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delivery of the Company’s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$74.0 million, $69.5 million and $43.5 million during the years ended December 31, 2025, 2024 and 2023, respectively, that was included in the corresponding deferred revenue balance at the beginning of the periods.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of Revenue, Diagnostics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for Diagnostics consists of personnel lab expenses, including salaries, bonuses, employee benefits, amortization of intangible assets, cost of laboratory supplies and consumables, depreciation of laboratory equipment, shipping costs, third-party laboratory costs, and certain allocated overhead expenses. Costs associated with performing the Company’s tests are recorded as the tests are processed regardless of whether revenue was recognized with respect to that test.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of Revenue, Data and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for Data and applications includes data acquisition and royalty fees, and personnel costs related to our delivery of our data services and platform, and certain allocated overhead expenses. Costs associated with performing data services are recorded as incurred.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Technology 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pStyle w:val="TextBody"/>
        <w:bidi w:val="0"/>
        <w:spacing w:before="360" w:after="283"/>
        <w:jc w:val="left"/>
        <w:rPr>
          <w:rFonts w:ascii="Times New Roman" w:hAnsi="Times New Roman"/>
          <w:sz w:val="20"/>
        </w:rPr>
      </w:pPr>
      <w:r>
        <w:rPr>
          <w:rFonts w:ascii="Times New Roman" w:hAnsi="Times New Roman"/>
          <w:b/>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Research and development expenses include costs incurred to develop new assays and algorithms, and include salaries and benefits, amortization of intangible assets, inventory costs, overhead costs, validation costs, contract services and other related costs</w:t>
      </w:r>
      <w:r>
        <w:rPr>
          <w:rFonts w:ascii="Times New Roman" w:hAnsi="Times New Roman"/>
          <w:b/>
          <w:color w:val="000000"/>
          <w:sz w:val="20"/>
        </w:rPr>
        <w:t xml:space="preserve">. </w:t>
      </w:r>
      <w:r>
        <w:rPr>
          <w:rFonts w:ascii="Times New Roman" w:hAnsi="Times New Roman"/>
          <w:color w:val="000000"/>
          <w:sz w:val="20"/>
        </w:rPr>
        <w:t xml:space="preserve">Research and development costs are expensed as incurred. </w:t>
      </w:r>
    </w:p>
    <w:p>
      <w:pPr>
        <w:pStyle w:val="TextBody"/>
        <w:bidi w:val="0"/>
        <w:spacing w:before="360" w:after="283"/>
        <w:jc w:val="left"/>
        <w:rPr>
          <w:rFonts w:ascii="Times New Roman" w:hAnsi="Times New Roman"/>
          <w:sz w:val="20"/>
        </w:rPr>
      </w:pPr>
      <w:r>
        <w:rPr>
          <w:rFonts w:ascii="Times New Roman" w:hAnsi="Times New Roman"/>
          <w:b/>
          <w:color w:val="000000"/>
          <w:sz w:val="20"/>
        </w:rPr>
        <w:t>401(k)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2025, 2024 and 2023, the Company did not match any employee contributions. </w:t>
      </w:r>
    </w:p>
    <w:p>
      <w:pPr>
        <w:pStyle w:val="TextBody"/>
        <w:bidi w:val="0"/>
        <w:spacing w:before="360" w:after="283"/>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above, the Company established a valuation allowance against the Company’s net deferred tax assets due to uncertainty surrounding the Company’s ability to generate future taxable income to realize these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had tax effected federal and state net operating loss (“NOL”) carryforward of approximately $332.8 million and $69.6 million, respectively, which may be available to offset future taxable income. The NOLs will begin to expire in 2037.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had federal and state credit carry forwards of $11.6 million, which may be able to offset future tax expense. The credits will begin to expire in 2039. A full valuation allowance has been recorded against the NOL and credit carry forwards.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concluded that as of December 31, 2025 and 2024, there are no uncertain positions taken or expected to be taken that would require recognition of a liability in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routine audits by taxing jurisdictions. As of December 31, 2025, the Company was not under audit in any jurisdiction.</w:t>
      </w:r>
    </w:p>
    <w:p>
      <w:pPr>
        <w:pStyle w:val="TextBody"/>
        <w:bidi w:val="0"/>
        <w:spacing w:before="360" w:after="283"/>
        <w:jc w:val="left"/>
        <w:rPr>
          <w:rFonts w:ascii="Times New Roman" w:hAnsi="Times New Roman"/>
          <w:sz w:val="20"/>
        </w:rPr>
      </w:pPr>
      <w:r>
        <w:rPr>
          <w:rFonts w:ascii="Times New Roman" w:hAnsi="Times New Roman"/>
          <w:b/>
          <w:color w:val="000000"/>
          <w:sz w:val="20"/>
        </w:rPr>
        <w:t>Net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net loss per share attributable to common stockholders is presented in conformity with the two-class method required for participating securities. The Company considers all series of its redeemable convertible preferred stock to be participating securities. Prior to the IPO, under the two-class method, the net loss attributable to common stockholders was not allocated to the redeemable convertible preferred stock as the holders of its redeemable convertible preferred stock did not have a contractual obligation to share in the Company’s losses. Upon IPO, the Company’s redeemable convertible preferred stock converted to either Class A or Class B common stock and therefore will be included in allocation of net loss attributable to common stockholders as they will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 </w:t>
      </w:r>
    </w:p>
    <w:p>
      <w:pPr>
        <w:pStyle w:val="TextBody"/>
        <w:bidi w:val="0"/>
        <w:spacing w:before="360" w:after="283"/>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stock-based compensation for equity awards with only a service condition on the grant-date fair value on a straight-line basis over the remaining requisite service period for the award, which is generally the vesting period. The company recognizes stock-based compensation for equity awards with a market or performance condition using an accelerated attribution model over the requisite service period for each separately vesting portion of the award. For those awards with a market condition, the company utilizes a Monte Carlo simulation model to estimate the fair value of the restricted stock units. The Monte Carlo simulation model requires the input of estimates and assumptions, including, but not limited to, the expected stock price volatility, the life of the award and the risk-free interest rate. The probability of actual shares expected to be earned is considered in the grant date fair value. As a result, the expense is not adjusted to reflect the actual shares earned. For those awards with a performance condition, the Company recognizes stock-based compensation if it is probable that the performance condition will be satisfied and will reflect the number of awards that ultimately vest. At each reporting period, the Company reassesses the probability of achievement of the performance condition and any change in expense resulting from an adjustment to estimates is treated as a cumulative catch-up in the period of the adjustment. The Company recognizes forfeitures as they occur. See Note 11 for further information on stock-based compensation.</w:t>
      </w:r>
    </w:p>
    <w:p>
      <w:pPr>
        <w:pStyle w:val="TextBody"/>
        <w:bidi w:val="0"/>
        <w:spacing w:before="360" w:after="283"/>
        <w:jc w:val="left"/>
        <w:rPr>
          <w:rFonts w:ascii="Times New Roman" w:hAnsi="Times New Roman"/>
          <w:sz w:val="20"/>
        </w:rPr>
      </w:pPr>
      <w:r>
        <w:rPr>
          <w:rFonts w:ascii="Times New Roman" w:hAnsi="Times New Roman"/>
          <w:b/>
          <w:color w:val="000000"/>
          <w:sz w:val="20"/>
        </w:rPr>
        <w:t>Fair Value Measurements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under GAAP as the price that would be received to sell an asset or paid to transfer a liability in an orderly transaction between market participants at the measurement date. Fair value is a market-based measurement that is determined based on assumptions that market participants would use in pricing an asset or a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increase the comparability of fair value measures, the following hierarchy prioritizes the inputs in valuation methodologies used to measure fair value: </w:t>
      </w:r>
    </w:p>
    <w:p>
      <w:pPr>
        <w:pStyle w:val="TextBody"/>
        <w:bidi w:val="0"/>
        <w:spacing w:before="24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—Measurements that reflect quoted prices (unadjusted) for identical assets or liabilities in active markets. </w:t>
      </w:r>
    </w:p>
    <w:p>
      <w:pPr>
        <w:pStyle w:val="TextBody"/>
        <w:bidi w:val="0"/>
        <w:spacing w:before="24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—Measurements that include other inputs that are directly or indirectly observable in the marketplace. </w:t>
      </w:r>
    </w:p>
    <w:p>
      <w:pPr>
        <w:pStyle w:val="TextBody"/>
        <w:bidi w:val="0"/>
        <w:spacing w:before="24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—Measurements derived from valuation techniques in which one or more significant inputs or significant value drivers are unobservable.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 </w:t>
      </w:r>
    </w:p>
    <w:p>
      <w:pPr>
        <w:pStyle w:val="TextBody"/>
        <w:bidi w:val="0"/>
        <w:spacing w:before="360" w:after="283"/>
        <w:jc w:val="left"/>
        <w:rPr>
          <w:rFonts w:ascii="Times New Roman" w:hAnsi="Times New Roman"/>
          <w:sz w:val="20"/>
        </w:rPr>
      </w:pPr>
      <w:r>
        <w:rPr>
          <w:rFonts w:ascii="Times New Roman" w:hAnsi="Times New Roman"/>
          <w:b/>
          <w:color w:val="000000"/>
          <w:sz w:val="20"/>
        </w:rPr>
        <w:t>Classification of Convertible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Series A, B, B-1, B-2, C, D, E, F, G, G-2, G-3, G-4, and G-5 convertible preferred stock were classified outside of stockholders’ equity (deficit) because the holders of such shares have liquidation rights in the event of a deemed liquidation that, in certain situations, is not solely within the control of the Company. </w:t>
      </w:r>
    </w:p>
    <w:p>
      <w:pPr>
        <w:pStyle w:val="TextBody"/>
        <w:bidi w:val="0"/>
        <w:spacing w:before="360" w:after="283"/>
        <w:jc w:val="left"/>
        <w:rPr>
          <w:rFonts w:ascii="Times New Roman" w:hAnsi="Times New Roman"/>
          <w:sz w:val="20"/>
        </w:rPr>
      </w:pPr>
      <w:r>
        <w:rPr>
          <w:rFonts w:ascii="Times New Roman" w:hAnsi="Times New Roman"/>
          <w:b/>
          <w:color w:val="000000"/>
          <w:sz w:val="20"/>
        </w:rPr>
        <w:t>Foreign 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 to Income Tax Disclosures.” ASU 2023-09 requires additional disclosures aimed at enhancing the transparency and decision usefulness of income tax disclosures. The Company adopted the year-end disclosure requirements as of December 31, 2025 on a prospective basis. The adoption of the standard did not have a material impact on the Company's financial statements and resulted only in expanded income tax disclosure requirements.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 Not Yet Adopted</w:t>
      </w:r>
    </w:p>
    <w:p>
      <w:pPr>
        <w:pStyle w:val="TextBody"/>
        <w:bidi w:val="0"/>
        <w:spacing w:before="120" w:after="283"/>
        <w:jc w:val="left"/>
        <w:rPr>
          <w:rFonts w:ascii="Times New Roman" w:hAnsi="Times New Roman"/>
          <w:color w:val="222222"/>
          <w:sz w:val="20"/>
        </w:rPr>
      </w:pPr>
      <w:r>
        <w:rPr>
          <w:rFonts w:ascii="Times New Roman" w:hAnsi="Times New Roman"/>
          <w:color w:val="222222"/>
          <w:sz w:val="20"/>
        </w:rPr>
        <w:t xml:space="preserve">In November 2024, the FASB issued ASU 2024-03, “Income Statement—Reporting Comprehensive Income (Topic 220): Disaggregation of Income Statement Expenses.” ASU 2024-03 requires additional disclosures aimed at enhancing the transparency and decision usefulness of income statement expenses. This ASU is effective for fiscal years beginning after December 15, 2026 as well as interim periods beginning after December 15, 2027 and requires retrospective application to all prior periods presented in the financial statements. The Company is currently evaluating the impact of the guidance on the related disclosures. </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 xml:space="preserve">In November 2024, the FASB issued ASU 2024-04, “Debt with Conversion and Other Options (Subtopic 470-20): Induced Conversions of Convertible Debt Instruments”, which clarifies the requirements for determining whether certain settlements of convertible debt instruments should be accounted for as induced conversions.This ASU is effective for fiscal periods beginning after the year ended December 15, 2025, and for interim periods within those fiscal periods and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applied on a prospective or retrospective basis. The Company is currently evaluating the impact of this standard on the consolidated financial statements.</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 xml:space="preserve">In July 2025, the FASB issued ASU No. 2025-05, "Financial Instruments-Credit Losses (Topic 326): Measurement of Credit Losses for Accounts Receivable and Contract Assets". ASU 2025-05 provides a practical expedient that in developing reasonable and supportable forecasts as part of estimating expected credit losses, all entities may assume that current conditions as of the balance sheet date do not change for the remaining life of the asset. This ASU is effective for fiscal periods beginning after the year ended December 15, 2025, and for interim periods within those fiscal periods, with early adoption permitted and should be applied prospectively. The Company is currently evaluating the impact of the guidance on the consolidated financial statements and related disclosures. </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 xml:space="preserve">In September 2025, the FASB issued ASU 2025-06, “Intangibles-Goodwill and Other-Internal-Use Software (Subtopic 350-40): Targeted Improvements to the Accounting for Internal-Use Software.” ASU-2025-06 revises the recognition guidance for internal-use software by eliminating the previous model based on software development stages and introducing a principles-based approach. Under the new guidance, capitalization begins when management has authorized and committed to funding the project, and it is probable that the software will be completed and used for its intended purpose. This ASU is effective for interim periods and fiscal years beginning after December 15, 2027. This ASU permits an entity to apply the new guidance using either a prospective transition approach, a modified transition approach that is based on the status of the project and whether software costs were capitalized before the date of adoption, or a retrospective transition approach. The Company is currently evaluating the impact of the guidance on the related disclosures. </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In September 2025, the FASB issued ASU No. 2025-07, Derivatives and Hedging (Topic 815) and Revenue from Contracts with Customers (Topic 606), which amends the existing guidance to (a) reduce the cost and complexity of evaluating whether contracts with features based on the operations or activities of one of the parties to the contract are derivatives, (b) better portray the economics of those contracts in the financial statements, and (c) reduce diversity in practice resulting from the broad application of the current guidance and changing business environment. The amendments also are expected to reduce diversity in practice by clarifying the applicability of Topic 606, Revenue from Contracts with Customers, to share-based noncash consideration from a customer for the transfer of goods or services. This ASU is effective for fiscal years beginning after December 15, 2026. The Company is currently evaluating the impact of the guidance on the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COMBINATIONS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Paige.AI,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22, 2025, (the "Paige Closing Date"), the Company completed its acquisition (the "Paige Acquisition") of Paige.AI, Inc. ("Paige"), a Delaware corporation, pursuant to an Agreement and Plan of Merger. Paige is an AI company specializing in digital pathology. The Paige Acquisition is expected to allow the Company to grow its dataset and establish a strong footprint in digital pathology with an industry leading technology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acquired all of the issued and outstanding shares of Paige. The acquisition resulted in goodwill of $141.1 million. No goodwill is expected to be deductible for tax purposes. The aggregate acquisition date fair value of consideration for the Paige Acquisition totaled $101.5 million. Consideration consisted of $3.0 million of cash and the issuance of an aggregate of 1,256,977 shares of the Company's Class A common stock (the "Paige Stock Consideration"), which was valued at $80.52 per share, the closing price of the Company's Class A common stock on the Paige Closing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portion of the Paige Stock Consideration was paid to employees as consideration for transaction bonuses. Paige will pay approximately $3.2 million to fulfill employee tax obligations related to the issuance, of which $3.0 million has been paid as of December 31, 2025. The equivalent was withheld from those employees in the Company's Class A common stock and included in treasury stock. In accordance with the terms of the agreement, $6.9 million in equity consideration was held back and is payable within five business days of August 22, 2026. The net working capital adjustment resulted in a decrease to the acquisition price of $1.2 million which was recorded to goodwill. The $6.9 million holdback liability is recognized within Other long-term liabilities. The holdback liability is remeasured at fair value in each period following the closing with changes in fair value recorded within Selling, general and administrative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incurred $0.9 million of transaction costs related to the Paige Acquisition during the year ended December 31, 2025, respectively, all of which was recorded within Selling, general and administrative expense in the consolidated statement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allocation of the aggregate purchase price of the Paige Acquisition (in thousands):</w:t>
      </w:r>
    </w:p>
    <w:p>
      <w:pPr>
        <w:pStyle w:val="TextBody"/>
        <w:bidi w:val="0"/>
        <w:jc w:val="left"/>
        <w:rPr/>
      </w:pPr>
      <w:r>
        <w:rPr/>
        <w:t> </w:t>
      </w:r>
    </w:p>
    <w:tbl>
      <w:tblPr>
        <w:tblW w:w="5485" w:type="dxa"/>
        <w:jc w:val="left"/>
        <w:tblInd w:w="0" w:type="dxa"/>
        <w:tblLayout w:type="fixed"/>
        <w:tblCellMar>
          <w:top w:w="28" w:type="dxa"/>
          <w:left w:w="28" w:type="dxa"/>
          <w:bottom w:w="28" w:type="dxa"/>
          <w:right w:w="28" w:type="dxa"/>
        </w:tblCellMar>
      </w:tblPr>
      <w:tblGrid>
        <w:gridCol w:w="3956"/>
        <w:gridCol w:w="146"/>
        <w:gridCol w:w="211"/>
        <w:gridCol w:w="781"/>
        <w:gridCol w:w="391"/>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 and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acquisition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excess of purchase consideration over the fair value of the net assets acquired was recorded as goodwill, which is primarily attributed to the assembled workforce of the acquired company and expected growth in the Company's dataset. The Company also assumed $39.5 million of remaining purchase commitments under Paige's Microsoft Azure cloud services agreement in excess of forecasted usage, which is recorded in Other long-term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unaudited pro forma information shows the results of the Company's operations as though the acquisition had occurred as of the beginning of the comparable period, January 1, 2024 (in thousands):</w:t>
      </w:r>
    </w:p>
    <w:p>
      <w:pPr>
        <w:pStyle w:val="TextBody"/>
        <w:bidi w:val="0"/>
        <w:jc w:val="left"/>
        <w:rPr/>
      </w:pPr>
      <w:r>
        <w:rPr/>
        <w:t> </w:t>
      </w:r>
    </w:p>
    <w:tbl>
      <w:tblPr>
        <w:tblW w:w="3779" w:type="dxa"/>
        <w:jc w:val="left"/>
        <w:tblInd w:w="0" w:type="dxa"/>
        <w:tblLayout w:type="fixed"/>
        <w:tblCellMar>
          <w:top w:w="28" w:type="dxa"/>
          <w:left w:w="28" w:type="dxa"/>
          <w:bottom w:w="28" w:type="dxa"/>
          <w:right w:w="28" w:type="dxa"/>
        </w:tblCellMar>
      </w:tblPr>
      <w:tblGrid>
        <w:gridCol w:w="916"/>
        <w:gridCol w:w="146"/>
        <w:gridCol w:w="211"/>
        <w:gridCol w:w="931"/>
        <w:gridCol w:w="166"/>
        <w:gridCol w:w="146"/>
        <w:gridCol w:w="211"/>
        <w:gridCol w:w="841"/>
        <w:gridCol w:w="21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 forma amounts have been calculated after applying the Company's accounting policies and adjusting the results of Paige to reflect acquisition-related transaction costs and the additional depreciation that would have been charged assuming the fair value adjustments to property and equipment, net had been applied from January 1, 2024. The unaudited pro forma financial information for the years ended December 31, 2025 and 2024 combines the Company's financial results and the historical results of Paige for the years ended December 31, 2025 and 2024.The pro forma results have been prepared for comparative purposes only and are not necessarily indicative of the actual results of operations had the acquisition taken place as of the beginning of the period presented, or the results that may occur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2025, Paige contributed $4.6 million of net revenue within Data and applications revenue and $2.2 million of net loss to the consolidated Tempus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ASC 805, Business Combinations, the Company accounted for the Paige Acquisition as a business combination under the acquisition method of accounting. The valuation of assets acquired and liabilities assumed has not been finalized as of December 31, 2025. While all amounts remain subject to adjustments, the areas subject to the most significant potential adjustments are the assumed remaining purchase commitments. As a result, the Company recorded preliminary estimates for the fair value of assets acquired and liabilities assumed as of the Paige Closing Date.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Deep 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11, 2025, the Company acquired all of the issued and outstanding interests of Deep 6 AI, Inc. ("Deep 6"), a Delaware corporation (the "Deep 6 Acquisition"), that enables healthcare organizations to de-risk clinical trials, accelerate recruitment, and generate real-world evidence with speed and precision. Deep 6's AI-powered software matches patients to clinical trials by mining real-time structured and unstructured electronic medical record data across a broad ecosystem.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resulted in goodwill of $21.0 million. The aggregate acquisition date fair value of consideration for the Deep 6 Acquisition totaled $17.4 million. Consideration consisted of $4.3 million of cash and $13.1 million of the Company's Class A common stock. In accordance with the terms of the agreement, $0.8 million in equity consideration was held back and is payable within five business days of March 11, 2026. The net working capital adjustment resulted in a decrease to the acquisition price of $0.2 million which was recorded to goodwill. The $0.8 million holdback liability is recognized within Other long-term liabilities. The holdback liability is remeasured at fair value in each period following the closing within selling, general and administrative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Ambry Genetics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3, 2025 (the "Closing Date"), the Company completed its acquisition (the "Ambry Acquisition") of Ambry Genetics Corporation, a Delaware corporation ("Ambry"), pursuant to a Securities Purchase Agreement (the "Purchase Agreement") entered into on November 4, 2024 with Realm, IDX, Inc., a Delaware corporation (the "Seller") and the Seller's ultimate parent, Konica Minolta, Inc., a Japanese corporation, as guarantor.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acquired all of the issued and outstanding shares of capital stock of Ambry. Consideration for the acquisition consisted of $375.0 million in cash, subject to adjustment for cash, unpaid indebtedness, unpaid transaction expenses and net working capital of Ambry, plus the issuance of an aggregate of 4,843,136 shares of the Company's Class A common stock (the "Stock Consideration"). Stock Consideration was valued at $61.54 per share, which was the closing price of the Company's Class A common stock on the Closing Date. Pursuant to the terms of the Purchase Agreement, 2,152,505 shares issued as Stock Consideration are subject to a lock-up for a period of one year following the Closing Date. The Company was an Ambry customer prior to the acquisition and, pursuant to that preexisting relationship, owed $3.8 million to Ambry as of the Closing Date. This balance was effectively settled upon the Ambry Acquisition and was treated as a reduction to consideration transferred. The net working capital adjustment was finalized in September 2025, resulting in a decrease to the acquisition price of $3.0 million which was recorded to 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Ambry is a leader in hereditary cancer screening. The Ambry Acquisition provides the Company with expanded testing capabilities for inherited cancer risk. In addition, the Ambry Acquisition complements the Company's strategy of using data to advance clinical and scientific innovation. Ambry's extensive product offerings will allow the Company to expand into new disease categories, including pediatrics, rare disease, immunology, women's reproductive health, and cardiology.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incurred $7.4 million of transaction costs related to the Ambry Acquisition, of which $4.7 million were recorded within Selling, general and administrative expense in the consolidated statement of operations during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allocation of the aggregate purchase price of the Ambry Acquisition (in thousands):</w:t>
      </w:r>
    </w:p>
    <w:p>
      <w:pPr>
        <w:pStyle w:val="TextBody"/>
        <w:bidi w:val="0"/>
        <w:jc w:val="left"/>
        <w:rPr/>
      </w:pPr>
      <w:r>
        <w:rPr/>
        <w:t> </w:t>
      </w:r>
    </w:p>
    <w:tbl>
      <w:tblPr>
        <w:tblW w:w="5485" w:type="dxa"/>
        <w:jc w:val="left"/>
        <w:tblInd w:w="0" w:type="dxa"/>
        <w:tblLayout w:type="fixed"/>
        <w:tblCellMar>
          <w:top w:w="28" w:type="dxa"/>
          <w:left w:w="28" w:type="dxa"/>
          <w:bottom w:w="28" w:type="dxa"/>
          <w:right w:w="28" w:type="dxa"/>
        </w:tblCellMar>
      </w:tblPr>
      <w:tblGrid>
        <w:gridCol w:w="3956"/>
        <w:gridCol w:w="146"/>
        <w:gridCol w:w="211"/>
        <w:gridCol w:w="781"/>
        <w:gridCol w:w="391"/>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 and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acquisition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excess of purchase consideration over the fair value of the net assets acquired was recorded as goodwill, which is primarily attributed to the assembled workforce of the acquired company and expected growth from the horizontal integration of Ambry's genomics testing. $0.6 million of goodwill is expected to be deductible for tax purposes. The identifiable intangible assets acquired consisted of customer relationships, developed technology - biotech, developed technology - software, and trade names.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customer relationships was estimated using the multi period excess earnings method, which isolates the net earnings attributable to the asset being measured. Significant assumptions used in the valuation of customer relationships included forecasted revenue and expenses, customer attrition, contributory asset charges and discount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developed technology - biotech, developed technology - software, and trade names were estimated using the relief from royalty method, which considers the market-based royalty a company would pay to enjoy the benefits of the trade name or technology in lieu of actual ownership of the trade name or technology. Significant assumptions used in the valuation of these assets included forecasted revenue, royalty rate, and discount rate. In addition, the valuation of developed technology assets included assumed obsolescence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the valuation of identifiable intangible assets acquired required various estimates and assumptions. The Company's management believes the fair values recognized for the assets acquired and liabilities assumed are based on reasonable estimates and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Estimated useful lives of the identifiable intangible assets acquired are as follows:</w:t>
      </w:r>
    </w:p>
    <w:p>
      <w:pPr>
        <w:pStyle w:val="TextBody"/>
        <w:bidi w:val="0"/>
        <w:jc w:val="left"/>
        <w:rPr/>
      </w:pPr>
      <w:r>
        <w:rPr/>
        <w:t> </w:t>
      </w:r>
    </w:p>
    <w:tbl>
      <w:tblPr>
        <w:tblW w:w="4018" w:type="dxa"/>
        <w:jc w:val="left"/>
        <w:tblInd w:w="0" w:type="dxa"/>
        <w:tblLayout w:type="fixed"/>
        <w:tblCellMar>
          <w:top w:w="28" w:type="dxa"/>
          <w:left w:w="28" w:type="dxa"/>
          <w:bottom w:w="28" w:type="dxa"/>
          <w:right w:w="28" w:type="dxa"/>
        </w:tblCellMar>
      </w:tblPr>
      <w:tblGrid>
        <w:gridCol w:w="2806"/>
        <w:gridCol w:w="146"/>
        <w:gridCol w:w="106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unaudited pro forma information shows the results of the Company's operations as though the acquisition had occurred as of the beginning of the comparable period, January 1, 2024 (in thousands):</w:t>
      </w:r>
    </w:p>
    <w:p>
      <w:pPr>
        <w:pStyle w:val="TextBody"/>
        <w:bidi w:val="0"/>
        <w:jc w:val="left"/>
        <w:rPr/>
      </w:pPr>
      <w:r>
        <w:rPr/>
        <w:t> </w:t>
      </w:r>
    </w:p>
    <w:tbl>
      <w:tblPr>
        <w:tblW w:w="3779" w:type="dxa"/>
        <w:jc w:val="left"/>
        <w:tblInd w:w="0" w:type="dxa"/>
        <w:tblLayout w:type="fixed"/>
        <w:tblCellMar>
          <w:top w:w="28" w:type="dxa"/>
          <w:left w:w="28" w:type="dxa"/>
          <w:bottom w:w="28" w:type="dxa"/>
          <w:right w:w="28" w:type="dxa"/>
        </w:tblCellMar>
      </w:tblPr>
      <w:tblGrid>
        <w:gridCol w:w="916"/>
        <w:gridCol w:w="146"/>
        <w:gridCol w:w="211"/>
        <w:gridCol w:w="931"/>
        <w:gridCol w:w="166"/>
        <w:gridCol w:w="146"/>
        <w:gridCol w:w="211"/>
        <w:gridCol w:w="841"/>
        <w:gridCol w:w="21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 forma amounts have been calculated after applying the Company's accounting policies and adjusting the results of Ambry to reflect the additional depreciation and amortization that would have been charged assuming the fair value adjustments to property and equipment, net and intangible assets had been applied from January 1, 2024. The unaudited pro forma financial information for the year ended December 31, 2024 combines the Company's financial results and the historical results of Ambry for the years ended December 31, 2025 and 2024. Included in the adjustment is a $52.7 million tax benefit for the year ended December 31, 2025 from the release of a portion of the valuation allowance attributable to estimated deferred tax liabilities as of the opening balance sheet. The pro forma results have been prepared for comparative purposes only and are not necessarily indicative of the actual results of operations had the acquisition taken place as of the beginning of the period presented, or the results that may occur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2025, Ambry contributed $362.7 million in net revenue within Diagnostics revenue and $1.8 million of net income to the consolidated Tempus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ASC 805, Business Combinations, the Company accounted for the Ambry Acquisition as a business combination under the acquisition method of accounting. During the year ended December 31, 2025, the Company recorded a measurement period adjustment to increase Deferred tax liabilities on the opening balance sheet by $6.4 million. </w:t>
      </w:r>
    </w:p>
    <w:p>
      <w:pPr>
        <w:pStyle w:val="TextBody"/>
        <w:bidi w:val="0"/>
        <w:spacing w:before="360" w:after="283"/>
        <w:jc w:val="left"/>
        <w:rPr>
          <w:rFonts w:ascii="Times New Roman" w:hAnsi="Times New Roman"/>
          <w:sz w:val="20"/>
        </w:rPr>
      </w:pPr>
      <w:r>
        <w:rPr>
          <w:rFonts w:ascii="Times New Roman" w:hAnsi="Times New Roman"/>
          <w:b/>
          <w:color w:val="000000"/>
          <w:sz w:val="20"/>
        </w:rPr>
        <w:t>SEngine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resulted in goodwill of $9.6 million. The aggregate acquisition date fair value of consideration for the SEngine acquisition totaled $9.9 million. Consideration consisted of $2.8 million of cash and $6.3 million of non-voting common stock. The transaction also includes contingent consideration of up to 35,000 additional shares of non-voting common stock if a liquidity event is completed prior to December 31, 2027. The contingent consideration liability is remeasured at fair value in each period following the closing within selling, general and administrative expense. In accordance with the terms of the agreement, $1.4 million in equity was held back and is payable on October 3, 2024, which is net of a net working capital adjustment less than $0.1 million. The Company issued 429 shares of non-voting common stock to the selling corporation in February 2024 related to the net working capital adjustment. In December 2024, the Company issued 19,620 shares of Class A common stock as payment of the contingent consideration. As of December 2024, no other amounts are due under the contingent consideration or holdback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Mpirik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 non-voting common stock, $4.7 million of cash, and contingent consideration payable in cash with an acquisition date fair value of $0.4 million. In accordance with the terms of the agreement, $0.8 million in cash consideration and $0.3 million in equity consideration was held back and paid on March 11, 2024. In accordance with the equity consideration held back, the Company issued 8,724 shares of non-voting common stock to Mpirik shareholders in March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terms of the agreement, the securityholders of the acquired business were entitled to receive contingent consideration from the Company payable in an aggregate value of $1.0 million in cash, contingent upon the acquired business reaching a revenue target of $1.5 million for the twelve-month period ended December 31, 2023. The contingent consideration had an acquisition fair value date of $0.4 million. The contingent consideration was remeasured at fair value in each period following the closing within selling, general and administrative expense. Mpirik did not achieve the revenue target for the twelve-month period ended December 31, 2023. As such, the contingent consideration liability was written down to $0.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sz w:val="20"/>
        </w:rPr>
      </w:pPr>
      <w:r>
        <w:rPr>
          <w:rFonts w:ascii="Times New Roman" w:hAnsi="Times New Roman"/>
          <w:b/>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summarizes property and equipment, net as of December 31, 2025 and 2024 (in thousands): </w:t>
      </w:r>
    </w:p>
    <w:p>
      <w:pPr>
        <w:pStyle w:val="TextBody"/>
        <w:bidi w:val="0"/>
        <w:jc w:val="left"/>
        <w:rPr/>
      </w:pPr>
      <w:r>
        <w:rPr/>
        <w:t> </w:t>
      </w:r>
    </w:p>
    <w:tbl>
      <w:tblPr>
        <w:tblW w:w="7130" w:type="dxa"/>
        <w:jc w:val="left"/>
        <w:tblInd w:w="0" w:type="dxa"/>
        <w:tblLayout w:type="fixed"/>
        <w:tblCellMar>
          <w:top w:w="28" w:type="dxa"/>
          <w:left w:w="28" w:type="dxa"/>
          <w:bottom w:w="28" w:type="dxa"/>
          <w:right w:w="28" w:type="dxa"/>
        </w:tblCellMar>
      </w:tblPr>
      <w:tblGrid>
        <w:gridCol w:w="3261"/>
        <w:gridCol w:w="146"/>
        <w:gridCol w:w="301"/>
        <w:gridCol w:w="1199"/>
        <w:gridCol w:w="166"/>
        <w:gridCol w:w="146"/>
        <w:gridCol w:w="301"/>
        <w:gridCol w:w="1199"/>
        <w:gridCol w:w="41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on property and equipment is classified as follows in the accompanying consolidated statements of operations for the years ended December 31, 2025, 2024 and 2023 (in thousands): </w:t>
      </w:r>
    </w:p>
    <w:p>
      <w:pPr>
        <w:pStyle w:val="TextBody"/>
        <w:bidi w:val="0"/>
        <w:jc w:val="left"/>
        <w:rPr/>
      </w:pPr>
      <w:r>
        <w:rPr/>
        <w:t> </w:t>
      </w:r>
    </w:p>
    <w:tbl>
      <w:tblPr>
        <w:tblW w:w="7188"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11"/>
        <w:gridCol w:w="676"/>
        <w:gridCol w:w="146"/>
        <w:gridCol w:w="146"/>
        <w:gridCol w:w="211"/>
        <w:gridCol w:w="676"/>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as of December 31, 2025 and 2024, consist of the following (in thousands): </w:t>
      </w:r>
    </w:p>
    <w:p>
      <w:pPr>
        <w:pStyle w:val="TextBody"/>
        <w:bidi w:val="0"/>
        <w:jc w:val="left"/>
        <w:rPr/>
      </w:pPr>
      <w:r>
        <w:rPr/>
        <w:t> </w:t>
      </w:r>
    </w:p>
    <w:tbl>
      <w:tblPr>
        <w:tblW w:w="9365" w:type="dxa"/>
        <w:jc w:val="left"/>
        <w:tblInd w:w="0" w:type="dxa"/>
        <w:tblLayout w:type="fixed"/>
        <w:tblCellMar>
          <w:top w:w="28" w:type="dxa"/>
          <w:left w:w="28" w:type="dxa"/>
          <w:bottom w:w="28" w:type="dxa"/>
          <w:right w:w="28" w:type="dxa"/>
        </w:tblCellMar>
      </w:tblPr>
      <w:tblGrid>
        <w:gridCol w:w="5536"/>
        <w:gridCol w:w="146"/>
        <w:gridCol w:w="319"/>
        <w:gridCol w:w="1181"/>
        <w:gridCol w:w="146"/>
        <w:gridCol w:w="146"/>
        <w:gridCol w:w="319"/>
        <w:gridCol w:w="1181"/>
        <w:gridCol w:w="39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cloud storage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GOODWILL AND INTANGIBLES </w:t>
      </w:r>
    </w:p>
    <w:p>
      <w:pPr>
        <w:pStyle w:val="TextBody"/>
        <w:bidi w:val="0"/>
        <w:spacing w:before="120" w:after="283"/>
        <w:jc w:val="left"/>
        <w:rPr>
          <w:rFonts w:ascii="Times New Roman" w:hAnsi="Times New Roman"/>
          <w:sz w:val="20"/>
        </w:rPr>
      </w:pPr>
      <w:r>
        <w:rPr>
          <w:rFonts w:ascii="Times New Roman" w:hAnsi="Times New Roman"/>
          <w:color w:val="000000"/>
          <w:sz w:val="20"/>
        </w:rPr>
        <w:t>Goodwill represents the excess of the purchase price in a business combination over the fair value of net tangible and intangible assets acquired. As disclosed in Note 2, goodwill is tested for impairment at least annually as of October 1</w:t>
      </w:r>
      <w:r>
        <w:rPr>
          <w:rFonts w:ascii="Times New Roman" w:hAnsi="Times New Roman"/>
          <w:color w:val="000000"/>
          <w:sz w:val="13"/>
        </w:rPr>
        <w:t>st</w:t>
      </w:r>
      <w:r>
        <w:rPr>
          <w:rFonts w:ascii="Times New Roman" w:hAnsi="Times New Roman"/>
          <w:color w:val="000000"/>
          <w:sz w:val="20"/>
        </w:rPr>
        <w:t xml:space="preserve">. The changes in the carrying amount of goodwill for the years ended December 31, 2025 and 2024 were as follows (in thousands): </w:t>
      </w:r>
    </w:p>
    <w:p>
      <w:pPr>
        <w:pStyle w:val="TextBody"/>
        <w:bidi w:val="0"/>
        <w:jc w:val="left"/>
        <w:rPr/>
      </w:pPr>
      <w:r>
        <w:rPr/>
        <w:t> </w:t>
      </w:r>
    </w:p>
    <w:tbl>
      <w:tblPr>
        <w:tblW w:w="4969" w:type="dxa"/>
        <w:jc w:val="left"/>
        <w:tblInd w:w="0" w:type="dxa"/>
        <w:tblLayout w:type="fixed"/>
        <w:tblCellMar>
          <w:top w:w="28" w:type="dxa"/>
          <w:left w:w="28" w:type="dxa"/>
          <w:bottom w:w="28" w:type="dxa"/>
          <w:right w:w="28" w:type="dxa"/>
        </w:tblCellMar>
      </w:tblPr>
      <w:tblGrid>
        <w:gridCol w:w="3686"/>
        <w:gridCol w:w="211"/>
        <w:gridCol w:w="781"/>
        <w:gridCol w:w="291"/>
      </w:tblGrid>
      <w:tr>
        <w:trPr/>
        <w:tc>
          <w:tcPr>
            <w:tcW w:w="3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73,354</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rate adjustment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 related to business combinations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396,731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rate adjustment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470,211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goodwill impairment for the years ended December 31, 2025, 2024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are initially recorded at their acquisition cost, or fair value if acquired as part of a business combination and amortized over their estimated useful lives. Intangible assets consist of a website domain, customer relationships, trade names, capitalized software and developed technology acquired as part of a business combination, and licensed data acquired by entering into research collaboration agreements. In each license arrangement, the other party provides the Company with specified data, which is used for research and development purposes and may also be licensed to third parties. The asset represents the Company’s right to use these datasets. The Company also recognizes a liability for the associated minimum payments that are presented within Accrued data licensing fees on the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2023, the Company amended a data licensing agreement, which reduced the future data license payments the Company owes in exchange for waiving exclusivity rights on the licensed data. The Company remeasured the related licensed data intangible asset to fair value, which resulted in an impairment of $7.4 million recorded in Research and development during the year ended December 31, 2023. A $7.9 million gain resulting from the related reduction of future data license payments was also recorded in Research and development during the year ended December 31, 2023. There were no impairment charges recognized related to intangible assets during the years ended December 31,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intangible assets as of December 31, 2025 and 2024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6"/>
        <w:gridCol w:w="146"/>
        <w:gridCol w:w="211"/>
        <w:gridCol w:w="781"/>
        <w:gridCol w:w="146"/>
        <w:gridCol w:w="146"/>
        <w:gridCol w:w="305"/>
        <w:gridCol w:w="1136"/>
        <w:gridCol w:w="146"/>
        <w:gridCol w:w="146"/>
        <w:gridCol w:w="211"/>
        <w:gridCol w:w="781"/>
        <w:gridCol w:w="146"/>
        <w:gridCol w:w="146"/>
        <w:gridCol w:w="211"/>
        <w:gridCol w:w="676"/>
        <w:gridCol w:w="146"/>
        <w:gridCol w:w="146"/>
        <w:gridCol w:w="342"/>
        <w:gridCol w:w="1098"/>
        <w:gridCol w:w="146"/>
        <w:gridCol w:w="146"/>
        <w:gridCol w:w="211"/>
        <w:gridCol w:w="676"/>
        <w:gridCol w:w="194"/>
      </w:tblGrid>
      <w:tr>
        <w:trPr/>
        <w:tc>
          <w:tcPr>
            <w:tcW w:w="1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Licensed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Website domain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of intangible assets is recognized using the straight-line method over their estimated useful lives, which range from three to seven years. Amortization expense was $70.3 million, $10.9 million and $11.9 million for the years ended December 31, 2025, 2024 and 2023, respectively, and is recorded in cost of revenues, research and development, or selling, general and administrative expense, depending on use of the asset. The weighted average life of the Company’s intangibles is approximately six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estimated future amortization expense related to intangible assets is as follows (in thousands):</w:t>
      </w:r>
    </w:p>
    <w:p>
      <w:pPr>
        <w:pStyle w:val="TextBody"/>
        <w:bidi w:val="0"/>
        <w:jc w:val="left"/>
        <w:rPr/>
      </w:pPr>
      <w:r>
        <w:rPr/>
        <w:t> </w:t>
      </w:r>
    </w:p>
    <w:tbl>
      <w:tblPr>
        <w:tblW w:w="2129" w:type="dxa"/>
        <w:jc w:val="left"/>
        <w:tblInd w:w="0" w:type="dxa"/>
        <w:tblLayout w:type="fixed"/>
        <w:tblCellMar>
          <w:top w:w="28" w:type="dxa"/>
          <w:left w:w="28" w:type="dxa"/>
          <w:bottom w:w="28" w:type="dxa"/>
          <w:right w:w="28" w:type="dxa"/>
        </w:tblCellMar>
      </w:tblPr>
      <w:tblGrid>
        <w:gridCol w:w="9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JOINT VENTURE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SB Tempus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18, 2024, the Company entered into a Joint Venture Agreement (the "Joint Venture Agreement") with SoftBank Group Corporation ("SoftBank") to form SB Tempus Corp. (the "Joint Venture" or "SB Tempus"). The Joint Venture closed on July 18, 2024, at which time the Company and SoftBank each contributed ¥15 billion ($95.2 million). Each party received 50% of SB Tempus's outstanding capital stock and board seats. SB Tempus will engage in certain business activities in Japan similar to those conducted by the Company in the United States, including performing clinical sequencing, organizing patient data, and building a real world data business in Japan.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SB Tempus is considered a VIE as the Company does not have sufficient equity at risk and is entitled to receive residual returns of SB Tempus through its equity stake. Decisions that significantly impact the economic performance of SB Tempus require the consent of both the Company and SoftBank. Therefore, the Company concluded that neither party is deemed to have predominant control over SB Tempus, and the Company is not considered to be the primary beneficiary.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maximum exposure to loss from SB Tempus is equal to the carrying value of the Company's investment. As of December 31, 2025, the carrying value of the investment in SB Tempus was $86.6 million. The Company's share of losses from SB Tempus are recorded in Losses from equity method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entering into the Joint Venture Agreement, the Company entered into a Data License Agreement (the "Data License Agreement"), under which the Company granted SB Tempus a limited, non-exclusive, transferable license with a limited right to sublicense certain de-identified data for certain specified uses solely in Japan. Under the Data License Agreement, SB Tempus paid the Company ¥7.5 billion ($47.9 million) in exchange for the license to an initial records batch, which is recorded in deferred revenue and will be recognized into Data and applications revenue over the term of the license subscription which ends on March 31, 2026. For the years ended December 31, 2025, 2024 and 2023, the Company recognized $25.0 million, $16.6 million and $0, respectively, in Data and applications revenue related to the Data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on July 18, 2024, the Company and SB Tempus entered into an Intellectual Property Agreement (the "IP License Agreement") under which SB Tempus paid the Company an additional ¥7.5 billion ($47.9 million) in exchange for a non-exclusive license to certain of the Company's technologies for certain specified uses solely in Japan. The payment is recorded in deferred other income and will be amortized into Other income, net over three years, based on the estimated time for SB Tempus' systems and technologies to diverge from the Company's. For the years ended December 31, 2025, 2024 and 2023, the Company recognized $16.0 million, $8.0 million and $0, respectively, related to the IP License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 ended December 31, 2025, 2024 and 2023, the Company recognized data licensing and cloud computing expenses of $50.3 million, $40.6 million and $33.7 million, respectively, related to non-cancelable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future payments under these contractual obligations were as follows (in thousands): </w:t>
      </w:r>
    </w:p>
    <w:p>
      <w:pPr>
        <w:pStyle w:val="TextBody"/>
        <w:bidi w:val="0"/>
        <w:jc w:val="left"/>
        <w:rPr/>
      </w:pPr>
      <w:r>
        <w:rPr/>
        <w:t> </w:t>
      </w:r>
    </w:p>
    <w:tbl>
      <w:tblPr>
        <w:tblW w:w="5279" w:type="dxa"/>
        <w:jc w:val="left"/>
        <w:tblInd w:w="0" w:type="dxa"/>
        <w:tblLayout w:type="fixed"/>
        <w:tblCellMar>
          <w:top w:w="28" w:type="dxa"/>
          <w:left w:w="28" w:type="dxa"/>
          <w:bottom w:w="28" w:type="dxa"/>
          <w:right w:w="28" w:type="dxa"/>
        </w:tblCellMar>
      </w:tblPr>
      <w:tblGrid>
        <w:gridCol w:w="4096"/>
        <w:gridCol w:w="211"/>
        <w:gridCol w:w="781"/>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obligations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 of purchase obligations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purchase obligations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sz w:val="20"/>
        </w:rPr>
      </w:pPr>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in the normal course of business, the Company may be subject to various legal matters such as threatened or pending claims or proceedings. There were no material such matters as of and for the years ended December 31, 2025, 2024 and 2023.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various non-cancelable operating lease agreements, primarily for the rent of office and lab space, with expirations at various dates through 2036. Lease cost is recognized on a straight-line basis over the lease term. Variable lease costs, which include items such as real estate taxes, common area maintenance, utilities, and storage are not included in the calculation of the right-of-use assets and are recognized as incurred.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total lease costs for the years ended December 31, 2025, 2024 and 2023 are as follows (in thousands): </w:t>
      </w:r>
    </w:p>
    <w:p>
      <w:pPr>
        <w:pStyle w:val="TextBody"/>
        <w:bidi w:val="0"/>
        <w:jc w:val="left"/>
        <w:rPr/>
      </w:pPr>
      <w:r>
        <w:rPr/>
        <w:t> </w:t>
      </w:r>
    </w:p>
    <w:tbl>
      <w:tblPr>
        <w:tblW w:w="6587" w:type="dxa"/>
        <w:jc w:val="left"/>
        <w:tblInd w:w="0" w:type="dxa"/>
        <w:tblLayout w:type="fixed"/>
        <w:tblCellMar>
          <w:top w:w="28" w:type="dxa"/>
          <w:left w:w="28" w:type="dxa"/>
          <w:bottom w:w="28" w:type="dxa"/>
          <w:right w:w="28" w:type="dxa"/>
        </w:tblCellMar>
      </w:tblPr>
      <w:tblGrid>
        <w:gridCol w:w="3011"/>
        <w:gridCol w:w="211"/>
        <w:gridCol w:w="676"/>
        <w:gridCol w:w="166"/>
        <w:gridCol w:w="146"/>
        <w:gridCol w:w="211"/>
        <w:gridCol w:w="676"/>
        <w:gridCol w:w="166"/>
        <w:gridCol w:w="146"/>
        <w:gridCol w:w="211"/>
        <w:gridCol w:w="676"/>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right-of-use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Lease term and discount rate as of December 31, 2025 and 2024 are as follows: </w:t>
      </w:r>
    </w:p>
    <w:tbl>
      <w:tblPr>
        <w:tblW w:w="7859" w:type="dxa"/>
        <w:jc w:val="left"/>
        <w:tblInd w:w="0" w:type="dxa"/>
        <w:tblLayout w:type="fixed"/>
        <w:tblCellMar>
          <w:top w:w="28" w:type="dxa"/>
          <w:left w:w="28" w:type="dxa"/>
          <w:bottom w:w="28" w:type="dxa"/>
          <w:right w:w="28" w:type="dxa"/>
        </w:tblCellMar>
      </w:tblPr>
      <w:tblGrid>
        <w:gridCol w:w="4126"/>
        <w:gridCol w:w="430"/>
        <w:gridCol w:w="1070"/>
        <w:gridCol w:w="271"/>
        <w:gridCol w:w="146"/>
        <w:gridCol w:w="430"/>
        <w:gridCol w:w="1070"/>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2025, the future payments under operating leases for each of the next five years and thereafter are as follows (in thousands): </w:t>
      </w:r>
    </w:p>
    <w:tbl>
      <w:tblPr>
        <w:tblW w:w="5467" w:type="dxa"/>
        <w:jc w:val="left"/>
        <w:tblInd w:w="0" w:type="dxa"/>
        <w:tblLayout w:type="fixed"/>
        <w:tblCellMar>
          <w:top w:w="28" w:type="dxa"/>
          <w:left w:w="28" w:type="dxa"/>
          <w:bottom w:w="28" w:type="dxa"/>
          <w:right w:w="28" w:type="dxa"/>
        </w:tblCellMar>
      </w:tblPr>
      <w:tblGrid>
        <w:gridCol w:w="3811"/>
        <w:gridCol w:w="290"/>
        <w:gridCol w:w="1075"/>
        <w:gridCol w:w="291"/>
      </w:tblGrid>
      <w:tr>
        <w:trPr/>
        <w:tc>
          <w:tcPr>
            <w:tcW w:w="38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Amount representing interest</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net minimum lease payments</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lease liabilities</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lease liabilities</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IPO, the Company had authorized two classes of common stock, voting and non-voting. In March 2021, the Company amended its certificate of incorporation to bifurcate the voting common stock into two classes, Class A common stock and Class B common stock. As of December 31, 2023, the Company had authorized 200,228,024 shares of Class A common stock, 5,374,899 shares of Class B common stock, and 66,946,627 shares of non-voting common stock. In April 2024, the Company increased the number of authorized shares of Class A common stock to 204,590,500 in conjunction with the Series G-5 Preferred stock financing (see Note 10, Redeemable Convertible Preferred Stock). In connection with the IPO, a further amendment to the Company's certificate of incorporation became effective, which authorized 1,000,000,000 shares of Class A common stock, 5,500,000 shares of Class B common stock, and 20,000,000 shares of preferred stock. In connection with the Company's reincorporation from Delaware to Nevada, the Company adopted amended and restated articles of incorporation under Nevada law (the "Articles of Incorporation"), pursuant to which the Company's authorized capital stock remained unchanged.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Class A common stock and Class B common stock are collectively referred to as “Common Stock” throughout the notes to these consolidated financial statements unless otherwise noted.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rights of the holders of Class A common stock and Class B common stock are identical, except with respect to voting. Each share of Class A common stock is entitled to one vote per share and each share of Class B common stock is entitled to thirty votes per share. Prior to the IPO, the Company also had shares of non-voting common stock authorized and outstanding, which were not entitled to any voting rights. Following the IPO, no shares of non-voting common stock are authorized or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share of Class B common stock is convertible at any time at the option of the holder into one share of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Articles of Incorporation, 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trading day that is no less than 90 days and no more than 150 days following June 17, 2024;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transferred and converted into Class A common stock, the Class B common stock may not be reissued.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issues stock-based awards to its employees in the form of stock options, restricted stock units, performance stock units and restricted stock, all of which have the potential to increase the outstanding shares of common stock in the future (see Note 11, Stock-Based Compensation).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any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 </w:t>
      </w:r>
    </w:p>
    <w:p>
      <w:pPr>
        <w:pStyle w:val="TextBody"/>
        <w:bidi w:val="0"/>
        <w:spacing w:before="360" w:after="283"/>
        <w:jc w:val="left"/>
        <w:rPr>
          <w:rFonts w:ascii="Times New Roman" w:hAnsi="Times New Roman"/>
          <w:sz w:val="20"/>
        </w:rPr>
      </w:pPr>
      <w:r>
        <w:rPr>
          <w:rFonts w:ascii="Times New Roman" w:hAnsi="Times New Roman"/>
          <w:b/>
          <w:color w:val="000000"/>
          <w:sz w:val="20"/>
        </w:rPr>
        <w:t>Common Stock Warrant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MSA with AstraZeneca, the Company granted AstraZeneca warrants to purchase $100 million in shares of the Company’s Class A common stock at an exercise price equal to the IPO price of $37.00 per share. The number of shares of Class A common stock issuable upon exercise of the warrant is 2,702,703, based on the IPO price of $37.00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warrant was automatically cancelled and terminated for no consideration as AstraZeneca declined to extend its financial commitment before December 31, 2024. See Note 15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8, 2023, the Company issued Allen &amp; Company LLC ("Allen") a warrant to purchase 150,000 shares of the Company’s Class A common stock at a price per share of $10.00. The warrant was issued as compensation for Allen’s assistance with the issuance of the Company’s Series G-4 preferred stock, and as such has been treated as an issuance cost and presented net of proceeds from Series G-4 preferred stock in Convertible redeemable preferred stock on the Company’s consolidated balance sheet. In connection with the IPO, the Company issued 109,459 shares of Class A common stock upon the net exercise of the warrant.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discussed in Note 3, Paige will pay approximately $3.2 million to fulfill employee tax obligations related to the issuance, of which $3.0 million has been paid as of December 31, 2025. The equivalent was withheld from those employees in the Company's Class A common stock. These shares were accounted for as treasury stock. The Company records treasury stock at cost.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At the Market Sales Agreement</w:t>
      </w:r>
    </w:p>
    <w:p>
      <w:pPr>
        <w:pStyle w:val="TextBody"/>
        <w:bidi w:val="0"/>
        <w:spacing w:before="120" w:after="283"/>
        <w:jc w:val="left"/>
        <w:rPr>
          <w:rFonts w:ascii="Times New Roman" w:hAnsi="Times New Roman"/>
          <w:sz w:val="20"/>
        </w:rPr>
      </w:pPr>
      <w:r>
        <w:rPr>
          <w:rFonts w:ascii="Times New Roman" w:hAnsi="Times New Roman"/>
          <w:color w:val="000000"/>
          <w:sz w:val="20"/>
        </w:rPr>
        <w:t>On August 8, 2025, the Company entered into a Controlled Equity Offering</w:t>
      </w:r>
      <w:r>
        <w:rPr>
          <w:rFonts w:ascii="Times New Roman" w:hAnsi="Times New Roman"/>
          <w:color w:val="000000"/>
          <w:sz w:val="16"/>
        </w:rPr>
        <w:t>SM</w:t>
      </w:r>
      <w:r>
        <w:rPr>
          <w:rFonts w:ascii="Times New Roman" w:hAnsi="Times New Roman"/>
          <w:color w:val="000000"/>
          <w:sz w:val="20"/>
        </w:rPr>
        <w:t xml:space="preserve"> Sales Agreement (the “Sales Agreement”) with Morgan Stanley &amp; Co., LLC, Cantor Fitzgerald &amp; Co., TD Securities (USA), LLC and Allen &amp; Company LLC, as sales agents (collectively, the “Sales Agents”), pursuant to which the Company may offer and sell from time to time, at its option, shares of Class A common stock through the Sales Agents (the "ATM"). The issuance and sale, if any, of shares of Class A Common Stock under the Sales Agreement will be made pursuant to an automatically effective registration statement on Form S-3 and the related prospectus included therein (the “ATM Prospectus”), which was filed with the SEC on August 8, 2025. In accordance with the terms of the Sales Agreement, under the ATM Prospectus, the Company may offer and sell shares of Class A common stock having an aggregate offering price of up to $500.0 million from time to time through the Sales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2025, the Company sold 2,381,895 shares under the ATM at a weighted average price of $83.97 per share for total proceeds of $195.5 million, net of $4.5 million in commissions. In connection with the entry of the Sales Agreement and filing of the ATM Prospectus, the Company incurred $0.9 million of deferred offering costs, of which $0.8 million was reclassified as a reduction of paid-in-capital upon completion of the sales that occurred in 2025. The remaining deferred offering costs, which were incurred in anticipation of future ATM sales, are recorded in Prepaid and other assets on the consolidated balance sheet. As of December 31, 2025, approximately $300.0 million remained available for sale pursuant to the Sales Agreement and ATM Prospectus.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REDEEMABLE CONVERTIBLE PREFERRED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2023, the Company issued 47,781 shares of Series G-3 convertible preferred stock as payment of paid-in-kind dividends.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2023, the Company issued 785,245 shares of Series G-4 convertible preferred stock (“Series G-4 Preferred”) for aggregate proceeds of $45.0 million. Each share had a par value of $0.0001. Under the terms of Series G-4 Preferred, holders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 Following the Company’s IPO, the average ten day trading price was less than 110% of the price per share of Class A common stock sold in the IPO. As such, holders of Series G-4 Preferred were owed an aggregate payment of $2.3 million, which was made in July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2024, the Company issued 66,465 shares of Series G-3 convertible preferred stock and 10,666 shares of Series G-4 convertible preferred stock as payment of paid-in-kind dividends.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April 2024, the Company issued 3,489,981 shares of Series G-5 convertible preferred stock (“Series G-5 Preferred”) for aggregate proceeds of $200.0 million. Each share has a par value of $0.0001. The Company will use the proceeds for working capital and general corporate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IPO, all of the Company’s then-outstanding shares of redeemable convertible preferred stock and accrued but unpaid dividends were automatically converted into 71,976,178 shares of Class A voting common stock and 5,043,789 shares of Class B voting common stock.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sz w:val="20"/>
        </w:rPr>
      </w:pPr>
      <w:r>
        <w:rPr>
          <w:rFonts w:ascii="Times New Roman" w:hAnsi="Times New Roman"/>
          <w:b/>
          <w:color w:val="000000"/>
          <w:sz w:val="20"/>
        </w:rPr>
        <w:t>2015 Stock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2015, the Company adopted the 2015 Plan, which has been amended and restated numerous times to increase the aggregate shares authorized to be issued to employees, consultants, and directors of the Company. As of December 31, 2023, there were 28,115,750 shares authorized under the 2015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18, 2023, the Company approved a two-year extension of the expiration date of RSUs for then-current employees whose RSUs would otherwise expire in 2023 or 2024. The Company accounted for the extension as a stock compensation modification, which resulted in an increase in unrecognized compensation cost of $35.3 million at the time the extension was approved and an additional $12.2 million as the extensions occurred. The RSUs approved for the two-year extension were fully vested as of the IPO date. As such, the Company recognized the full impact of the expiration extension in stock-based compensation in the three months ended June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18, 2023, the Company approved the removal of the market condition for 5,898,596 outstanding PSUs. The Company accounted for this as a stock compensation modification. Subsequent to the modification, these units are treated as RSUs as the terms are consistent with the Company's existing RSUs. The modification resulted in a decrease in total unrecognized compensation cost of $19.3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IPO, no further grants will be made under the 2015 Stock Plan.</w:t>
      </w:r>
    </w:p>
    <w:p>
      <w:pPr>
        <w:pStyle w:val="TextBody"/>
        <w:bidi w:val="0"/>
        <w:spacing w:before="360" w:after="283"/>
        <w:jc w:val="left"/>
        <w:rPr>
          <w:rFonts w:ascii="Times New Roman" w:hAnsi="Times New Roman"/>
          <w:sz w:val="20"/>
        </w:rPr>
      </w:pPr>
      <w:r>
        <w:rPr>
          <w:rFonts w:ascii="Times New Roman" w:hAnsi="Times New Roman"/>
          <w:b/>
          <w:color w:val="000000"/>
          <w:sz w:val="20"/>
        </w:rPr>
        <w:t>2024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Company’s board of directors adopted, and in April 2024, the Company’s stockholders approved, the 2024 Equity Incentive Plan (the “2024 Plan”), which became effective in connection with the IPO in June 2024. The 2024 Plan provides for the grant of incentive stock options (“ISOs”), nonstatutory stock options, stock appreciation rights, RSUs, restricted stock unit awards (“RSAs”), performance-based awards (“PSUs”) and other awards. The maximum number of shares of Class A common stock that may be issued under the 2024 Plan is 7,430,000 shares of the Company’s Class A common stock and will automatically increase on January 1 of each year, beginning on January 1, 2025 and continuing through and including January 1, 2034 in an amount equal to either (i) a number of shares of the Company’s Class A common stock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 (ii) a lesser number of shares determined 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Company’s board of directors prior to the applicable January 1. The maximum number of shares that may be issued upon the exercise of ISOs under the 2024 Plan is 22,290,000 shares. As of December 31, 2025, there were 2,920,167 shares of the Company's Class A common stock that may be issued under the 2024 Plan.</w:t>
      </w:r>
    </w:p>
    <w:p>
      <w:pPr>
        <w:pStyle w:val="TextBody"/>
        <w:bidi w:val="0"/>
        <w:spacing w:before="36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RSUs vest over a period of three to five years, with a cliff vest after one year and ratable quarterly vesting thereafter. RSUs granted prior to the IPO were also subject to liquidity event vesting condition, as defined in the grant agreement, which was satisfied in connection with the IPO.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summarizes restricted stock unit activity for the year ended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8"/>
        <w:gridCol w:w="146"/>
        <w:gridCol w:w="220"/>
        <w:gridCol w:w="1493"/>
        <w:gridCol w:w="166"/>
        <w:gridCol w:w="146"/>
        <w:gridCol w:w="450"/>
        <w:gridCol w:w="1225"/>
        <w:gridCol w:w="146"/>
        <w:gridCol w:w="146"/>
        <w:gridCol w:w="232"/>
        <w:gridCol w:w="1575"/>
        <w:gridCol w:w="166"/>
        <w:gridCol w:w="146"/>
        <w:gridCol w:w="450"/>
        <w:gridCol w:w="1225"/>
        <w:gridCol w:w="195"/>
      </w:tblGrid>
      <w:tr>
        <w:trPr/>
        <w:tc>
          <w:tcPr>
            <w:tcW w:w="2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Vested 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 Average 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Unvested 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 Average Grant Date</w:t>
              <w:b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(7,489,122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6,285,604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Performance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granted 2,569,600 PSUs during the year ended December 31, 2025, with a weighted-average grant date fair value of $53.32.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50% of the PSUs are subject to a performance condition, which is based on the Company’s compound revenue growth ("CRG") during three overlapping performance periods (the "Performance Periods")—calendar year 2025 ("First Performance Period"), calendar years 2025 and 2026 ("Second Performance Period"), and calendar years 2025, 2026 and 2027 ("Third Performance Period" and, together with the First Performance Period and the Second Performance Period, the "Performance Periods") and subject to a service condition of a required period of continued employment from the vesting start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50% of the PSUs are subject to a market condition, which is based on a comparison of the Company’s total shareholder return ("TSR") to the return of the Nasdaq Composite Index during each Performance Period and subject to a service condition of a required period of continued employment from the vesting start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either the performance condition or market condition is not achieved during one of the first two Performance Periods, but is achieved during the Third Performance Period, any PSUs with respect to such performance condition or market condition that had not previously been earned will vest on the final vesting date, subject to the employee's continued service through such date. As both the CRG and TSR PSUs have a performance or market condition that include graded vesting features, the Company recognizes stock-based compensation expense using the graded vesting method over the requisite service period for each separately vesting tranche of the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20, 2026, the Company's board of directors certified the achievement of the performance condition related to the CRG PSUs and the market condition related to the TSR PSUs for the First Performance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CRG PSUs is equal to the stock price on the date of grant. The requisite service period for the CRG PSUs is 18 months, 27 months, and 36 months for the First, Second, and Third Performance Period, respectively. The fair value of the TSR PSUs is established using a Monte Carlo simulation model for each tranche. The requisite service period for the TSR PSUs is 12 months, 24 months, and 36 months for the First, Second, and Third Performance Period, respectively. The following assumptions were used in the Monte Carlo simulation model in determining the fair value of TSR PSUs granted: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169</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8737" w:type="dxa"/>
        <w:jc w:val="left"/>
        <w:tblInd w:w="0" w:type="dxa"/>
        <w:tblLayout w:type="fixed"/>
        <w:tblCellMar>
          <w:top w:w="28" w:type="dxa"/>
          <w:left w:w="28" w:type="dxa"/>
          <w:bottom w:w="28" w:type="dxa"/>
          <w:right w:w="28" w:type="dxa"/>
        </w:tblCellMar>
      </w:tblPr>
      <w:tblGrid>
        <w:gridCol w:w="2131"/>
        <w:gridCol w:w="146"/>
        <w:gridCol w:w="1966"/>
        <w:gridCol w:w="146"/>
        <w:gridCol w:w="2131"/>
        <w:gridCol w:w="146"/>
        <w:gridCol w:w="207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Performance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Performance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Performance Period</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 or 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 or 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 - 3.88%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 - 3.68%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Stock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on these awards is recognized on a straight-line basis over the requisite service periods of the awards.The table below summarizes restricted stock award activity for the year ended December 31, 2025: </w:t>
      </w:r>
    </w:p>
    <w:p>
      <w:pPr>
        <w:pStyle w:val="TextBody"/>
        <w:bidi w:val="0"/>
        <w:jc w:val="left"/>
        <w:rPr/>
      </w:pPr>
      <w:r>
        <w:rPr/>
        <w:t> </w:t>
      </w:r>
    </w:p>
    <w:tbl>
      <w:tblPr>
        <w:tblW w:w="9455" w:type="dxa"/>
        <w:jc w:val="left"/>
        <w:tblInd w:w="0" w:type="dxa"/>
        <w:tblLayout w:type="fixed"/>
        <w:tblCellMar>
          <w:top w:w="28" w:type="dxa"/>
          <w:left w:w="28" w:type="dxa"/>
          <w:bottom w:w="28" w:type="dxa"/>
          <w:right w:w="28" w:type="dxa"/>
        </w:tblCellMar>
      </w:tblPr>
      <w:tblGrid>
        <w:gridCol w:w="2941"/>
        <w:gridCol w:w="146"/>
        <w:gridCol w:w="459"/>
        <w:gridCol w:w="2136"/>
        <w:gridCol w:w="166"/>
        <w:gridCol w:w="146"/>
        <w:gridCol w:w="879"/>
        <w:gridCol w:w="2391"/>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Unvested Restricted Stock Awards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 Average Grant Date Fair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is classified as follows in the accompanying consolidated statements of operations for the years ended December 31, 2025, 2024 and 2023 (in thousands): </w:t>
      </w:r>
    </w:p>
    <w:p>
      <w:pPr>
        <w:pStyle w:val="TextBody"/>
        <w:bidi w:val="0"/>
        <w:jc w:val="left"/>
        <w:rPr/>
      </w:pPr>
      <w:r>
        <w:rPr/>
        <w:t> </w:t>
      </w:r>
    </w:p>
    <w:tbl>
      <w:tblPr>
        <w:tblW w:w="6763" w:type="dxa"/>
        <w:jc w:val="left"/>
        <w:tblInd w:w="0" w:type="dxa"/>
        <w:tblLayout w:type="fixed"/>
        <w:tblCellMar>
          <w:top w:w="28" w:type="dxa"/>
          <w:left w:w="28" w:type="dxa"/>
          <w:bottom w:w="28" w:type="dxa"/>
          <w:right w:w="28" w:type="dxa"/>
        </w:tblCellMar>
      </w:tblPr>
      <w:tblGrid>
        <w:gridCol w:w="3301"/>
        <w:gridCol w:w="146"/>
        <w:gridCol w:w="211"/>
        <w:gridCol w:w="781"/>
        <w:gridCol w:w="146"/>
        <w:gridCol w:w="146"/>
        <w:gridCol w:w="211"/>
        <w:gridCol w:w="781"/>
        <w:gridCol w:w="146"/>
        <w:gridCol w:w="146"/>
        <w:gridCol w:w="211"/>
        <w:gridCol w:w="346"/>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unrecognized stock-based compensation was $288.2 million and is expected to be recognized over a weighted average period of 2.4 years.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DEBT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 2025, the Company completed a private offering (the "Offering") of $750.0 million aggregate principal amount of 0.75% Convertible Senior Notes due 2030 (the "Notes"). The Company's net proceeds from the Offering were $725.7 million, after deducting the initial purchasers' discount and commissions and offering expenses payable by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Notes are general unsecured obligations of the Company and will mature on July 15, 2030. Interest on the Notes will accrue at a rate of 0.75% per year from July 3, 2025 and will be payable semiannually in arrears on January 15 and July 15 of each year, beginning on January 15, 2026. The Notes are convertible at the option of the noteholders prior to April 15, 2030, only upon satisfaction of one or more of the following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During any calendar quarter, commencing after the fiscal quarter ending on September 30, 2025, if the last reported sale price of the Company’s Class A common stock, for at least 20</w:t>
      </w:r>
      <w:r>
        <w:rPr>
          <w:color w:val="000000"/>
        </w:rPr>
        <w:t xml:space="preserve"> </w:t>
      </w:r>
      <w:r>
        <w:rPr>
          <w:rFonts w:ascii="Times New Roman" w:hAnsi="Times New Roman"/>
          <w:color w:val="000000"/>
          <w:sz w:val="20"/>
        </w:rPr>
        <w:t>trading days (whether or not consecutive) during a period of 30</w:t>
      </w:r>
      <w:r>
        <w:rPr>
          <w:color w:val="000000"/>
        </w:rPr>
        <w:t xml:space="preserve"> </w:t>
      </w:r>
      <w:r>
        <w:rPr>
          <w:rFonts w:ascii="Times New Roman" w:hAnsi="Times New Roman"/>
          <w:color w:val="000000"/>
          <w:sz w:val="20"/>
        </w:rPr>
        <w:t xml:space="preserve">consecutive trading days ending on the last trading day of the immediately preceding calendar quarter is greater than or equal to 130% of the conversion price for the Notes on each applicable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(the “measurement period”) in which the trading price per $1,000</w:t>
      </w:r>
      <w:r>
        <w:rPr>
          <w:color w:val="000000"/>
        </w:rPr>
        <w:t xml:space="preserve"> </w:t>
      </w:r>
      <w:r>
        <w:rPr>
          <w:rFonts w:ascii="Times New Roman" w:hAnsi="Times New Roman"/>
          <w:color w:val="000000"/>
          <w:sz w:val="20"/>
        </w:rPr>
        <w:t xml:space="preserve">principal amount of the Notes for each trading day of the measurement period was less than 98% of the product of the last reported sale price of the Company's Class A common stock and the conversion rate for the Notes on each such trading day;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Company calls the Notes for redemption, at any time prior to the close of business on the second scheduled trading day immediately preceding the redemption date;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occurrence of specified corporate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April 15, 2030, until the close of business on the second scheduled trading day immediately preceding the maturity date, holders may convert all or any portion of their Notes at their option at any time, regardless of the foregoing conditions. Upon conversion, the Company will pay or deliver cash, shares of the Company's Class A common stock or a combination of cash and shares of the Company's Class A common stock, at the Company’s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rate for the Notes is 11.8778 shares of the Company's Class A common stock per $1,000 principal amount of Notes, which is equivalent to an initial conversion price of approximately $84.19 per share of the Company's Class A common stock. The conversion rate is subject to adjustment under certain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July 20, 2028, the Company may redeem for cash all or any portion of the Notes if the last reported sale price of the Company's Class A common stock has been at least 130% of the conversion price for the Notes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If the Company redeems less than all the outstanding Notes, at least $100.0 million aggregate principal amount of Notes must be outstanding and not subject to redemption. No sinking fund is provided for the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undergoes a fundamental change (as defined in the indenture governing the Notes), then, subject to certain conditions and exceptions, noteholders may require the Company to repurchase for cash all or any portion of their Notes at a fundamental change repurchase price equal to 100% of the principal amount of the Notes to be repurchased, plus accrued and unpaid interest, to, but excluding, the fundamental change repurchase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purchasers' discount of $23.5 million and deferred financing fees of $0.8 million on the Notes are amortized over the term of the underlying debt and unamortized amounts have been offset against the Notes, net in the consolidated balance sheets. As of December 31, 2025, the unamortized initial purchasers' discount and deferred financing fees on the Notes was $21.2 million and $0.7 million, respectively. Amortization of the initial purchasers' discount and deferred financing fees are reflected in interest expense on the consolidated statements of operations. Amortization of the initial purchasers' discount totaled $2.3 million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2025, the Company made no interest payments on the Notes. The Company recognized interest expense of $2.8 million related to the Notes, during the year ended December 31, 2025, which represented an effective interest rate of 0.8%. Accrued interest on the Notes is recorded within Accrued expenses on the consolidated balance sheet.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pricing of the Notes on June 30, 2025, and the exercise in full by the initial purchasers of their option to purchase additional Notes on July 1, 2025, the Company entered into capped call transactions (the "Capped Call"), effective as of July 3, 2025, with one of the initial purchasers and certain other financial institutions. The Capped Call is expected generally to reduce the potential dilution to the Company's Class A common stock upon any conversion of the Notes and/or offset any cash payments the Company is required to make in excess of the principal amount of converted Notes, with such reduction and/or offset subject to a cap based on a cap price initially equal to $111.1950 per share, which is subject to certain adjustments under the terms of the Capped Call. The Capped Calls have an initial strike price of approximately $84.19 per share, subject to certain adjustments, which corresponds to the initial conversion price of the Notes. The Capped Calls cover, subject to anti-dilution adjustments, approximately 8,908,350 shares of the Company's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Capped Call qualifies for a scope exception from derivative accounting for instruments that are both indexed to the issuer's own stock and classified in stockholders' equity. The $41.8 million incurred to purchase the Capped Call was recorded as a reduction to additional paid-in capital in the consolidated balance sheets, and will not be remeasured as long as they continue to meet the conditions for equity classification.</w:t>
      </w:r>
    </w:p>
    <w:p>
      <w:pPr>
        <w:pStyle w:val="TextBody"/>
        <w:bidi w:val="0"/>
        <w:spacing w:before="360" w:after="283"/>
        <w:jc w:val="left"/>
        <w:rPr>
          <w:rFonts w:ascii="Times New Roman" w:hAnsi="Times New Roman"/>
          <w:sz w:val="20"/>
        </w:rPr>
      </w:pPr>
      <w:r>
        <w:rPr>
          <w:rFonts w:ascii="Times New Roman" w:hAnsi="Times New Roman"/>
          <w:i/>
          <w:color w:val="000000"/>
          <w:sz w:val="20"/>
        </w:rPr>
        <w:t>Credit Facilities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22, 2022, the Company entered into a Credit Agreement (the “Original Credit Agreement”) with Ares Capital Corporation (“Ares”) for a senior secured loan (the “Term Loan Facility”) that matures in September 2027, in an original principal amount of $175.0 million, less original issue discount of $4.4 million and deferred financing fees of $2.6 million. The Original Credit Agreement was amended on April 25, 2023 and October 11, 2023, to, among other things, increase the original principal amount of the Term Loan Facility by $85.0 million in the aggregate, less original issue discount of $2.2 million in the aggregate.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3, 2025, the Company entered into a Third Amendment Agreement (the "Third Amendment Agreement") which, among other things, provided for an additional $200.0 million tranche of senior secured term loans (the “Additional Term Loan Facility”, and together with the Term Loan Facility, the “Term Loans”) and $100.0 million in priority revolving loan commitments (the “Revolving Credit Facility”, and loans thereunder, the “Revolving Loans”). The Company received $194.0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Third Amendment Agreement was accounted for as a debt modification. The Additional Term Loan Facility and the Revolving Credit Facility mature on February 3, 2030.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2025, in conjunction with the Offering, the Company entered into a Fourth Amendment to the Credit Agreement (the “Fourth Amendment Agreement”). The Fourth Amendment Agreement amended the terms of the Credit Agreement to (i) permit the Offering and the related derivative transactions and (ii) provide that the Offering satisfies the junior capital raise requirement set forth in the Credit Agreement. Except as noted above, the material terms of the Credit Agreement were not amended. The Fourth Amendment Agreement was accounted for as a debt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Loans and Revolving Credit Facility (together with the Term Loan Facilities, the “Credit Facilities”) are subject to quarterly interest payments for Base Rate loans and at the end of the applicable interest rate period for Term Secured Overnight Financing Rate (“SOFR”) loans.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Term Loans are subject to quarterly interest payments, which bears interest based on Term SOFR. Additionally, the Company may make either a paid-in-kind ("PIK") election or a Cash election. Pursuant to the Original Credit Agreement, as amended by the Fourth Amendment Agreement (the “Credit Agreement”), through December 31, 2025, interest on the Term Loans accrues at a per annum rate as follows: (i) for any interest period for which the Company elects to pay interest in cash, the cash interest rate for Term SOFR borrowings will be Term SOFR </w:t>
      </w:r>
      <w:r>
        <w:rPr>
          <w:rFonts w:ascii="Times New Roman" w:hAnsi="Times New Roman"/>
          <w:i/>
          <w:color w:val="000000"/>
          <w:sz w:val="20"/>
        </w:rPr>
        <w:t>plus</w:t>
      </w:r>
      <w:r>
        <w:rPr>
          <w:rFonts w:ascii="Times New Roman" w:hAnsi="Times New Roman"/>
          <w:color w:val="000000"/>
          <w:sz w:val="20"/>
        </w:rPr>
        <w:t xml:space="preserve"> 7.25%, respectively, and (ii) for any interest period for which the Company elects to pay interest in kind, the cash interest rate for Term SOFR borrowings will be Term SOFR </w:t>
      </w:r>
      <w:r>
        <w:rPr>
          <w:rFonts w:ascii="Times New Roman" w:hAnsi="Times New Roman"/>
          <w:i/>
          <w:color w:val="000000"/>
          <w:sz w:val="20"/>
        </w:rPr>
        <w:t>plus</w:t>
      </w:r>
      <w:r>
        <w:rPr>
          <w:rFonts w:ascii="Times New Roman" w:hAnsi="Times New Roman"/>
          <w:color w:val="000000"/>
          <w:sz w:val="20"/>
        </w:rPr>
        <w:t xml:space="preserve"> 5%, respectively, and the PIK interest rate will be 3.25%. </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From and after January 1, 2026, interest on the Term Loans accrues at a per annum rate as follows: (i) for any interest period for which the Company elects to pay interest in cash, the cash interest rate for Term SOFR borrowings will be Term SOFR </w:t>
      </w:r>
      <w:r>
        <w:rPr>
          <w:rFonts w:ascii="Times New Roman" w:hAnsi="Times New Roman"/>
          <w:i/>
          <w:color w:val="231F20"/>
          <w:sz w:val="20"/>
        </w:rPr>
        <w:t>plus</w:t>
      </w:r>
      <w:r>
        <w:rPr>
          <w:rFonts w:ascii="Times New Roman" w:hAnsi="Times New Roman"/>
          <w:color w:val="231F20"/>
          <w:sz w:val="20"/>
        </w:rPr>
        <w:t xml:space="preserve"> a margin ranging from 6.75% to 7.75%, respectively, and (ii) for any interest period for which the Company elects to pay interest in kind, the cash interest rate for Term SOFR borrowings will be Term SOFR </w:t>
      </w:r>
      <w:r>
        <w:rPr>
          <w:rFonts w:ascii="Times New Roman" w:hAnsi="Times New Roman"/>
          <w:i/>
          <w:color w:val="231F20"/>
          <w:sz w:val="20"/>
        </w:rPr>
        <w:t>plus</w:t>
      </w:r>
      <w:r>
        <w:rPr>
          <w:rFonts w:ascii="Times New Roman" w:hAnsi="Times New Roman"/>
          <w:color w:val="231F20"/>
          <w:sz w:val="20"/>
        </w:rPr>
        <w:t xml:space="preserve"> a margin of 5%, respectively, and the PIK interest rate will be 3.25%. The applicable margin for any interest period for which the Company elects to pay interest in cash will be based on a consolidated first lien leverage ratio.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on the Revolving Loans accrues interest at a per annum rate equal to Term SOFR </w:t>
      </w:r>
      <w:r>
        <w:rPr>
          <w:rFonts w:ascii="Times New Roman" w:hAnsi="Times New Roman"/>
          <w:i/>
          <w:color w:val="000000"/>
          <w:sz w:val="20"/>
        </w:rPr>
        <w:t>plus</w:t>
      </w:r>
      <w:r>
        <w:rPr>
          <w:rFonts w:ascii="Times New Roman" w:hAnsi="Times New Roman"/>
          <w:color w:val="000000"/>
          <w:sz w:val="20"/>
        </w:rPr>
        <w:t xml:space="preserve"> 3.75% At all times prior to the termination of the Revolving Credit Facility, to the extent that, on any date, the outstanding aggregate principal amount of Revolving Credit Facility is less than the greater of (x) 50.0% of the revolving commitments and (y) $50.0 million, the amount of interest payable on the Revolving Loans shall be equal to the amount of interest that would be payable had the outstanding principal amount of Revolving Loans equaled the greater of (x) 50.0% of the revolving commitments and (y) $50.0 million (the “Minimum Revolving Interest Amount”). A commitment fee will accrue on the unused amount of the Revolving Credit Facility at a per annum rate of 0.50%; provided, however, that no such fee shall accrue to the extent the Company is being charged the Minimum Revolving Interest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$1.0 billion on a pro forma basis and for the fiscal quarters ending March 31, 2025 through December 31, 2025, and shall equal $1.1 billion for the fiscal quarters ending March 31, 2026 through December 31, 2026. The Credit Agreement also contains a maximum first lien leverage from and after the fiscal quarter ending March 31, 2027. The Company was in compliance with all covenants in the Credit Agreement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obligations under the Credit Agreement are guaranteed by certain of its subsidiaries and secured by substantially all of the Company’s and such subsidiaries’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original issue discount of $10.5 million and deferred financing fees of $2.6 million on the Term Loans are amortized over the term of the underlying debt and unamortized amounts have been offset against long-term debt in the consolidated balance sheets. As of December 31, 2025 and 2024, the unamortized original issue discount was $3.3 million and $3.8 million, respectively, and the unamortized deferred financing fees were $0 and $1.4 million, respectively. The original issue discount of $2.0 million and deferred financing fees of $1.0 million on the Revolving Credit Facility are amortized over the term of the underlying debt and unamortized amounts are recorded in Investments and other assets in the consolidated balance sheets. As of December 31, 2025, the unamortized original issue discount and deferred financing fees on the Revolving Credit Facility was $1.6 million and $0.8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Company repaid in full the principal amount of the Term Loan Facility for $276.9 million, leaving only the Additional Term Loan Facility and Revolving Credit Facility as outstanding as of December 31, 2025. The Company recorded a loss on debt extinguishment of $12.0 million in the consolidated statements of operations and comprehensive loss, representing a prepayment premium of $7.8 million, unamortized original issue discount of $3.1 million, and unamortized deferred financing fees of $1.1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2025, the Company made $44.0 million in interest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and the effective interest rate for the years ended December 31, 2025, 2024 and 2023 are as follows (in thousands): </w:t>
      </w:r>
    </w:p>
    <w:p>
      <w:pPr>
        <w:pStyle w:val="TextBody"/>
        <w:bidi w:val="0"/>
        <w:jc w:val="left"/>
        <w:rPr/>
      </w:pPr>
      <w:r>
        <w:rPr/>
        <w:t> </w:t>
      </w:r>
    </w:p>
    <w:tbl>
      <w:tblPr>
        <w:tblW w:w="6478" w:type="dxa"/>
        <w:jc w:val="left"/>
        <w:tblInd w:w="0" w:type="dxa"/>
        <w:tblLayout w:type="fixed"/>
        <w:tblCellMar>
          <w:top w:w="28" w:type="dxa"/>
          <w:left w:w="28" w:type="dxa"/>
          <w:bottom w:w="28" w:type="dxa"/>
          <w:right w:w="28" w:type="dxa"/>
        </w:tblCellMar>
      </w:tblPr>
      <w:tblGrid>
        <w:gridCol w:w="2321"/>
        <w:gridCol w:w="246"/>
        <w:gridCol w:w="211"/>
        <w:gridCol w:w="676"/>
        <w:gridCol w:w="271"/>
        <w:gridCol w:w="146"/>
        <w:gridCol w:w="211"/>
        <w:gridCol w:w="676"/>
        <w:gridCol w:w="271"/>
        <w:gridCol w:w="146"/>
        <w:gridCol w:w="211"/>
        <w:gridCol w:w="676"/>
        <w:gridCol w:w="416"/>
      </w:tblGrid>
      <w:tr>
        <w:trPr/>
        <w:tc>
          <w:tcPr>
            <w:tcW w:w="23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Revolving Credit Facility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Revolving Credit Facility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Convertible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22, 2025, the Company amended its convertible promissory note (the "Second Amended Note") with Google LLC ("Google"), originally entered into on June 22, 2020 (the "Initial Note"), and subsequently amended on November 19, 2020 (the "Amended Note"). The amendment extended the maturity date of the Second Amended Note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March 22, 2026 to December 31, 2030. In addition, the amendment provides the Company the option upon maturity to repay up to 50% of the outstanding principal and accrued interest balance (the "Outstanding Amount") in shares of the Company's Class A common stock equal to the quotient obtained by dividing (1) the Outstanding Amount on the maturity date, by (2) the average of the last trading price on each trading day during the twenty day period ending immediately prior to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amendment was accounted for as a modification. 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interest expense of $14.4 million, $15.1 million and $15.8 million during the years ended December 31, 2025, 2024 and 2023, respectively. Accrued interest on the Second Amended Note is recorded as Interest Payable within Other long-term liabilities on the consolidated balance sheet.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ATTRIBUTABLE TO COMMON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 average number of outstanding shares of Common Stock each period. The Company’s Class A common stock and Class B common stock share equally in distributed and undistributed earnings; therefore, no allocation to participating securities or dilutive securities is performed. Diluted net loss per share is calculated by giving effect to all potential dilutive Common Stock equivalents, which includes stock options, RSUs, RSAs, PSUs, and preferred stock. Because the Company incurred net losses each period, the basic and diluted calculations are the same. The Company used the if-converted method to calculate diluted EPS. As the Company had net losses in the years ended December 31, 2025, 2024 and 2023, respectively, all potentially dilutive common stock equivalents have been excluded from the calculation of diluted net loss per share attributable to common stockholders as their effect is anti-dilutive.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calculation for basic and diluted net loss per share (in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68"/>
        <w:gridCol w:w="146"/>
        <w:gridCol w:w="211"/>
        <w:gridCol w:w="841"/>
        <w:gridCol w:w="166"/>
        <w:gridCol w:w="146"/>
        <w:gridCol w:w="211"/>
        <w:gridCol w:w="841"/>
        <w:gridCol w:w="166"/>
        <w:gridCol w:w="146"/>
        <w:gridCol w:w="211"/>
        <w:gridCol w:w="841"/>
        <w:gridCol w:w="611"/>
      </w:tblGrid>
      <w:tr>
        <w:trPr/>
        <w:tc>
          <w:tcPr>
            <w:tcW w:w="5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convertible preferred stock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on Series A, B, B-1, B-2, C, D, E, F, G, G-3, and G-4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Cumulative undeclared dividends on Series C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(265,964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outstanding shares of common stock equivalents were excluded from the calculation of diluted net loss per share for each period, as the impact of including them would have been anti-dilutive. As disclosed in Note 9, the Company issued a warrant for $100 million in shares of the Company’s Class A common stock. As per the terms of the warrant, potentially dilutive shares are based on the latest equity financing price. The warrant was terminated for no consideration on December 31, 2024.</w:t>
      </w:r>
    </w:p>
    <w:p>
      <w:pPr>
        <w:pStyle w:val="TextBody"/>
        <w:bidi w:val="0"/>
        <w:jc w:val="left"/>
        <w:rPr/>
      </w:pPr>
      <w:r>
        <w:rPr/>
        <w:t> </w:t>
      </w:r>
    </w:p>
    <w:tbl>
      <w:tblPr>
        <w:tblW w:w="8008" w:type="dxa"/>
        <w:jc w:val="left"/>
        <w:tblInd w:w="0" w:type="dxa"/>
        <w:tblLayout w:type="fixed"/>
        <w:tblCellMar>
          <w:top w:w="28" w:type="dxa"/>
          <w:left w:w="28" w:type="dxa"/>
          <w:bottom w:w="28" w:type="dxa"/>
          <w:right w:w="28" w:type="dxa"/>
        </w:tblCellMar>
      </w:tblPr>
      <w:tblGrid>
        <w:gridCol w:w="3646"/>
        <w:gridCol w:w="146"/>
        <w:gridCol w:w="146"/>
        <w:gridCol w:w="1036"/>
        <w:gridCol w:w="146"/>
        <w:gridCol w:w="146"/>
        <w:gridCol w:w="146"/>
        <w:gridCol w:w="931"/>
        <w:gridCol w:w="146"/>
        <w:gridCol w:w="146"/>
        <w:gridCol w:w="146"/>
        <w:gridCol w:w="1036"/>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63,525,953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AstraZeneca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1,744,991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Mpirik 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Deep 6 holdback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SEngine 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Allen &amp; Company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Paige 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Shares issuable upon conversion of Notes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8,908,350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potentially dilutive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17,865,333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65,681,104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As disclosed in Note 12, the Company entered into the Capped Call in connection with the pricing of the Notes. The Capped Call is generally expected to reduce the potential dilution to the Company’s Class A common stock upon conversion of the Notes. As such, the impact of the Capped Calls was excluded from the calculation as the effect of the Capped Calls if issued upon conversion of the Notes, would have been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disclosed in Note 11, the RSUs issued prior to the IPO include a liquidity event performance condition prior to vesting. As the liquidity event performance condition was satisfied upon completion of the IPO, as of December 31, 2025 and 2024 , these shares are included in potentially dilutive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disclosed in Note 12, the Second Amended Note may be fully converted to shares upon maturity at the holder’s option, or up to 50% may be converted to shares upon maturity at the Company's option. The number of shares to be issued is based on the amount outstanding at the maturity date, which is subject to reduction based on services used by us prior to the maturity date. As such, these are treated as contingently issuable shares and will be excluded from potential dilutive impact.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disclosed in Note 10, the Company’s Series G-3 Preferred, Series G-4 Preferred and Series G-5 Preferred contain embedded conversion features resulted in the issuance of additional shares of Class A common stock upon completion of the IPO. The number of shares issued related to these features was dependent upon the IPO price. As such, prior to the IPO, these are treated as contingently issuable shares. Subsequent to the completion of the IPO in June 2024, the additional shares of Class A common stock are included in the weighted-average common shares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income taxes consist of the following as of December 31, 2025 and 2024 (in thousands): </w:t>
      </w:r>
    </w:p>
    <w:p>
      <w:pPr>
        <w:pStyle w:val="TextBody"/>
        <w:bidi w:val="0"/>
        <w:jc w:val="left"/>
        <w:rPr/>
      </w:pPr>
      <w:r>
        <w:rPr/>
        <w:t> </w:t>
      </w:r>
    </w:p>
    <w:tbl>
      <w:tblPr>
        <w:tblW w:w="7173" w:type="dxa"/>
        <w:jc w:val="left"/>
        <w:tblInd w:w="0" w:type="dxa"/>
        <w:tblLayout w:type="fixed"/>
        <w:tblCellMar>
          <w:top w:w="28" w:type="dxa"/>
          <w:left w:w="28" w:type="dxa"/>
          <w:bottom w:w="28" w:type="dxa"/>
          <w:right w:w="28" w:type="dxa"/>
        </w:tblCellMar>
      </w:tblPr>
      <w:tblGrid>
        <w:gridCol w:w="4546"/>
        <w:gridCol w:w="211"/>
        <w:gridCol w:w="841"/>
        <w:gridCol w:w="166"/>
        <w:gridCol w:w="146"/>
        <w:gridCol w:w="211"/>
        <w:gridCol w:w="841"/>
        <w:gridCol w:w="211"/>
      </w:tblGrid>
      <w:tr>
        <w:trPr/>
        <w:tc>
          <w:tcPr>
            <w:tcW w:w="4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Income Tax Assets: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IRC §163(j) Interest Expense Limitation Carryover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Excess of Tax Basis over Book Basis Fixed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Reserve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Income Tax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Excess of book basis over tax basis fixed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Gain/Loss on Marketable Equity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Contract Asset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Income Tax Liability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provision for income taxes consists of the following for the years ended December 31, 2025, 2024 and 2023 (in thousands): </w:t>
      </w:r>
    </w:p>
    <w:p>
      <w:pPr>
        <w:pStyle w:val="TextBody"/>
        <w:bidi w:val="0"/>
        <w:jc w:val="left"/>
        <w:rPr/>
      </w:pPr>
      <w:r>
        <w:rPr/>
        <w:t> </w:t>
      </w:r>
    </w:p>
    <w:tbl>
      <w:tblPr>
        <w:tblW w:w="6067" w:type="dxa"/>
        <w:jc w:val="left"/>
        <w:tblInd w:w="0" w:type="dxa"/>
        <w:tblLayout w:type="fixed"/>
        <w:tblCellMar>
          <w:top w:w="28" w:type="dxa"/>
          <w:left w:w="28" w:type="dxa"/>
          <w:bottom w:w="28" w:type="dxa"/>
          <w:right w:w="28" w:type="dxa"/>
        </w:tblCellMar>
      </w:tblPr>
      <w:tblGrid>
        <w:gridCol w:w="2941"/>
        <w:gridCol w:w="211"/>
        <w:gridCol w:w="736"/>
        <w:gridCol w:w="166"/>
        <w:gridCol w:w="146"/>
        <w:gridCol w:w="211"/>
        <w:gridCol w:w="421"/>
        <w:gridCol w:w="166"/>
        <w:gridCol w:w="146"/>
        <w:gridCol w:w="211"/>
        <w:gridCol w:w="421"/>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expense (benefit)</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(benefit) expense</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tax (benefit) expense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(benefit) expense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components of income before income taxes as follows (in thousands):</w:t>
      </w:r>
    </w:p>
    <w:p>
      <w:pPr>
        <w:pStyle w:val="TextBody"/>
        <w:bidi w:val="0"/>
        <w:jc w:val="left"/>
        <w:rPr/>
      </w:pPr>
      <w:r>
        <w:rPr/>
        <w:t> </w:t>
      </w:r>
    </w:p>
    <w:tbl>
      <w:tblPr>
        <w:tblW w:w="4877" w:type="dxa"/>
        <w:jc w:val="left"/>
        <w:tblInd w:w="0" w:type="dxa"/>
        <w:tblLayout w:type="fixed"/>
        <w:tblCellMar>
          <w:top w:w="28" w:type="dxa"/>
          <w:left w:w="28" w:type="dxa"/>
          <w:bottom w:w="28" w:type="dxa"/>
          <w:right w:w="28" w:type="dxa"/>
        </w:tblCellMar>
      </w:tblPr>
      <w:tblGrid>
        <w:gridCol w:w="886"/>
        <w:gridCol w:w="211"/>
        <w:gridCol w:w="841"/>
        <w:gridCol w:w="166"/>
        <w:gridCol w:w="146"/>
        <w:gridCol w:w="211"/>
        <w:gridCol w:w="841"/>
        <w:gridCol w:w="166"/>
        <w:gridCol w:w="146"/>
        <w:gridCol w:w="211"/>
        <w:gridCol w:w="841"/>
        <w:gridCol w:w="211"/>
      </w:tblGrid>
      <w:tr>
        <w:trPr/>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reconciliation of the difference between the federal statutory rate and the effective income tax rate as a percentage of income before taxes for the year ended December 31, 2025 was as follows: </w:t>
      </w:r>
    </w:p>
    <w:p>
      <w:pPr>
        <w:pStyle w:val="TextBody"/>
        <w:bidi w:val="0"/>
        <w:jc w:val="left"/>
        <w:rPr/>
      </w:pPr>
      <w:r>
        <w:rPr/>
        <w:t> </w:t>
      </w:r>
    </w:p>
    <w:tbl>
      <w:tblPr>
        <w:tblW w:w="7538" w:type="dxa"/>
        <w:jc w:val="left"/>
        <w:tblInd w:w="0" w:type="dxa"/>
        <w:tblLayout w:type="fixed"/>
        <w:tblCellMar>
          <w:top w:w="28" w:type="dxa"/>
          <w:left w:w="28" w:type="dxa"/>
          <w:bottom w:w="28" w:type="dxa"/>
          <w:right w:w="28" w:type="dxa"/>
        </w:tblCellMar>
      </w:tblPr>
      <w:tblGrid>
        <w:gridCol w:w="5026"/>
        <w:gridCol w:w="211"/>
        <w:gridCol w:w="736"/>
        <w:gridCol w:w="166"/>
        <w:gridCol w:w="146"/>
        <w:gridCol w:w="146"/>
        <w:gridCol w:w="631"/>
        <w:gridCol w:w="476"/>
      </w:tblGrid>
      <w:tr>
        <w:trPr/>
        <w:tc>
          <w:tcPr>
            <w:tcW w:w="5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Officer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nontaxable or nondeductible items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income taxes, net of federal income tax effect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foreign jurisdictions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 changes in unrecognized tax benefits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states that contribute to the majority (greater than 50%) of the tax effect in this category include California, Illinois, Maryland, and Pennsylvania.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reconciliation of the difference between the federal statutory rate and the effective income tax rate as a percentage of income before taxes for the years ended December 31, 2024 and 2023: </w:t>
      </w:r>
    </w:p>
    <w:p>
      <w:pPr>
        <w:pStyle w:val="TextBody"/>
        <w:bidi w:val="0"/>
        <w:jc w:val="left"/>
        <w:rPr/>
      </w:pPr>
      <w:r>
        <w:rPr/>
        <w:t> </w:t>
      </w:r>
    </w:p>
    <w:tbl>
      <w:tblPr>
        <w:tblW w:w="4696" w:type="dxa"/>
        <w:jc w:val="left"/>
        <w:tblInd w:w="0" w:type="dxa"/>
        <w:tblLayout w:type="fixed"/>
        <w:tblCellMar>
          <w:top w:w="28" w:type="dxa"/>
          <w:left w:w="28" w:type="dxa"/>
          <w:bottom w:w="28" w:type="dxa"/>
          <w:right w:w="28" w:type="dxa"/>
        </w:tblCellMar>
      </w:tblPr>
      <w:tblGrid>
        <w:gridCol w:w="2656"/>
        <w:gridCol w:w="918"/>
        <w:gridCol w:w="156"/>
        <w:gridCol w:w="966"/>
      </w:tblGrid>
      <w:tr>
        <w:trPr/>
        <w:tc>
          <w:tcPr>
            <w:tcW w:w="265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tax rate</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statutory tax rate</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Officer compensation</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permanent differences</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change in valuation allowance was as follows (in thousands): </w:t>
      </w:r>
    </w:p>
    <w:p>
      <w:pPr>
        <w:pStyle w:val="TextBody"/>
        <w:bidi w:val="0"/>
        <w:jc w:val="left"/>
        <w:rPr/>
      </w:pPr>
      <w:r>
        <w:rPr/>
        <w:t> </w:t>
      </w:r>
    </w:p>
    <w:tbl>
      <w:tblPr>
        <w:tblW w:w="7127" w:type="dxa"/>
        <w:jc w:val="left"/>
        <w:tblInd w:w="0" w:type="dxa"/>
        <w:tblLayout w:type="fixed"/>
        <w:tblCellMar>
          <w:top w:w="28" w:type="dxa"/>
          <w:left w:w="28" w:type="dxa"/>
          <w:bottom w:w="28" w:type="dxa"/>
          <w:right w:w="28" w:type="dxa"/>
        </w:tblCellMar>
      </w:tblPr>
      <w:tblGrid>
        <w:gridCol w:w="3376"/>
        <w:gridCol w:w="211"/>
        <w:gridCol w:w="781"/>
        <w:gridCol w:w="146"/>
        <w:gridCol w:w="146"/>
        <w:gridCol w:w="211"/>
        <w:gridCol w:w="781"/>
        <w:gridCol w:w="146"/>
        <w:gridCol w:w="146"/>
        <w:gridCol w:w="211"/>
        <w:gridCol w:w="781"/>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beginning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accounting adjustments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end of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years ended December 31, 2025 and 2024, the Company recognized income tax benefit on stock-based compensation of $83.1 million and $46.2 million, respectively (tax-effected).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2025, cash paid for income taxes, net of refunds received, by jurisdiction was as follows: </w:t>
      </w:r>
    </w:p>
    <w:p>
      <w:pPr>
        <w:pStyle w:val="TextBody"/>
        <w:bidi w:val="0"/>
        <w:spacing w:before="120" w:after="283"/>
        <w:jc w:val="left"/>
        <w:rPr/>
      </w:pPr>
      <w:r>
        <w:rPr/>
        <w:t> </w:t>
      </w:r>
    </w:p>
    <w:tbl>
      <w:tblPr>
        <w:tblW w:w="4117" w:type="dxa"/>
        <w:jc w:val="left"/>
        <w:tblInd w:w="0" w:type="dxa"/>
        <w:tblLayout w:type="fixed"/>
        <w:tblCellMar>
          <w:top w:w="28" w:type="dxa"/>
          <w:left w:w="28" w:type="dxa"/>
          <w:bottom w:w="28" w:type="dxa"/>
          <w:right w:w="28" w:type="dxa"/>
        </w:tblCellMar>
      </w:tblPr>
      <w:tblGrid>
        <w:gridCol w:w="2326"/>
        <w:gridCol w:w="499"/>
        <w:gridCol w:w="1001"/>
        <w:gridCol w:w="291"/>
      </w:tblGrid>
      <w:tr>
        <w:trPr/>
        <w:tc>
          <w:tcPr>
            <w:tcW w:w="232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state and local</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Pennsylvania</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Washington</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Non-U.S.</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France</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Spain</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Canada</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worldwide taxes paid</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income tax expense as recorded in the financial statements differs from the benefit computed by applying statutory tax rates to net loss before income taxes due to permanent differences related to the deductibility of certain expenses and the valuation allowance. Due to the acquisition of Ambry during the year ended December 31, 2025, the existing valuation allowance decreased for the establishment of the deferred tax liabilities. Current income tax expense for the years ended December 31, 2025, 2024 and 2023, related to state and foreign expense was not 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the Company had federal net operating loss (“NOL”) carry forwards of $332.8 million (tax effected) and state NOL carry forwards of approximately $69.6 million (tax effected), which may be available to offset future taxable income. The federal NOLs will begin to expire in 2037 and the state NOLs will begin to expire in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had federal and state credit carry forwards of $11.6 million, which may be able to offset future tax expense. The credits will begin to expire in 2039. A full valuation allowance has been recorded against the NOL and credit carry forwards.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2025 and 2024,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Company's gross change in unrecognized tax benefits ("UTBs"), including accrued interest and penalties, for the years ended December 31, 2025, 2024 and 2023 was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178</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7617" w:type="dxa"/>
        <w:jc w:val="left"/>
        <w:tblInd w:w="0" w:type="dxa"/>
        <w:tblLayout w:type="fixed"/>
        <w:tblCellMar>
          <w:top w:w="28" w:type="dxa"/>
          <w:left w:w="28" w:type="dxa"/>
          <w:bottom w:w="28" w:type="dxa"/>
          <w:right w:w="28" w:type="dxa"/>
        </w:tblCellMar>
      </w:tblPr>
      <w:tblGrid>
        <w:gridCol w:w="4846"/>
        <w:gridCol w:w="211"/>
        <w:gridCol w:w="571"/>
        <w:gridCol w:w="146"/>
        <w:gridCol w:w="146"/>
        <w:gridCol w:w="211"/>
        <w:gridCol w:w="346"/>
        <w:gridCol w:w="146"/>
        <w:gridCol w:w="146"/>
        <w:gridCol w:w="211"/>
        <w:gridCol w:w="346"/>
        <w:gridCol w:w="291"/>
      </w:tblGrid>
      <w:tr>
        <w:trPr/>
        <w:tc>
          <w:tcPr>
            <w:tcW w:w="4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benefits—beginning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additions—current year tax positions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additions—prior year tax positions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additions—acquired in business combinations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reductions—prior year tax positions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reductions—settlements with taxing authorities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reductions—statute lapses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benefits—end of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benefits—accrued interest and penalties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unrecognized tax benefits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the $5.1 million unrecognized tax benefits as of December 31, 2025, all are recorded as a net offset to deferred income taxes in our consolidated financial statements. If recognized, none of the unrecognized tax benefits as of December 31, 2025 would impact our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interest and, if applicable, penalties for any uncertain tax positions. Interest and penalties are recorded as a component of income tax expense. In the years ended December 31, 2025, 2024 and 2023, the Company did not have any accrued interest or penalties associated with any unrecognized tax benefits.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provide for U.S. income taxes on unremitted earnings of foreign subsidiaries. Unremitted earnings of foreign subsidiaries were immaterial on December 31, 2025 and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One Big Beautiful Bill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(the “Act”) was enacted into law in the U.S. The Act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has evaluated the impact of the Act on deferred tax assets and liabilities, including adjustments to valuation allowances, and has reflected these effects in the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 AND MARKETABLE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financial instruments, including cash and cash equivalents, accounts receivable, minimum royalties, accounts payable, and accrued expenses approximate fair value due to the short maturity of these instruments. The carrying amounts of the minimum royalties approximate fair value because the interest rates used fluctuate with market interest rates or the fixed rates are based on current rates offered to the Company for debt with similar terms and maturities.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valuation methodologies used for the Company’s assets and liabilities measured at fair value and their classification in the valuation hierarchy are summarized below: </w:t>
      </w:r>
    </w:p>
    <w:p>
      <w:pPr>
        <w:pStyle w:val="TextBody"/>
        <w:bidi w:val="0"/>
        <w:spacing w:before="240" w:after="283"/>
        <w:jc w:val="left"/>
        <w:rPr>
          <w:rFonts w:ascii="Times New Roman" w:hAnsi="Times New Roman"/>
          <w:sz w:val="20"/>
        </w:rPr>
      </w:pPr>
      <w:r>
        <w:rPr>
          <w:rFonts w:ascii="Times New Roman" w:hAnsi="Times New Roman"/>
          <w:i/>
          <w:color w:val="000000"/>
          <w:sz w:val="20"/>
        </w:rPr>
        <w:t>Marketable equity securities</w:t>
      </w:r>
      <w:r>
        <w:rPr>
          <w:rFonts w:ascii="Times New Roman" w:hAnsi="Times New Roman"/>
          <w:color w:val="000000"/>
          <w:sz w:val="20"/>
        </w:rPr>
        <w:t xml:space="preserve">—The Company holds marketable equity securities, all of which are publicly traded shares of common stock, which have quoted prices in active markets and are classified as short-term. The securities are measured at fair value each reporting period. The Company classifies the marketable equity securities as Level 1 as they are valued using quoted market prices at each reporting period. </w:t>
      </w:r>
    </w:p>
    <w:p>
      <w:pPr>
        <w:pStyle w:val="TextBody"/>
        <w:bidi w:val="0"/>
        <w:spacing w:before="240" w:after="283"/>
        <w:jc w:val="left"/>
        <w:rPr>
          <w:rFonts w:ascii="Times New Roman" w:hAnsi="Times New Roman"/>
          <w:sz w:val="20"/>
        </w:rPr>
      </w:pPr>
      <w:r>
        <w:rPr>
          <w:rFonts w:ascii="Times New Roman" w:hAnsi="Times New Roman"/>
          <w:i/>
          <w:color w:val="000000"/>
          <w:sz w:val="20"/>
        </w:rPr>
        <w:t>Contingent consideration</w:t>
      </w:r>
      <w:r>
        <w:rPr>
          <w:rFonts w:ascii="Times New Roman" w:hAnsi="Times New Roman"/>
          <w:color w:val="000000"/>
          <w:sz w:val="20"/>
        </w:rPr>
        <w:t xml:space="preserve">—The Company was subject to a contingent consideration arrangement to make a cash payment in an aggregate value of $1.0 million, contingent upon Mpirik reaching a revenue target of $1.5 million for the twelve-month period ended December 31, 2023. See Note 3, Business Combinations, for further discussion of that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also subject to a contingent consideration arrangement of 35,000 additional shares of non-voting common stock in connection with the SEngine acquisition, the amount of which is determined based on the per share price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non-voting common stock in a liquidity event completed prior to December 31, 2027. The contingent consideration has an acquisition fair value date of $0.8 million. See Note 3, Business Combinations for further discussion of that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Prior to the IPO, the Company classified the contingent consideration liabilities as Level 3 due to the lack of relevant observable market data over fair value inputs such as probability-weighting of payment outcomes. Subsequent to the IPO completed in June 2024, the Company classified the contingent consideration arrangement of up to 35,000 additional shares of non-voting common stock as Level 1 as the shares are valued using a quoted market price. </w:t>
      </w:r>
    </w:p>
    <w:p>
      <w:pPr>
        <w:pStyle w:val="TextBody"/>
        <w:bidi w:val="0"/>
        <w:spacing w:before="240" w:after="283"/>
        <w:jc w:val="left"/>
        <w:rPr>
          <w:rFonts w:ascii="Times New Roman" w:hAnsi="Times New Roman"/>
          <w:sz w:val="20"/>
        </w:rPr>
      </w:pPr>
      <w:r>
        <w:rPr>
          <w:rFonts w:ascii="Times New Roman" w:hAnsi="Times New Roman"/>
          <w:i/>
          <w:color w:val="000000"/>
          <w:sz w:val="20"/>
        </w:rPr>
        <w:t>Holdback liability</w:t>
      </w:r>
      <w:r>
        <w:rPr>
          <w:rFonts w:ascii="Times New Roman" w:hAnsi="Times New Roman"/>
          <w:color w:val="000000"/>
          <w:sz w:val="20"/>
        </w:rPr>
        <w:t>—The Company held back 13,614 shares in connection with the Deep 6 acquisition and 70,792 shares in connection with the Paige acquisition. See Note 3, Business Combinations for further discussion of those acquisitions. For all holdback liabilities, the number of shares are fixed at the acquisition price as of the date of the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Holdback liabilities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classified the holdback liability as Level 1 as the shares are valued using a quoted market price.</w:t>
      </w:r>
    </w:p>
    <w:p>
      <w:pPr>
        <w:pStyle w:val="TextBody"/>
        <w:bidi w:val="0"/>
        <w:spacing w:before="240" w:after="283"/>
        <w:jc w:val="left"/>
        <w:rPr>
          <w:rFonts w:ascii="Times New Roman" w:hAnsi="Times New Roman"/>
          <w:sz w:val="20"/>
        </w:rPr>
      </w:pPr>
      <w:r>
        <w:rPr>
          <w:rFonts w:ascii="Times New Roman" w:hAnsi="Times New Roman"/>
          <w:i/>
          <w:color w:val="000000"/>
          <w:sz w:val="20"/>
        </w:rPr>
        <w:t>Warrant asset—</w:t>
      </w:r>
      <w:r>
        <w:rPr>
          <w:rFonts w:ascii="Times New Roman" w:hAnsi="Times New Roman"/>
          <w:color w:val="000000"/>
          <w:sz w:val="20"/>
        </w:rPr>
        <w:t xml:space="preserve">The Company received warrants from Personalis, which were exercised in August 2024. The warrant assets are measured at fair value each reporting period using a Black-Scholes option pricing model, which takes into consideration the price and volatility of Personalis Class A common stock. Changes in fair value are recorded in Other income, net. For the year ended December 31, 2024, the Company recognized a gain of $18.3 million in Other income, net due to the change in fair value of the warrant asset. The Company classified the warrant asset as Level 2 as they are valued using observable market prices of Personalis Class A common stock. </w:t>
      </w:r>
    </w:p>
    <w:p>
      <w:pPr>
        <w:pStyle w:val="TextBody"/>
        <w:bidi w:val="0"/>
        <w:spacing w:before="240" w:after="283"/>
        <w:jc w:val="left"/>
        <w:rPr>
          <w:rFonts w:ascii="Times New Roman" w:hAnsi="Times New Roman"/>
          <w:sz w:val="20"/>
        </w:rPr>
      </w:pPr>
      <w:r>
        <w:rPr>
          <w:rFonts w:ascii="Times New Roman" w:hAnsi="Times New Roman"/>
          <w:i/>
          <w:color w:val="000000"/>
          <w:sz w:val="20"/>
        </w:rPr>
        <w:t>Warrant liability</w:t>
      </w:r>
      <w:r>
        <w:rPr>
          <w:rFonts w:ascii="Times New Roman" w:hAnsi="Times New Roman"/>
          <w:color w:val="000000"/>
          <w:sz w:val="20"/>
        </w:rPr>
        <w:t>—As discussed in Note 9, the Company issued a $100 million warrant to AstraZeneca. The warrant liability is measured at fair value each reporting period, using a Black-Scholes option pricing model. The Company classified the warrant liability as Level 3 due to the lack of relevant observable market data over fair value inputs such as the expected term. The warrant was terminated for no consideration on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Credit Facilities, the Second Amended Note, and the Notes were not recorded at fair value. The fair values of the Credit Facilities, the Second Amended Note, and the Notes approximated their carrying values as of December 31, 2025 and 2024 . Estimates of the fair values of the Credit Facilities, the Second Amended Note, and the Notes are classified as Level 3 due to the lack of relevant observable market data over fair value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summarize assets and liabilities that are measured at fair value on a recurring basis as of December 31, 2025 and 2024 (in thousands): </w:t>
      </w:r>
    </w:p>
    <w:p>
      <w:pPr>
        <w:pStyle w:val="TextBody"/>
        <w:bidi w:val="0"/>
        <w:jc w:val="left"/>
        <w:rPr/>
      </w:pPr>
      <w:r>
        <w:rPr/>
        <w:t> </w:t>
      </w:r>
    </w:p>
    <w:tbl>
      <w:tblPr>
        <w:tblW w:w="9162" w:type="dxa"/>
        <w:jc w:val="left"/>
        <w:tblInd w:w="0" w:type="dxa"/>
        <w:tblLayout w:type="fixed"/>
        <w:tblCellMar>
          <w:top w:w="28" w:type="dxa"/>
          <w:left w:w="28" w:type="dxa"/>
          <w:bottom w:w="28" w:type="dxa"/>
          <w:right w:w="28" w:type="dxa"/>
        </w:tblCellMar>
      </w:tblPr>
      <w:tblGrid>
        <w:gridCol w:w="2631"/>
        <w:gridCol w:w="146"/>
        <w:gridCol w:w="319"/>
        <w:gridCol w:w="1181"/>
        <w:gridCol w:w="146"/>
        <w:gridCol w:w="146"/>
        <w:gridCol w:w="291"/>
        <w:gridCol w:w="1080"/>
        <w:gridCol w:w="201"/>
        <w:gridCol w:w="201"/>
        <w:gridCol w:w="352"/>
        <w:gridCol w:w="579"/>
        <w:gridCol w:w="201"/>
        <w:gridCol w:w="201"/>
        <w:gridCol w:w="415"/>
        <w:gridCol w:w="681"/>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w:t>
              <w:br/>
              <w:t>in Active</w:t>
              <w:br/>
              <w:t>Market for</w:t>
              <w:br/>
              <w:t>Identical</w:t>
              <w:br/>
              <w:t>Assets</w:t>
              <w:br/>
              <w:t>(Level 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9162" w:type="dxa"/>
        <w:jc w:val="left"/>
        <w:tblInd w:w="0" w:type="dxa"/>
        <w:tblLayout w:type="fixed"/>
        <w:tblCellMar>
          <w:top w:w="28" w:type="dxa"/>
          <w:left w:w="28" w:type="dxa"/>
          <w:bottom w:w="28" w:type="dxa"/>
          <w:right w:w="28" w:type="dxa"/>
        </w:tblCellMar>
      </w:tblPr>
      <w:tblGrid>
        <w:gridCol w:w="2631"/>
        <w:gridCol w:w="146"/>
        <w:gridCol w:w="319"/>
        <w:gridCol w:w="1181"/>
        <w:gridCol w:w="146"/>
        <w:gridCol w:w="146"/>
        <w:gridCol w:w="291"/>
        <w:gridCol w:w="1080"/>
        <w:gridCol w:w="201"/>
        <w:gridCol w:w="201"/>
        <w:gridCol w:w="352"/>
        <w:gridCol w:w="579"/>
        <w:gridCol w:w="201"/>
        <w:gridCol w:w="201"/>
        <w:gridCol w:w="415"/>
        <w:gridCol w:w="681"/>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w:t>
              <w:br/>
              <w:t>in Active</w:t>
              <w:br/>
              <w:t>Market for</w:t>
              <w:br/>
              <w:t>Identical</w:t>
              <w:br/>
              <w:t>Assets</w:t>
              <w:br/>
              <w:t>(Level 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 ended December 31, 2025, the Company did not recognize any gain or loss due to a change in fair value for assets and liabilities measured at fair value using significant unobservable inputs (Level 3). For the year ended December 31, 2024, the Company recognized a loss of $42.4 million in Other income, net due to the change in fair value of the warrant liability determined by Level 3 valuation techniques. For the year ended December 31, 2023, the Company recognized a gain of $0.4 million in Selling, general and administrative expense due to the change in fair value of contingent consideration and gains of $8.0 million due to changes in fair value of the warrant liability determined by Level 3 valuation techniques.</w:t>
      </w:r>
    </w:p>
    <w:p>
      <w:pPr>
        <w:pStyle w:val="TextBody"/>
        <w:bidi w:val="0"/>
        <w:spacing w:before="360" w:after="283"/>
        <w:jc w:val="left"/>
        <w:rPr>
          <w:rFonts w:ascii="Times New Roman" w:hAnsi="Times New Roman"/>
          <w:sz w:val="20"/>
        </w:rPr>
      </w:pPr>
      <w:r>
        <w:rPr>
          <w:rFonts w:ascii="Times New Roman" w:hAnsi="Times New Roman"/>
          <w:b/>
          <w:color w:val="000000"/>
          <w:sz w:val="20"/>
        </w:rPr>
        <w:t>Marketable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holds marketable equity securities, which are all publicly traded shares of Recursion Pharmaceuticals, Inc. ("Recursion") Class A common stock and Personalis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received $32.0 million and $22.0 million in Recursion shares of Class A common stock as payment of accounts receivable during the years ended December 31, 2025 and 2024. During the year ended December 31, 2025, the Company sold 737,466 shares of Recursion Class A common stock at a weighted average price of $11.28 per share for aggregate proceeds of $8.3 million. During the year ended December 31, 2024, the Company sold 1,725,902 shares of Recursion Class A common stock at a weighted average price of $13.38 for aggregate proceeds of $23.1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consideration for the Company's obligations to Personalis under the Commercialization and Reference Laboratory Agreement entered into with Personalis in November 2023, Personalis issued warrants to the Company to purchase up to an aggregate of 9,218,800 shares of Personalis' common stock, up to 4,609,400 of which were exercisable for cash at any time prior to December 31, 2024 at an exercise price of $1.50 per share, and up to 4,609,400 of which were exercisable for cash at any time prior to December 31, 2025 at an exercise price of $2.50 per share. In August 2024, the Company exercised the warrants in full at their respective exercise prices for an aggregate of 9,218,800 shares of Personalis common stock at an aggregate purchase price of $18.4 million. Concurrently, the Company entered into an Investment Agreement with Personalis, pursuant to which the Company purchased an additional 3,500,000 shares of Personalis common stock for $17.7 million. Additionally, during the year ended December 31, 2025, the Company purchased 320,267 shares of Personalis common stock at a weighted average price of $8.55 per share for an aggregate cost of $2.7 million. The Company owns less than 20% of Personalis' outstanding common stock and has no significant influence or control over Personalis.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fair value of marketable equity securities are recorded in earnings within Other income, net on the consolidated statement of operations and comprehensive loss. The following summarizes the portion of unrealized gains recorded during the years ended December 31, 2025, 2024 and 2023 that relate to marketable equity securities held as of December 31, 2025, 2024 and 2023, respectively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08"/>
        <w:gridCol w:w="346"/>
        <w:gridCol w:w="211"/>
        <w:gridCol w:w="736"/>
        <w:gridCol w:w="166"/>
        <w:gridCol w:w="146"/>
        <w:gridCol w:w="211"/>
        <w:gridCol w:w="736"/>
        <w:gridCol w:w="166"/>
        <w:gridCol w:w="146"/>
        <w:gridCol w:w="211"/>
        <w:gridCol w:w="631"/>
        <w:gridCol w:w="391"/>
      </w:tblGrid>
      <w:tr>
        <w:trPr/>
        <w:tc>
          <w:tcPr>
            <w:tcW w:w="61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during the period on marketable equity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gain recognized during the period on marketable equity securities sold during the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recognized during the period on marketable equity securities still held at the reporting date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RELATED PARTIES </w:t>
      </w:r>
    </w:p>
    <w:p>
      <w:pPr>
        <w:pStyle w:val="TextBody"/>
        <w:bidi w:val="0"/>
        <w:spacing w:before="120" w:after="283"/>
        <w:jc w:val="left"/>
        <w:rPr>
          <w:rFonts w:ascii="Times New Roman" w:hAnsi="Times New Roman"/>
          <w:sz w:val="20"/>
        </w:rPr>
      </w:pPr>
      <w:r>
        <w:rPr>
          <w:rFonts w:ascii="Times New Roman" w:hAnsi="Times New Roman"/>
          <w:i/>
          <w:color w:val="000000"/>
          <w:sz w:val="20"/>
        </w:rPr>
        <w:t>Strategic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Founder and Chief Executive Officer is a co-founder and serves as Executive Chairman of the board of Pathos AI, Inc. ("Pathos"). On August 19, 2021, the Company entered into a Master Agreement with Pathos, which was subsequently amended on February 12, 2024 (as amended, the "Amended and Restated Master Agreement"), for the purpose of furthering the commercialization efforts of drug development. In connection therewith, the Company received a warrant to purchase 23,456,790 shares, or approximately 15% of the then current outstanding equity in Pathos, for $0.0125 per share. The warrant will automatically exercise upon a change of control (as defined therein) or upon an IPO of Pathos’ securities. The Company also has an optional exercise election window during the last 10 days of the 20 year term of the warrant agreement. The Amended and Restated Master Agreement provides for an initial term of five years, measured from February 2024, with a subsequent five-year renewal provision unless the agreement is terminated. Either party may terminate the agreement after the initial five-year term by prior written notice to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17, 2025, the Company entered into an Order Form (the "Order Form") regarding both the development of a foundation large multimodal model in the field of oncology (the “Foundation Model”) and the licensing of certain de-identified multi-modal data to assist in the development of the Foundation Model, with Pathos under the Amended and Restated Master Agreement (the Amended and Restated Master Agreement and the Order Form collectively referred to herein as the “Pathos Master Agreement”). Pursuant to the Pathos Master Agreement, (i) Pathos will be responsible for Foundation Model development activities under the Statement of Work with AstraZeneca under the Master Services Agreement, dated November 17, 2021 between the Company and AstraZeneca, as amended form time to time (the Master Services Agreement and the Statement of Work are collectively referred to herein as the “MSA”), (ii) the Company will license Pathos a comprehensive de-identified multi-modal dataset for the sole purpose of assisting in the development and training of the Foundation Model under the MSA, (iii) Pathos will pay the Company data license fees of $200 million over a three-year period, including an upfront payment of $50 million paid as of April 2025, (iv) the Company will provide a secure cloud environment to host the Foundation Model, for which Pathos will pay the Company the first $60 million of cloud compute costs, (v) the Company will receive a license to use the Foundation Model upon its completion (with certain field restrictions and the right of sublicense to AstraZeneca), and (vi) in consideration of Pathos’ commitments under the Pathos Master Agreement, the Company will pay Pathos $35 million, of which $25 million has been paid to date. Pathos, in its sole discretion, may pay up to 50% of the data license fees owed to the Company in shares of Pathos’ Series D Preferred Stock.</w:t>
      </w:r>
    </w:p>
    <w:p>
      <w:pPr>
        <w:pStyle w:val="TextBody"/>
        <w:bidi w:val="0"/>
        <w:spacing w:before="360" w:after="283"/>
        <w:jc w:val="left"/>
        <w:rPr>
          <w:rFonts w:ascii="Times New Roman" w:hAnsi="Times New Roman"/>
          <w:sz w:val="20"/>
        </w:rPr>
      </w:pPr>
      <w:r>
        <w:rPr>
          <w:rFonts w:ascii="Times New Roman" w:hAnsi="Times New Roman"/>
          <w:i/>
          <w:color w:val="000000"/>
          <w:sz w:val="20"/>
        </w:rPr>
        <w:t>Consulting Arrangement and Equity Grant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16, 2026, the Company entered into an Independent Contractor Agreement (the “Huerga Contractor Agreement”) with Iker Huerga, Chief Executive Officer of Pathos, pursuant to which Mr. Huerga agreed to assist the Company in negotiating, managing, and expanding a new commercial agreement (the "Commercial Agreement"). Compensation under the Huerga Contractor Agreement consists solely of RSUs and PSUs. Mr. Huerga will earn 25,000 RSUS for services rendered in 2025 and expected to be rendered in 2026. Mr. Huerga has the potential to earn an additional 175,000 PSUs based on milestones that include certain minimum purchase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various agreements with our related parties, which primarily encompasses the development of the Foundation Model, access to the Company's Lens product, sequencing, clinical research organization and other data services. The Company has recognized $65.3 million, $4.5 million and $0.7 million of revenue from related parties for the years ended December 31, 2025, 2024 and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there was no amount due to related parties. As of December 31, 2025 and 2024 the amount due from related parties was $6.4 million and $4.3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related party asset and related party asset, less current portion were $8.8 million and $16.2 million, respectively. As of December 31, 2024, the related party asset and related party asset, less current portion were both $0. The related party asset represents future services to be provided by Pathos under the Pathos Master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deferred revenue and deferred revenue, less current portion includes $3.9 million and $0 million of related party deferred revenue, respectively. As of December 31, 2024, there was no related party deferred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bookmarkStart w:id="23" w:name="changes_in_and_disagreements_with_acc"/>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4" w:name="controls_and_procedures"/>
      <w:bookmarkEnd w:id="24"/>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these disclosure controls and procedures were effective at a reasonable assurance level as of December 31, 2025.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identified in connection with the evaluation required by Rules 13a-15(d) and 15d-15(d) of the Exchange Act that occurred during the quarter ended December 31, 2025, that has materially affected, or is reasonably likely to materially affect, our internal control over financial reporting.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 13a-15(f) under the Exchange Act. Under the supervision and with the participation of our management, including our Chief Executive Officer and Chief Financial Officer, we conducted an assessment of the effectiveness of our internal control over financial reporting based on the framework in "Internal Control Integrated Framework" (2013) issued by the Committee of Sponsoring Organizations of the Treadway Commission (COSO).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results of our assessment, our management concluded that our internal control over financial reporting was effective as of December 31, 2025. Management excluded Ambry Genetics Corporation, or Ambry, and Paige.AI, Inc. or Paige, from our evaluation of internal control over financial reporting as of December 31, 2025. This exclusion is in accordance with the SEC’s general guidance that an assessment of a recently acquired business may be omitted from the scope of our evaluation in the year of acquisition. Ambry and Paige are wholly-owned subsidiaries whose total assets and total revenues excluded from management's assessment of internal control over financial reporting collectively represent approximately 11% and 29%, respectively, of the related consolidated financial statement amounts as of and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2025, has been audited by PricewaterhouseCoopers LLP, an independent registered public accounting firm, as stated in their report included in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bookmarkStart w:id="25" w:name="other_information"/>
      <w:bookmarkEnd w:id="25"/>
      <w:r>
        <w:rPr>
          <w:rFonts w:ascii="Times New Roman" w:hAnsi="Times New Roman"/>
          <w:b/>
          <w:color w:val="000000"/>
          <w:sz w:val="20"/>
        </w:rPr>
        <w:t>Item 9B. Other Information.</w:t>
      </w:r>
    </w:p>
    <w:p>
      <w:pPr>
        <w:pStyle w:val="TextBody"/>
        <w:bidi w:val="0"/>
        <w:spacing w:before="120" w:after="283"/>
        <w:jc w:val="left"/>
        <w:rPr>
          <w:rFonts w:ascii="Times New Roman" w:hAnsi="Times New Roman"/>
          <w:sz w:val="20"/>
        </w:rPr>
      </w:pPr>
      <w:r>
        <w:rPr>
          <w:rFonts w:ascii="Times New Roman" w:hAnsi="Times New Roman"/>
          <w:b/>
          <w:i/>
          <w:color w:val="000000"/>
          <w:sz w:val="20"/>
        </w:rPr>
        <w:t>Disclosure of Trading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fiscal quarter ended December 31, 2025, none of our directors or officers (as defined in Rule 16a-1(f) under the Exchange Act) adopted or terminated a “Rule 10b5-1 trading arrangement” or a “non-Rule 10b5-1 trading arrangement,” as each term is defined in Item 408 of Regulation S-K, except as set forth in the table below. </w:t>
      </w:r>
    </w:p>
    <w:p>
      <w:pPr>
        <w:pStyle w:val="TextBody"/>
        <w:bidi w:val="0"/>
        <w:jc w:val="left"/>
        <w:rPr/>
      </w:pPr>
      <w:r>
        <w:rPr/>
        <w:t> </w:t>
      </w:r>
    </w:p>
    <w:tbl>
      <w:tblPr>
        <w:tblW w:w="9343" w:type="dxa"/>
        <w:jc w:val="left"/>
        <w:tblInd w:w="0" w:type="dxa"/>
        <w:tblLayout w:type="fixed"/>
        <w:tblCellMar>
          <w:top w:w="28" w:type="dxa"/>
          <w:left w:w="28" w:type="dxa"/>
          <w:bottom w:w="28" w:type="dxa"/>
          <w:right w:w="28" w:type="dxa"/>
        </w:tblCellMar>
      </w:tblPr>
      <w:tblGrid>
        <w:gridCol w:w="1891"/>
        <w:gridCol w:w="146"/>
        <w:gridCol w:w="781"/>
        <w:gridCol w:w="146"/>
        <w:gridCol w:w="1531"/>
        <w:gridCol w:w="146"/>
        <w:gridCol w:w="751"/>
        <w:gridCol w:w="146"/>
        <w:gridCol w:w="841"/>
        <w:gridCol w:w="146"/>
        <w:gridCol w:w="1306"/>
        <w:gridCol w:w="146"/>
        <w:gridCol w:w="1366"/>
      </w:tblGrid>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3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Type of Trading</w:t>
            </w:r>
            <w:r>
              <w:rPr>
                <w:rFonts w:ascii="Times New Roman" w:hAnsi="Times New Roman"/>
                <w:color w:val="000000"/>
                <w:sz w:val="16"/>
              </w:rPr>
              <w:br/>
            </w:r>
            <w:r>
              <w:rPr>
                <w:rFonts w:ascii="Times New Roman" w:hAnsi="Times New Roman"/>
                <w:b/>
                <w:color w:val="000000"/>
                <w:sz w:val="16"/>
              </w:rPr>
              <w:t>Arrangement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Position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Action</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Date</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Rule</w:t>
              <w:br/>
              <w:t>10b5-1*</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Non-Rule</w:t>
              <w:br/>
              <w:t>10b5-1**</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Shares of</w:t>
              <w:br/>
              <w:t>Class A common</w:t>
              <w:br/>
              <w:t>stock to be Sold</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Expiration Date</w:t>
            </w:r>
            <w:r>
              <w:rPr>
                <w:rFonts w:ascii="Times New Roman" w:hAnsi="Times New Roman"/>
                <w:color w:val="000000"/>
                <w:sz w:val="16"/>
              </w:rPr>
              <w:t xml:space="preserve"> </w:t>
            </w:r>
          </w:p>
        </w:tc>
      </w:tr>
      <w:tr>
        <w:trPr/>
        <w:tc>
          <w:tcPr>
            <w:tcW w:w="1891"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Eric D. Belcher, Director</w:t>
            </w:r>
          </w:p>
        </w:tc>
        <w:tc>
          <w:tcPr>
            <w:tcW w:w="146" w:type="dxa"/>
            <w:tcBorders/>
            <w:shd w:fill="CFF0FA" w:val="clear"/>
            <w:tcMar>
              <w:top w:w="0" w:type="dxa"/>
              <w:left w:w="0" w:type="dxa"/>
              <w:bottom w:w="0" w:type="dxa"/>
              <w:right w:w="0" w:type="dxa"/>
            </w:tcMar>
            <w:vAlign w:val="center"/>
          </w:tcPr>
          <w:p>
            <w:pPr>
              <w:pStyle w:val="TableContents"/>
              <w:bidi w:val="0"/>
              <w:spacing w:before="0" w:after="20"/>
              <w:jc w:val="right"/>
              <w:rPr/>
            </w:pPr>
            <w:r>
              <w:rPr/>
              <w:t> </w:t>
            </w:r>
          </w:p>
        </w:tc>
        <w:tc>
          <w:tcPr>
            <w:tcW w:w="781" w:type="dxa"/>
            <w:tcBorders/>
            <w:shd w:fill="CFF0FA" w:val="clear"/>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18"/>
              </w:rPr>
            </w:pPr>
            <w:r>
              <w:rPr>
                <w:rFonts w:ascii="Times New Roman" w:hAnsi="Times New Roman"/>
                <w:color w:val="000000"/>
                <w:sz w:val="18"/>
              </w:rPr>
              <w:t>Adoption</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10, 2025</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Up to 14,033</w:t>
            </w:r>
            <w:r>
              <w:rPr>
                <w:rFonts w:ascii="Times New Roman" w:hAnsi="Times New Roman"/>
                <w:color w:val="000000"/>
                <w:sz w:val="12"/>
              </w:rPr>
              <w:t>(1)</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15, 2027</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Contract, instruction or written plan intended to satisfy the affirmative defense conditions of Rule 10b5-1(c) under the Exchange Act. </w:t>
      </w:r>
    </w:p>
    <w:p>
      <w:pPr>
        <w:pStyle w:val="TextBody"/>
        <w:bidi w:val="0"/>
        <w:jc w:val="left"/>
        <w:rPr>
          <w:rFonts w:ascii="Times New Roman" w:hAnsi="Times New Roman"/>
          <w:color w:val="000000"/>
          <w:sz w:val="20"/>
        </w:rPr>
      </w:pPr>
      <w:r>
        <w:rPr>
          <w:rFonts w:ascii="Times New Roman" w:hAnsi="Times New Roman"/>
          <w:color w:val="000000"/>
          <w:sz w:val="20"/>
        </w:rPr>
        <w:t xml:space="preserve">** “Non-Rule 10b5-1 trading arrangement” as defined in Item 408(c) of Regulation S-K under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Represents the adoption of a Rule 10b5-1 trading plan by Nob Hill Ventures LLC, an entity controlled by Mr. Belcher.</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20, 2026, our Board of Directors appointed Ryan Fukushima, currently our Chief Operating Officer, to serve as Chief Executive Officer, Data. Also on February 20, 2026, our Board of Directors appointed Tom Schoenherr to serve as Chief Executive Officer, Diagnostics.</w:t>
      </w:r>
    </w:p>
    <w:p>
      <w:pPr>
        <w:pStyle w:val="TextBody"/>
        <w:bidi w:val="0"/>
        <w:spacing w:before="360" w:after="283"/>
        <w:jc w:val="left"/>
        <w:rPr>
          <w:rFonts w:ascii="Times New Roman" w:hAnsi="Times New Roman"/>
          <w:b/>
          <w:color w:val="000000"/>
          <w:sz w:val="20"/>
        </w:rPr>
      </w:pPr>
      <w:bookmarkStart w:id="26" w:name="disclosure_regarding_foreign_jurisdictio"/>
      <w:bookmarkEnd w:id="26"/>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27" w:name="directors_executive_officers_and_corpor"/>
      <w:bookmarkEnd w:id="27"/>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10 of Form 10-K will be included in our 2026 Proxy Statement to be filed with the SEC in connection with the solicitation of proxies for our 2026 Annual Meeting of Stockholders and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Code of Business Conduct that applies to all of our employees, officers and directors, including our principal executive officer, principal financial officer, principal accounting officer or controller or persons performing similar functions. The Code of Business Conduct is publicly available on our website at investors.tempus.com. This website address is intended to be an inactive, textual reference only; none of the material on this website is part of this Annual Report on Form 10-K. We intend to promptly disclose on our website or in a Current Report on Form 8-K in the future (i) the date and nature of any amendment (other than technical, administrative or other non-substantive amendments) to the Code of Business Conduct that applies to our principal executive officer, principal financial officer, principal accounting officer or controller or persons performing similar functions, or our directors and relates to any element of the code of ethics definition enumerated in Item 406(b) of Regulation S-K and (ii) the nature of any waiver, including an implicit waiver, from a provision of the Code of Business Conduct that is granted to one of these specified individuals that relates to one or more of the elements of the code of ethics definition enumerated in Item 406(b) of Regulation S-K, the name of such person who is granted the waiver and the date of the waiver.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 Insider Trading Policy governing the purchase, sale and/or other dispositions of our securities by our directors, officers and employees. A copy of the Insider Trading Policy is filed as an exhibit to this Annual Report on Form 10-K. In addition, it is our practice to comply with the applicable laws and regulations relating to insider trading.</w:t>
      </w:r>
    </w:p>
    <w:p>
      <w:pPr>
        <w:pStyle w:val="TextBody"/>
        <w:bidi w:val="0"/>
        <w:spacing w:before="360" w:after="283"/>
        <w:jc w:val="left"/>
        <w:rPr>
          <w:rFonts w:ascii="Times New Roman" w:hAnsi="Times New Roman"/>
          <w:b/>
          <w:color w:val="000000"/>
          <w:sz w:val="20"/>
        </w:rPr>
      </w:pPr>
      <w:bookmarkStart w:id="28" w:name="executive_compensation"/>
      <w:bookmarkEnd w:id="28"/>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11 of Form 10-K will be included in our 2026 Proxy Statement and is incorporated herein by reference.</w:t>
      </w:r>
    </w:p>
    <w:p>
      <w:pPr>
        <w:pStyle w:val="TextBody"/>
        <w:bidi w:val="0"/>
        <w:spacing w:before="360" w:after="283"/>
        <w:jc w:val="left"/>
        <w:rPr>
          <w:rFonts w:ascii="Times New Roman" w:hAnsi="Times New Roman"/>
          <w:b/>
          <w:color w:val="000000"/>
          <w:sz w:val="20"/>
        </w:rPr>
      </w:pPr>
      <w:bookmarkStart w:id="29" w:name="security_ownership_of_certain_beneficia"/>
      <w:bookmarkEnd w:id="29"/>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12 of Form 10-K will be included in our 2026 Proxy Statement and is incorporated herein by reference.</w:t>
      </w:r>
    </w:p>
    <w:p>
      <w:pPr>
        <w:pStyle w:val="TextBody"/>
        <w:bidi w:val="0"/>
        <w:spacing w:before="360" w:after="283"/>
        <w:jc w:val="left"/>
        <w:rPr>
          <w:rFonts w:ascii="Times New Roman" w:hAnsi="Times New Roman"/>
          <w:b/>
          <w:color w:val="000000"/>
          <w:sz w:val="20"/>
        </w:rPr>
      </w:pPr>
      <w:bookmarkStart w:id="30" w:name="certain_relationships_and_related_tran"/>
      <w:bookmarkEnd w:id="30"/>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13 of Form 10-K will be included in our 2026 Proxy Statement and is incorporated herein by reference.</w:t>
      </w:r>
    </w:p>
    <w:p>
      <w:pPr>
        <w:pStyle w:val="TextBody"/>
        <w:bidi w:val="0"/>
        <w:spacing w:before="360" w:after="283"/>
        <w:jc w:val="left"/>
        <w:rPr>
          <w:rFonts w:ascii="Times New Roman" w:hAnsi="Times New Roman"/>
          <w:sz w:val="20"/>
        </w:rPr>
      </w:pPr>
      <w:bookmarkStart w:id="31" w:name="principal_accounting_fees_and_services"/>
      <w:bookmarkEnd w:id="31"/>
      <w:r>
        <w:rPr>
          <w:rFonts w:ascii="Times New Roman" w:hAnsi="Times New Roman"/>
          <w:b/>
          <w:color w:val="000000"/>
          <w:sz w:val="20"/>
        </w:rPr>
        <w:t>Item 14. Principal Accounting Fees and</w:t>
      </w:r>
      <w:r>
        <w:rPr>
          <w:rFonts w:ascii="Times New Roman" w:hAnsi="Times New Roman"/>
          <w:color w:val="000000"/>
          <w:sz w:val="20"/>
        </w:rPr>
        <w:t xml:space="preserve"> </w:t>
      </w:r>
      <w:r>
        <w:rPr>
          <w:rFonts w:ascii="Times New Roman" w:hAnsi="Times New Roman"/>
          <w:b/>
          <w:color w:val="000000"/>
          <w:sz w:val="20"/>
        </w:rPr>
        <w:t>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14 of Form 10-K will be included in our 2026 Proxy Statement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32" w:name="exhibits_financial_statement_schedules"/>
      <w:bookmarkEnd w:id="32"/>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documents are filed as part of this Annual Report on Form 10-K: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are listed in the “Index to Consolidated Financial Statements” under Part II, Item 8 of this Annual Report on Form 10-K.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financial statement schedules have been omitted because they are not applicable, not material, or the required information is shown in Part II, Item 8 of this Annual Report on Form 10-K.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exhibits listed below are filed as part of this Annual Report on Form 10-K, or are incorporated herein by reference, in each case as indicated below:</w:t>
      </w:r>
    </w:p>
    <w:tbl>
      <w:tblPr>
        <w:tblW w:w="10205" w:type="dxa"/>
        <w:jc w:val="left"/>
        <w:tblInd w:w="0" w:type="dxa"/>
        <w:tblLayout w:type="fixed"/>
        <w:tblCellMar>
          <w:top w:w="28" w:type="dxa"/>
          <w:left w:w="28" w:type="dxa"/>
          <w:bottom w:w="28" w:type="dxa"/>
          <w:right w:w="28" w:type="dxa"/>
        </w:tblCellMar>
      </w:tblPr>
      <w:tblGrid>
        <w:gridCol w:w="706"/>
        <w:gridCol w:w="146"/>
        <w:gridCol w:w="5478"/>
        <w:gridCol w:w="146"/>
        <w:gridCol w:w="533"/>
        <w:gridCol w:w="146"/>
        <w:gridCol w:w="874"/>
        <w:gridCol w:w="146"/>
        <w:gridCol w:w="647"/>
        <w:gridCol w:w="146"/>
        <w:gridCol w:w="123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7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Incorporated by Reference</w:t>
            </w:r>
            <w:r>
              <w:rPr>
                <w:rFonts w:ascii="Times New Roman" w:hAnsi="Times New Roman"/>
                <w:color w:val="000000"/>
                <w:sz w:val="16"/>
              </w:rPr>
              <w:t xml:space="preserve"> </w:t>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7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 Date</w:t>
            </w:r>
            <w:r>
              <w:rPr>
                <w:rFonts w:ascii="Times New Roman" w:hAnsi="Times New Roman"/>
                <w:color w:val="000000"/>
                <w:sz w:val="16"/>
              </w:rPr>
              <w:t xml:space="preserve">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Amended and Restated Articles of Incorporation of the Registrant.</w:t>
              </w:r>
            </w:hyperlink>
            <w:hyperlink r:id="rId20">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4, 2025</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Amended and Restated Bylaws of the Registrant.</w:t>
              </w:r>
            </w:hyperlink>
            <w:hyperlink r:id="rId22">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2025</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Specimen Class A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August 8, 2025</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Description of Registrant’s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center"/>
              <w:rPr>
                <w:color w:val="231F20"/>
              </w:rPr>
            </w:pPr>
            <w:r>
              <w:rPr>
                <w:color w:val="231F20"/>
              </w:rPr>
              <w:t> </w:t>
            </w:r>
            <w:r>
              <w:rPr>
                <w:rFonts w:ascii="Times New Roman" w:hAnsi="Times New Roman"/>
                <w:color w:val="231F2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001-42130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center"/>
              <w:rPr>
                <w:color w:val="231F20"/>
              </w:rPr>
            </w:pPr>
            <w:r>
              <w:rPr>
                <w:color w:val="231F20"/>
              </w:rPr>
              <w:t> </w:t>
            </w:r>
            <w:r>
              <w:rPr>
                <w:rFonts w:ascii="Times New Roman" w:hAnsi="Times New Roman"/>
                <w:color w:val="231F2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 xml:space="preserve">August 8, 2025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Indenture, dated as of July 3, 2025, by and between Tempus AI, Inc. and U.S. Bank Trust Company, National Association,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3, 2025</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Global Note, representing Tempus AI, Inc.’s 0.75% Convertible Senior Notes due 2030 (included as Exhibit A to the Indenture filed as Exhibit 4.1).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3, 2025</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First Supplemental Indenture, dated as of August 7, 2025, by and between Tempus AI, Inc. and U.S. Bank Trust Company, National Association,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2025</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tcBorders/>
            <w:tcMar>
              <w:top w:w="0" w:type="dxa"/>
              <w:left w:w="0" w:type="dxa"/>
              <w:bottom w:w="0" w:type="dxa"/>
              <w:right w:w="0" w:type="dxa"/>
            </w:tcMar>
            <w:vAlign w:val="center"/>
          </w:tcPr>
          <w:p>
            <w:pPr>
              <w:pStyle w:val="TableContents"/>
              <w:bidi w:val="0"/>
              <w:jc w:val="left"/>
              <w:rPr/>
            </w:pPr>
            <w:hyperlink r:id="rId28">
              <w:r>
                <w:rPr>
                  <w:rStyle w:val="InternetLink"/>
                  <w:rFonts w:ascii="Times New Roman" w:hAnsi="Times New Roman"/>
                  <w:color w:val="0000FF"/>
                  <w:sz w:val="20"/>
                  <w:u w:val="single"/>
                </w:rPr>
                <w:t>Twelfth Amended and Restated Investor Rights</w:t>
              </w:r>
            </w:hyperlink>
          </w:p>
          <w:p>
            <w:pPr>
              <w:pStyle w:val="TableContents"/>
              <w:bidi w:val="0"/>
              <w:spacing w:before="0" w:after="283"/>
              <w:jc w:val="left"/>
              <w:rPr/>
            </w:pPr>
            <w:hyperlink r:id="rId29">
              <w:r>
                <w:rPr>
                  <w:rStyle w:val="InternetLink"/>
                  <w:rFonts w:ascii="Times New Roman" w:hAnsi="Times New Roman"/>
                  <w:color w:val="0000FF"/>
                  <w:sz w:val="20"/>
                  <w:u w:val="single"/>
                </w:rPr>
                <w:t>Agreement, dated April 30,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tcBorders/>
            <w:tcMar>
              <w:top w:w="0" w:type="dxa"/>
              <w:left w:w="0" w:type="dxa"/>
              <w:bottom w:w="0" w:type="dxa"/>
              <w:right w:w="0" w:type="dxa"/>
            </w:tcMar>
            <w:vAlign w:val="center"/>
          </w:tcPr>
          <w:p>
            <w:pPr>
              <w:pStyle w:val="TableContents"/>
              <w:bidi w:val="0"/>
              <w:jc w:val="left"/>
              <w:rPr/>
            </w:pPr>
            <w:hyperlink r:id="rId30">
              <w:r>
                <w:rPr>
                  <w:rStyle w:val="InternetLink"/>
                  <w:rFonts w:ascii="Times New Roman" w:hAnsi="Times New Roman"/>
                  <w:color w:val="0000FF"/>
                  <w:sz w:val="20"/>
                  <w:u w:val="single"/>
                </w:rPr>
                <w:t>The Registrant’s Third Amended and Restated</w:t>
              </w:r>
            </w:hyperlink>
          </w:p>
          <w:p>
            <w:pPr>
              <w:pStyle w:val="TableContents"/>
              <w:bidi w:val="0"/>
              <w:spacing w:before="0" w:after="283"/>
              <w:jc w:val="left"/>
              <w:rPr/>
            </w:pPr>
            <w:hyperlink r:id="rId31">
              <w:r>
                <w:rPr>
                  <w:rStyle w:val="InternetLink"/>
                  <w:rFonts w:ascii="Times New Roman" w:hAnsi="Times New Roman"/>
                  <w:color w:val="0000FF"/>
                  <w:sz w:val="20"/>
                  <w:u w:val="single"/>
                </w:rPr>
                <w:t>2015 Stock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Forms of Grant Notices and Award Agreements under the Registrant’s Third Amended and Restated 2015 Stock Plan, as amended</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The Registrant’s 2024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tcBorders/>
            <w:tcMar>
              <w:top w:w="0" w:type="dxa"/>
              <w:left w:w="0" w:type="dxa"/>
              <w:bottom w:w="0" w:type="dxa"/>
              <w:right w:w="0" w:type="dxa"/>
            </w:tcMar>
            <w:vAlign w:val="center"/>
          </w:tcPr>
          <w:p>
            <w:pPr>
              <w:pStyle w:val="TableContents"/>
              <w:bidi w:val="0"/>
              <w:jc w:val="left"/>
              <w:rPr/>
            </w:pPr>
            <w:hyperlink r:id="rId34">
              <w:r>
                <w:rPr>
                  <w:rStyle w:val="InternetLink"/>
                  <w:rFonts w:ascii="Times New Roman" w:hAnsi="Times New Roman"/>
                  <w:color w:val="0000FF"/>
                  <w:sz w:val="20"/>
                  <w:u w:val="single"/>
                </w:rPr>
                <w:t>Forms of Grant Notice, Stock Option Agreement and Notice of Exercise under the Registrant’s</w:t>
              </w:r>
            </w:hyperlink>
          </w:p>
          <w:p>
            <w:pPr>
              <w:pStyle w:val="TableContents"/>
              <w:bidi w:val="0"/>
              <w:spacing w:before="0" w:after="283"/>
              <w:jc w:val="left"/>
              <w:rPr/>
            </w:pPr>
            <w:hyperlink r:id="rId35">
              <w:r>
                <w:rPr>
                  <w:rStyle w:val="InternetLink"/>
                  <w:rFonts w:ascii="Times New Roman" w:hAnsi="Times New Roman"/>
                  <w:color w:val="0000FF"/>
                  <w:sz w:val="20"/>
                  <w:u w:val="single"/>
                </w:rPr>
                <w:t>2024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tcBorders/>
            <w:tcMar>
              <w:top w:w="0" w:type="dxa"/>
              <w:left w:w="0" w:type="dxa"/>
              <w:bottom w:w="0" w:type="dxa"/>
              <w:right w:w="0" w:type="dxa"/>
            </w:tcMar>
            <w:vAlign w:val="center"/>
          </w:tcPr>
          <w:p>
            <w:pPr>
              <w:pStyle w:val="TableContents"/>
              <w:bidi w:val="0"/>
              <w:jc w:val="left"/>
              <w:rPr/>
            </w:pPr>
            <w:hyperlink r:id="rId36">
              <w:r>
                <w:rPr>
                  <w:rStyle w:val="InternetLink"/>
                  <w:rFonts w:ascii="Times New Roman" w:hAnsi="Times New Roman"/>
                  <w:color w:val="0000FF"/>
                  <w:sz w:val="20"/>
                  <w:u w:val="single"/>
                </w:rPr>
                <w:t>Forms of Restricted Stock Unit Grant Notice and</w:t>
              </w:r>
            </w:hyperlink>
          </w:p>
          <w:p>
            <w:pPr>
              <w:pStyle w:val="TableContents"/>
              <w:bidi w:val="0"/>
              <w:jc w:val="left"/>
              <w:rPr/>
            </w:pPr>
            <w:hyperlink r:id="rId37">
              <w:r>
                <w:rPr>
                  <w:rStyle w:val="InternetLink"/>
                  <w:rFonts w:ascii="Times New Roman" w:hAnsi="Times New Roman"/>
                  <w:color w:val="0000FF"/>
                  <w:sz w:val="20"/>
                  <w:u w:val="single"/>
                </w:rPr>
                <w:t>Award Agreement under the Registrant’s 2024</w:t>
              </w:r>
            </w:hyperlink>
          </w:p>
          <w:p>
            <w:pPr>
              <w:pStyle w:val="TableContents"/>
              <w:bidi w:val="0"/>
              <w:spacing w:before="0" w:after="283"/>
              <w:jc w:val="left"/>
              <w:rPr/>
            </w:pPr>
            <w:hyperlink r:id="rId38">
              <w:r>
                <w:rPr>
                  <w:rStyle w:val="InternetLink"/>
                  <w:rFonts w:ascii="Times New Roman" w:hAnsi="Times New Roman"/>
                  <w:color w:val="0000FF"/>
                  <w:sz w:val="20"/>
                  <w:u w:val="single"/>
                </w:rPr>
                <w:t>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187</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695"/>
        <w:gridCol w:w="146"/>
        <w:gridCol w:w="526"/>
        <w:gridCol w:w="146"/>
        <w:gridCol w:w="833"/>
        <w:gridCol w:w="146"/>
        <w:gridCol w:w="642"/>
        <w:gridCol w:w="146"/>
        <w:gridCol w:w="107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9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7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Incorporated by Reference</w:t>
            </w:r>
            <w:r>
              <w:rPr>
                <w:rFonts w:ascii="Times New Roman" w:hAnsi="Times New Roman"/>
                <w:color w:val="000000"/>
                <w:sz w:val="16"/>
              </w:rPr>
              <w:t xml:space="preserve"> </w:t>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 Date</w:t>
            </w:r>
            <w:r>
              <w:rPr>
                <w:rFonts w:ascii="Times New Roman" w:hAnsi="Times New Roman"/>
                <w:color w:val="000000"/>
                <w:sz w:val="16"/>
              </w:rPr>
              <w:t xml:space="preserve">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Indemnification Agreement entered into by and between the Registrant and each director and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August 8, 2025</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jc w:val="left"/>
              <w:rPr/>
            </w:pPr>
            <w:hyperlink r:id="rId40">
              <w:r>
                <w:rPr>
                  <w:rStyle w:val="InternetLink"/>
                  <w:rFonts w:ascii="Times New Roman" w:hAnsi="Times New Roman"/>
                  <w:color w:val="0000FF"/>
                  <w:sz w:val="20"/>
                  <w:u w:val="single"/>
                </w:rPr>
                <w:t>Employment Agreement, by and between the</w:t>
              </w:r>
            </w:hyperlink>
          </w:p>
          <w:p>
            <w:pPr>
              <w:pStyle w:val="TableContents"/>
              <w:bidi w:val="0"/>
              <w:jc w:val="left"/>
              <w:rPr/>
            </w:pPr>
            <w:hyperlink r:id="rId41">
              <w:r>
                <w:rPr>
                  <w:rStyle w:val="InternetLink"/>
                  <w:rFonts w:ascii="Times New Roman" w:hAnsi="Times New Roman"/>
                  <w:color w:val="0000FF"/>
                  <w:sz w:val="20"/>
                  <w:u w:val="single"/>
                </w:rPr>
                <w:t>Registrant and Eric Lefkofsky, dated February 1,</w:t>
              </w:r>
            </w:hyperlink>
          </w:p>
          <w:p>
            <w:pPr>
              <w:pStyle w:val="TableContents"/>
              <w:bidi w:val="0"/>
              <w:spacing w:before="0" w:after="283"/>
              <w:jc w:val="left"/>
              <w:rPr/>
            </w:pPr>
            <w:hyperlink r:id="rId42">
              <w:r>
                <w:rPr>
                  <w:rStyle w:val="InternetLink"/>
                  <w:rFonts w:ascii="Times New Roman" w:hAnsi="Times New Roman"/>
                  <w:color w:val="0000FF"/>
                  <w:sz w:val="20"/>
                  <w:u w:val="single"/>
                </w:rPr>
                <w:t>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jc w:val="left"/>
              <w:rPr/>
            </w:pPr>
            <w:hyperlink r:id="rId43">
              <w:r>
                <w:rPr>
                  <w:rStyle w:val="InternetLink"/>
                  <w:rFonts w:ascii="Times New Roman" w:hAnsi="Times New Roman"/>
                  <w:color w:val="0000FF"/>
                  <w:sz w:val="20"/>
                  <w:u w:val="single"/>
                </w:rPr>
                <w:t>Employment Agreement, by and between the</w:t>
              </w:r>
            </w:hyperlink>
          </w:p>
          <w:p>
            <w:pPr>
              <w:pStyle w:val="TableContents"/>
              <w:bidi w:val="0"/>
              <w:jc w:val="left"/>
              <w:rPr/>
            </w:pPr>
            <w:hyperlink r:id="rId44">
              <w:r>
                <w:rPr>
                  <w:rStyle w:val="InternetLink"/>
                  <w:rFonts w:ascii="Times New Roman" w:hAnsi="Times New Roman"/>
                  <w:color w:val="0000FF"/>
                  <w:sz w:val="20"/>
                  <w:u w:val="single"/>
                </w:rPr>
                <w:t>Registrant and Erik Phelps, dated January 1,</w:t>
              </w:r>
            </w:hyperlink>
          </w:p>
          <w:p>
            <w:pPr>
              <w:pStyle w:val="TableContents"/>
              <w:bidi w:val="0"/>
              <w:spacing w:before="0" w:after="283"/>
              <w:jc w:val="left"/>
              <w:rPr/>
            </w:pPr>
            <w:hyperlink r:id="rId45">
              <w:r>
                <w:rPr>
                  <w:rStyle w:val="InternetLink"/>
                  <w:rFonts w:ascii="Times New Roman" w:hAnsi="Times New Roman"/>
                  <w:color w:val="0000FF"/>
                  <w:sz w:val="20"/>
                  <w:u w:val="single"/>
                </w:rPr>
                <w:t>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Employment Agreement, by and between the Registrant and Ryan Fukushima, dated January 1,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jc w:val="left"/>
              <w:rPr/>
            </w:pPr>
            <w:hyperlink r:id="rId47">
              <w:r>
                <w:rPr>
                  <w:rStyle w:val="InternetLink"/>
                  <w:rFonts w:ascii="Times New Roman" w:hAnsi="Times New Roman"/>
                  <w:color w:val="0000FF"/>
                  <w:sz w:val="20"/>
                  <w:u w:val="single"/>
                </w:rPr>
                <w:t>Employment Agreement, by and between the</w:t>
              </w:r>
            </w:hyperlink>
          </w:p>
          <w:p>
            <w:pPr>
              <w:pStyle w:val="TableContents"/>
              <w:bidi w:val="0"/>
              <w:jc w:val="left"/>
              <w:rPr/>
            </w:pPr>
            <w:hyperlink r:id="rId48">
              <w:r>
                <w:rPr>
                  <w:rStyle w:val="InternetLink"/>
                  <w:rFonts w:ascii="Times New Roman" w:hAnsi="Times New Roman"/>
                  <w:color w:val="0000FF"/>
                  <w:sz w:val="20"/>
                  <w:u w:val="single"/>
                </w:rPr>
                <w:t>Registrant and James Rogers, dated January 1,</w:t>
              </w:r>
            </w:hyperlink>
          </w:p>
          <w:p>
            <w:pPr>
              <w:pStyle w:val="TableContents"/>
              <w:bidi w:val="0"/>
              <w:spacing w:before="0" w:after="283"/>
              <w:jc w:val="left"/>
              <w:rPr/>
            </w:pPr>
            <w:hyperlink r:id="rId49">
              <w:r>
                <w:rPr>
                  <w:rStyle w:val="InternetLink"/>
                  <w:rFonts w:ascii="Times New Roman" w:hAnsi="Times New Roman"/>
                  <w:color w:val="0000FF"/>
                  <w:sz w:val="20"/>
                  <w:u w:val="single"/>
                </w:rPr>
                <w:t>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jc w:val="left"/>
              <w:rPr/>
            </w:pPr>
            <w:hyperlink r:id="rId50">
              <w:r>
                <w:rPr>
                  <w:rStyle w:val="InternetLink"/>
                  <w:rFonts w:ascii="Times New Roman" w:hAnsi="Times New Roman"/>
                  <w:color w:val="0000FF"/>
                  <w:sz w:val="20"/>
                  <w:u w:val="single"/>
                </w:rPr>
                <w:t>Employment Agreement, by and between the</w:t>
              </w:r>
            </w:hyperlink>
          </w:p>
          <w:p>
            <w:pPr>
              <w:pStyle w:val="TableContents"/>
              <w:bidi w:val="0"/>
              <w:jc w:val="left"/>
              <w:rPr/>
            </w:pPr>
            <w:hyperlink r:id="rId51">
              <w:r>
                <w:rPr>
                  <w:rStyle w:val="InternetLink"/>
                  <w:rFonts w:ascii="Times New Roman" w:hAnsi="Times New Roman"/>
                  <w:color w:val="0000FF"/>
                  <w:sz w:val="20"/>
                  <w:u w:val="single"/>
                </w:rPr>
                <w:t>Registrant and Andy Polovin, dated January 1,</w:t>
              </w:r>
            </w:hyperlink>
          </w:p>
          <w:p>
            <w:pPr>
              <w:pStyle w:val="TableContents"/>
              <w:bidi w:val="0"/>
              <w:spacing w:before="0" w:after="283"/>
              <w:jc w:val="left"/>
              <w:rPr/>
            </w:pPr>
            <w:hyperlink r:id="rId52">
              <w:r>
                <w:rPr>
                  <w:rStyle w:val="InternetLink"/>
                  <w:rFonts w:ascii="Times New Roman" w:hAnsi="Times New Roman"/>
                  <w:color w:val="0000FF"/>
                  <w:sz w:val="20"/>
                  <w:u w:val="single"/>
                </w:rPr>
                <w:t>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Agreement of Lease, by and between the Registrant and EQC 600 West Chicago Property LLC, dated January 18, 2018,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jc w:val="left"/>
              <w:rPr/>
            </w:pPr>
            <w:hyperlink r:id="rId54">
              <w:r>
                <w:rPr>
                  <w:rStyle w:val="InternetLink"/>
                  <w:rFonts w:ascii="Times New Roman" w:hAnsi="Times New Roman"/>
                  <w:color w:val="0000FF"/>
                  <w:sz w:val="20"/>
                  <w:u w:val="single"/>
                </w:rPr>
                <w:t>Supply Agreement, by and between the</w:t>
              </w:r>
            </w:hyperlink>
          </w:p>
          <w:p>
            <w:pPr>
              <w:pStyle w:val="TableContents"/>
              <w:bidi w:val="0"/>
              <w:jc w:val="left"/>
              <w:rPr/>
            </w:pPr>
            <w:hyperlink r:id="rId55">
              <w:r>
                <w:rPr>
                  <w:rStyle w:val="InternetLink"/>
                  <w:rFonts w:ascii="Times New Roman" w:hAnsi="Times New Roman"/>
                  <w:color w:val="0000FF"/>
                  <w:sz w:val="20"/>
                  <w:u w:val="single"/>
                </w:rPr>
                <w:t>Registrant and Illumina, Inc., dated June 29,</w:t>
              </w:r>
            </w:hyperlink>
          </w:p>
          <w:p>
            <w:pPr>
              <w:pStyle w:val="TableContents"/>
              <w:bidi w:val="0"/>
              <w:spacing w:before="0" w:after="283"/>
              <w:jc w:val="left"/>
              <w:rPr/>
            </w:pPr>
            <w:hyperlink r:id="rId56">
              <w:r>
                <w:rPr>
                  <w:rStyle w:val="InternetLink"/>
                  <w:rFonts w:ascii="Times New Roman" w:hAnsi="Times New Roman"/>
                  <w:color w:val="0000FF"/>
                  <w:sz w:val="20"/>
                  <w:u w:val="single"/>
                </w:rPr>
                <w:t>2021.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Second Amended and Restated Convertible Promissory Note, by and between the Registrant and Google LLC, dated February 22,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February 24, 2025</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Amended and Restated Master Agreement, by and between the Registrant and Pathos AI, Inc., dated February 12,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June 5,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Master Services Agreement, by and between the Registrant and AstraZeneca AB, dated November 17, 2021.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jc w:val="left"/>
              <w:rPr/>
            </w:pPr>
            <w:hyperlink r:id="rId60">
              <w:r>
                <w:rPr>
                  <w:rStyle w:val="InternetLink"/>
                  <w:rFonts w:ascii="Times New Roman" w:hAnsi="Times New Roman"/>
                  <w:color w:val="0000FF"/>
                  <w:sz w:val="20"/>
                  <w:u w:val="single"/>
                </w:rPr>
                <w:t>The Registrant’s 2024 Employee Stock Purchase</w:t>
              </w:r>
            </w:hyperlink>
          </w:p>
          <w:p>
            <w:pPr>
              <w:pStyle w:val="TableContents"/>
              <w:bidi w:val="0"/>
              <w:spacing w:before="0" w:after="283"/>
              <w:jc w:val="left"/>
              <w:rPr/>
            </w:pPr>
            <w:hyperlink r:id="rId61">
              <w:r>
                <w:rPr>
                  <w:rStyle w:val="InternetLink"/>
                  <w:rFonts w:ascii="Times New Roman" w:hAnsi="Times New Roman"/>
                  <w:color w:val="0000FF"/>
                  <w:sz w:val="20"/>
                  <w:u w:val="single"/>
                </w:rPr>
                <w:t>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Strategic Collaboration Agreement, by and between the Registrant and Glaxosmithkline LLC, dated August 1,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jc w:val="left"/>
              <w:rPr/>
            </w:pPr>
            <w:hyperlink r:id="rId63">
              <w:r>
                <w:rPr>
                  <w:rStyle w:val="InternetLink"/>
                  <w:rFonts w:ascii="Times New Roman" w:hAnsi="Times New Roman"/>
                  <w:color w:val="0000FF"/>
                  <w:sz w:val="20"/>
                  <w:u w:val="single"/>
                </w:rPr>
                <w:t>Credit Agreement, by and among the Registrant, the lenders party thereto, Ares Capital Corporation and Ares Capital Management</w:t>
              </w:r>
            </w:hyperlink>
          </w:p>
          <w:p>
            <w:pPr>
              <w:pStyle w:val="TableContents"/>
              <w:bidi w:val="0"/>
              <w:spacing w:before="0" w:after="283"/>
              <w:jc w:val="left"/>
              <w:rPr/>
            </w:pPr>
            <w:hyperlink r:id="rId64">
              <w:r>
                <w:rPr>
                  <w:rStyle w:val="InternetLink"/>
                  <w:rFonts w:ascii="Times New Roman" w:hAnsi="Times New Roman"/>
                  <w:color w:val="0000FF"/>
                  <w:sz w:val="20"/>
                  <w:u w:val="single"/>
                </w:rPr>
                <w:t>LLC, dated September 22,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Times New Roman" w:hAnsi="Times New Roman"/>
                  <w:color w:val="0000FF"/>
                  <w:sz w:val="20"/>
                  <w:u w:val="single"/>
                </w:rPr>
                <w:t>Limited Waiver and First Amendment to Credit Agreement, by and among the Registrant, the loan party signatories and lenders party thereto, and Ares Capital Corporation as administrative agent, dated April 25,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Second Amendment to Credit Agreement, by and among the Registrant, the loan party signatories and lenders party thereto, and Ares Capital Corporation as administrative agent, dated October 11,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tcBorders/>
            <w:tcMar>
              <w:top w:w="0" w:type="dxa"/>
              <w:left w:w="0" w:type="dxa"/>
              <w:bottom w:w="0" w:type="dxa"/>
              <w:right w:w="0" w:type="dxa"/>
            </w:tcMar>
            <w:vAlign w:val="center"/>
          </w:tcPr>
          <w:p>
            <w:pPr>
              <w:pStyle w:val="TableContents"/>
              <w:bidi w:val="0"/>
              <w:spacing w:before="0" w:after="283"/>
              <w:jc w:val="left"/>
              <w:rPr/>
            </w:pPr>
            <w:hyperlink r:id="rId67">
              <w:r>
                <w:rPr>
                  <w:rStyle w:val="InternetLink"/>
                  <w:rFonts w:ascii="Times New Roman" w:hAnsi="Times New Roman"/>
                  <w:color w:val="0000FF"/>
                  <w:sz w:val="20"/>
                  <w:u w:val="single"/>
                </w:rPr>
                <w:t>Master Agreement, by and between the Registrant and Recursion Pharmaceuticals, Inc., dated November 3,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188</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0"/>
        <w:gridCol w:w="146"/>
        <w:gridCol w:w="5690"/>
        <w:gridCol w:w="146"/>
        <w:gridCol w:w="520"/>
        <w:gridCol w:w="146"/>
        <w:gridCol w:w="798"/>
        <w:gridCol w:w="146"/>
        <w:gridCol w:w="638"/>
        <w:gridCol w:w="146"/>
        <w:gridCol w:w="1109"/>
      </w:tblGrid>
      <w:tr>
        <w:trPr/>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9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09" w:type="dxa"/>
            <w:tcBorders/>
            <w:shd w:fill="FFFFFF" w:val="clear"/>
            <w:vAlign w:val="center"/>
          </w:tcPr>
          <w:p>
            <w:pPr>
              <w:pStyle w:val="TableContents"/>
              <w:bidi w:val="0"/>
              <w:spacing w:before="0" w:after="283"/>
              <w:jc w:val="left"/>
              <w:rPr>
                <w:sz w:val="4"/>
                <w:szCs w:val="4"/>
              </w:rPr>
            </w:pPr>
            <w:r>
              <w:rPr>
                <w:sz w:val="4"/>
                <w:szCs w:val="4"/>
              </w:rPr>
            </w:r>
          </w:p>
        </w:tc>
      </w:tr>
      <w:tr>
        <w:trPr/>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Incorporated by Reference</w:t>
            </w:r>
            <w:r>
              <w:rPr>
                <w:rFonts w:ascii="Times New Roman" w:hAnsi="Times New Roman"/>
                <w:color w:val="000000"/>
                <w:sz w:val="16"/>
              </w:rPr>
              <w:t xml:space="preserve"> </w:t>
            </w:r>
          </w:p>
        </w:tc>
      </w:tr>
      <w:tr>
        <w:trPr/>
        <w:tc>
          <w:tcPr>
            <w:tcW w:w="7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 Date</w:t>
            </w:r>
            <w:r>
              <w:rPr>
                <w:rFonts w:ascii="Times New Roman" w:hAnsi="Times New Roman"/>
                <w:color w:val="000000"/>
                <w:sz w:val="16"/>
              </w:rPr>
              <w:t xml:space="preserve"> </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68">
              <w:r>
                <w:rPr>
                  <w:rStyle w:val="InternetLink"/>
                  <w:rFonts w:ascii="Times New Roman" w:hAnsi="Times New Roman"/>
                  <w:color w:val="0000FF"/>
                  <w:sz w:val="20"/>
                  <w:u w:val="single"/>
                </w:rPr>
                <w:t>Amendment to Master Services Agreement, by and between Registrant and AstraZeneca AB, dated October 29,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69">
              <w:r>
                <w:rPr>
                  <w:rStyle w:val="InternetLink"/>
                  <w:rFonts w:ascii="Times New Roman" w:hAnsi="Times New Roman"/>
                  <w:color w:val="0000FF"/>
                  <w:sz w:val="20"/>
                  <w:u w:val="single"/>
                </w:rPr>
                <w:t>Second Amendment to Master Services Agreement, by and between Registrant and AstraZeneca UK Ltd, dated February 21,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70">
              <w:r>
                <w:rPr>
                  <w:rStyle w:val="InternetLink"/>
                  <w:rFonts w:ascii="Times New Roman" w:hAnsi="Times New Roman"/>
                  <w:color w:val="0000FF"/>
                  <w:sz w:val="20"/>
                  <w:u w:val="single"/>
                </w:rPr>
                <w:t>Third Amendment to Master Services Agreement, by and between Registrant and AstraZeneca AB, dated December 18,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May 20, 2024</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71">
              <w:r>
                <w:rPr>
                  <w:rStyle w:val="InternetLink"/>
                  <w:rFonts w:ascii="Times New Roman" w:hAnsi="Times New Roman"/>
                  <w:color w:val="0000FF"/>
                  <w:sz w:val="20"/>
                  <w:u w:val="single"/>
                </w:rPr>
                <w:t>Joint Venture Agreement, by and among Softbank Group Corporation, Softbank Group Japan Corporation, the Registrant and Pegasos Corp., dated May 18,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June 5, 2024</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tcBorders/>
            <w:tcMar>
              <w:top w:w="0" w:type="dxa"/>
              <w:left w:w="0" w:type="dxa"/>
              <w:bottom w:w="0" w:type="dxa"/>
              <w:right w:w="0" w:type="dxa"/>
            </w:tcMar>
            <w:vAlign w:val="center"/>
          </w:tcPr>
          <w:p>
            <w:pPr>
              <w:pStyle w:val="TableContents"/>
              <w:bidi w:val="0"/>
              <w:jc w:val="left"/>
              <w:rPr/>
            </w:pPr>
            <w:hyperlink r:id="rId72">
              <w:r>
                <w:rPr>
                  <w:rStyle w:val="InternetLink"/>
                  <w:rFonts w:ascii="Times New Roman" w:hAnsi="Times New Roman"/>
                  <w:color w:val="0000FF"/>
                  <w:sz w:val="20"/>
                  <w:u w:val="single"/>
                </w:rPr>
                <w:t>Data License Agreement by and between the</w:t>
              </w:r>
            </w:hyperlink>
          </w:p>
          <w:p>
            <w:pPr>
              <w:pStyle w:val="TableContents"/>
              <w:bidi w:val="0"/>
              <w:spacing w:before="0" w:after="283"/>
              <w:jc w:val="left"/>
              <w:rPr/>
            </w:pPr>
            <w:hyperlink r:id="rId73">
              <w:r>
                <w:rPr>
                  <w:rStyle w:val="InternetLink"/>
                  <w:rFonts w:ascii="Times New Roman" w:hAnsi="Times New Roman"/>
                  <w:color w:val="0000FF"/>
                  <w:sz w:val="20"/>
                  <w:u w:val="single"/>
                </w:rPr>
                <w:t>Registrant and Pegasos Corp., dated May 18,</w:t>
              </w:r>
            </w:hyperlink>
            <w:r>
              <w:rPr>
                <w:rFonts w:ascii="Times New Roman" w:hAnsi="Times New Roman"/>
                <w:color w:val="000000"/>
                <w:sz w:val="20"/>
              </w:rPr>
              <w:t xml:space="preserve"> </w:t>
            </w:r>
            <w:hyperlink r:id="rId74">
              <w:r>
                <w:rPr>
                  <w:rStyle w:val="InternetLink"/>
                  <w:rFonts w:ascii="Times New Roman" w:hAnsi="Times New Roman"/>
                  <w:color w:val="0000FF"/>
                  <w:sz w:val="20"/>
                  <w:u w:val="single"/>
                </w:rPr>
                <w:t>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June 5, 2024</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75">
              <w:r>
                <w:rPr>
                  <w:rStyle w:val="InternetLink"/>
                  <w:rFonts w:ascii="Times New Roman" w:hAnsi="Times New Roman"/>
                  <w:color w:val="0000FF"/>
                  <w:sz w:val="20"/>
                  <w:u w:val="single"/>
                </w:rPr>
                <w:t>Intellectual Property License Agreement, by and between the Registrant and Pegasos Corp., dated May 18,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June 5, 2024</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76">
              <w:r>
                <w:rPr>
                  <w:rStyle w:val="InternetLink"/>
                  <w:rFonts w:ascii="Times New Roman" w:hAnsi="Times New Roman"/>
                  <w:color w:val="0000FF"/>
                  <w:sz w:val="20"/>
                  <w:u w:val="single"/>
                </w:rPr>
                <w:t>Amendment No. 1 to Strategic Collaboration Agreement, by and between the Registrant and GlaxoSmithKline LLC, dated May 20,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333-279558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June 5, 2024</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77">
              <w:r>
                <w:rPr>
                  <w:rStyle w:val="InternetLink"/>
                  <w:rFonts w:ascii="Times New Roman" w:hAnsi="Times New Roman"/>
                  <w:color w:val="0000FF"/>
                  <w:sz w:val="20"/>
                  <w:u w:val="single"/>
                </w:rPr>
                <w:t>Securities Purchase Agreement, by and among the Registrant, REALM IDx, Inc. and Konica Minolta, Inc., dated November 4,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November 5, 2024</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78">
              <w:r>
                <w:rPr>
                  <w:rStyle w:val="InternetLink"/>
                  <w:rFonts w:ascii="Times New Roman" w:hAnsi="Times New Roman"/>
                  <w:color w:val="0000FF"/>
                  <w:sz w:val="20"/>
                  <w:u w:val="single"/>
                </w:rPr>
                <w:t>Third Amendment to Credit Agreement and First Amendment to Guarantee and Collateral Agreement, dated as of February 3, 2025, by and among the Company, certain subsidiaries of the Company party thereto, the lenders party thereto, Ares Capital Corporation, as administrative agent and ACF Finco I LP, as revolving agent.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February 3, 2025</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79">
              <w:r>
                <w:rPr>
                  <w:rStyle w:val="InternetLink"/>
                  <w:rFonts w:ascii="Times New Roman" w:hAnsi="Times New Roman"/>
                  <w:color w:val="0000FF"/>
                  <w:sz w:val="20"/>
                  <w:u w:val="single"/>
                </w:rPr>
                <w:t>Start-Up Agreement by and between the Registrant and Pathos AI, Inc., dated August 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5, 2024</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80">
              <w:r>
                <w:rPr>
                  <w:rStyle w:val="InternetLink"/>
                  <w:rFonts w:ascii="Times New Roman" w:hAnsi="Times New Roman"/>
                  <w:color w:val="0000FF"/>
                  <w:sz w:val="20"/>
                  <w:u w:val="single"/>
                </w:rPr>
                <w:t>Eighth Amendment to Agreement of Lease, dated as of June 18, 2024, by and between the Registrant and EQC 600 West Chicago Property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jc w:val="center"/>
              <w:rPr>
                <w:rFonts w:ascii="Times New Roman" w:hAnsi="Times New Roman"/>
                <w:color w:val="231F20"/>
                <w:sz w:val="20"/>
              </w:rPr>
            </w:pPr>
            <w:r>
              <w:rPr>
                <w:rFonts w:ascii="Times New Roman" w:hAnsi="Times New Roman"/>
                <w:color w:val="231F20"/>
                <w:sz w:val="20"/>
              </w:rPr>
              <w:t>February 24, 2025</w:t>
            </w:r>
          </w:p>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10.35</w:t>
            </w:r>
            <w:r>
              <w:rPr>
                <w:rFonts w:ascii="Times New Roman" w:hAnsi="Times New Roman"/>
                <w:color w:val="231F2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81">
              <w:r>
                <w:rPr>
                  <w:rStyle w:val="InternetLink"/>
                  <w:rFonts w:ascii="Times New Roman" w:hAnsi="Times New Roman"/>
                  <w:color w:val="0000FF"/>
                  <w:sz w:val="20"/>
                  <w:u w:val="single"/>
                </w:rPr>
                <w:t>Forms of Restricted Stock Award Grant Notice and Award Agreement under the Registrant’s 2024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6, 2025</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82">
              <w:r>
                <w:rPr>
                  <w:rStyle w:val="InternetLink"/>
                  <w:rFonts w:ascii="Times New Roman" w:hAnsi="Times New Roman"/>
                  <w:color w:val="0000FF"/>
                  <w:sz w:val="20"/>
                  <w:u w:val="single"/>
                </w:rPr>
                <w:t>Form of Confirmation for Capped Call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3, 2025</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83">
              <w:r>
                <w:rPr>
                  <w:rStyle w:val="InternetLink"/>
                  <w:rFonts w:ascii="Times New Roman" w:hAnsi="Times New Roman"/>
                  <w:color w:val="0000FF"/>
                  <w:sz w:val="20"/>
                  <w:u w:val="single"/>
                </w:rPr>
                <w:t>Fourth Amendment to Credit Agreement, by and among Tempus AI, Inc, the loan party signatories and lender party thereto, and Ares Capital Corporation as administrative agent, dated June 30,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3, 2025</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10.38</w:t>
            </w:r>
            <w:r>
              <w:rPr>
                <w:rFonts w:ascii="Times New Roman" w:hAnsi="Times New Roman"/>
                <w:color w:val="231F2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84">
              <w:r>
                <w:rPr>
                  <w:rStyle w:val="InternetLink"/>
                  <w:rFonts w:ascii="Times New Roman" w:hAnsi="Times New Roman"/>
                  <w:color w:val="0000FF"/>
                  <w:sz w:val="20"/>
                  <w:u w:val="single"/>
                </w:rPr>
                <w:t>Controlled Equity OfferingSM Sales Agreement, by and among the Registrant and the Sales Agents party thereto, dated August 8,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2025</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10.39</w:t>
            </w:r>
            <w:r>
              <w:rPr>
                <w:rFonts w:ascii="Times New Roman" w:hAnsi="Times New Roman"/>
                <w:color w:val="231F20"/>
                <w:sz w:val="20"/>
              </w:rPr>
              <w:t>+</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hyperlink w:anchor="tem-ex10_39.htm">
              <w:r>
                <w:rPr>
                  <w:rStyle w:val="InternetLink"/>
                  <w:rFonts w:ascii="Times New Roman" w:hAnsi="Times New Roman"/>
                  <w:color w:val="0000FF"/>
                  <w:sz w:val="20"/>
                  <w:u w:val="single"/>
                </w:rPr>
                <w:t>Employment Agreement, by and between the Registrant and Tom Schoenherr, dated February 24,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tcBorders/>
            <w:tcMar>
              <w:top w:w="0" w:type="dxa"/>
              <w:left w:w="0" w:type="dxa"/>
              <w:bottom w:w="0" w:type="dxa"/>
              <w:right w:w="0" w:type="dxa"/>
            </w:tcMar>
            <w:vAlign w:val="center"/>
          </w:tcPr>
          <w:p>
            <w:pPr>
              <w:pStyle w:val="TableContents"/>
              <w:bidi w:val="0"/>
              <w:spacing w:before="0" w:after="283"/>
              <w:jc w:val="left"/>
              <w:rPr/>
            </w:pPr>
            <w:hyperlink r:id="rId85">
              <w:r>
                <w:rPr>
                  <w:rStyle w:val="InternetLink"/>
                  <w:rFonts w:ascii="Times New Roman" w:hAnsi="Times New Roman"/>
                  <w:color w:val="0000FF"/>
                  <w:sz w:val="20"/>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10-K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231F20"/>
                <w:sz w:val="20"/>
              </w:rPr>
              <w:t>001-42130</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19.1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February 24, 2025 </w:t>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9"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189</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77"/>
        <w:gridCol w:w="146"/>
        <w:gridCol w:w="5682"/>
        <w:gridCol w:w="146"/>
        <w:gridCol w:w="523"/>
        <w:gridCol w:w="146"/>
        <w:gridCol w:w="748"/>
        <w:gridCol w:w="146"/>
        <w:gridCol w:w="643"/>
        <w:gridCol w:w="146"/>
        <w:gridCol w:w="1102"/>
      </w:tblGrid>
      <w:tr>
        <w:trPr/>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shd w:fill="FFFFFF" w:val="cle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Incorporated by Reference</w:t>
            </w:r>
            <w:r>
              <w:rPr>
                <w:rFonts w:ascii="Times New Roman" w:hAnsi="Times New Roman"/>
                <w:color w:val="000000"/>
                <w:sz w:val="16"/>
              </w:rPr>
              <w:t xml:space="preserve"> </w:t>
            </w:r>
          </w:p>
        </w:tc>
      </w:tr>
      <w:tr>
        <w:trPr/>
        <w:tc>
          <w:tcPr>
            <w:tcW w:w="77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 Date</w:t>
            </w:r>
            <w:r>
              <w:rPr>
                <w:rFonts w:ascii="Times New Roman" w:hAnsi="Times New Roman"/>
                <w:color w:val="000000"/>
                <w:sz w:val="16"/>
              </w:rPr>
              <w:t xml:space="preserve"> </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w:anchor="tem-ex21_1.htm">
              <w:r>
                <w:rPr>
                  <w:rStyle w:val="InternetLink"/>
                  <w:rFonts w:ascii="Times New Roman" w:hAnsi="Times New Roman"/>
                  <w:color w:val="0000FF"/>
                  <w:sz w:val="20"/>
                  <w:u w:val="single"/>
                </w:rPr>
                <w:t>List of subsidiaries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w:anchor="tem-ex23_1.htm">
              <w:r>
                <w:rPr>
                  <w:rStyle w:val="InternetLink"/>
                  <w:rFonts w:ascii="Times New Roman" w:hAnsi="Times New Roman"/>
                  <w:color w:val="0000FF"/>
                  <w:sz w:val="20"/>
                  <w:u w:val="single"/>
                </w:rPr>
                <w:t>Consent of PricewaterhouseCoopers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signature pages).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pPr>
            <w:hyperlink w:anchor="tem-ex31_1.htm">
              <w:r>
                <w:rPr>
                  <w:rStyle w:val="InternetLink"/>
                  <w:rFonts w:ascii="Times New Roman" w:hAnsi="Times New Roman"/>
                  <w:color w:val="0000FF"/>
                  <w:sz w:val="20"/>
                  <w:u w:val="single"/>
                </w:rPr>
                <w:t>Certification of Principal Executive Officer pursuant to Section 302 of the Sarbanes-Oxley Act of 2002.</w:t>
              </w:r>
            </w:hyperlink>
            <w:hyperlink w:anchor="tem-ex31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pPr>
            <w:hyperlink w:anchor="tem-ex31_2.htm">
              <w:r>
                <w:rPr>
                  <w:rStyle w:val="InternetLink"/>
                  <w:rFonts w:ascii="Times New Roman" w:hAnsi="Times New Roman"/>
                  <w:color w:val="0000FF"/>
                  <w:sz w:val="20"/>
                  <w:u w:val="single"/>
                </w:rPr>
                <w:t>Certification of Principal Financial Officer pursuant to Section 302 of the Sarbanes-Oxley Act of 2002.</w:t>
              </w:r>
            </w:hyperlink>
            <w:hyperlink w:anchor="tem-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32.1</w:t>
            </w:r>
            <w:r>
              <w:rPr>
                <w:rFonts w:ascii="Times New Roman" w:hAnsi="Times New Roman"/>
                <w:color w:val="231F2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pPr>
            <w:hyperlink w:anchor="tem-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hyperlink w:anchor="tem-ex32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pPr>
            <w:hyperlink r:id="rId86">
              <w:r>
                <w:rPr>
                  <w:rStyle w:val="InternetLink"/>
                  <w:rFonts w:ascii="Times New Roman" w:hAnsi="Times New Roman"/>
                  <w:color w:val="0000FF"/>
                  <w:sz w:val="20"/>
                  <w:u w:val="single"/>
                </w:rPr>
                <w:t>Incentive Compensation Recoupment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10-K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231F20"/>
                <w:sz w:val="20"/>
              </w:rPr>
              <w:t>001-42130</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97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February 24, 2025 </w:t>
            </w:r>
          </w:p>
        </w:tc>
      </w:tr>
      <w:tr>
        <w:trPr/>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xml:space="preserve"># 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 </w:t>
      </w:r>
    </w:p>
    <w:p>
      <w:pPr>
        <w:pStyle w:val="TextBody"/>
        <w:bidi w:val="0"/>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231F20"/>
          <w:sz w:val="20"/>
        </w:rPr>
        <w:t>Indicates management contract or compensatory plan or arrangement.</w:t>
      </w:r>
    </w:p>
    <w:p>
      <w:pPr>
        <w:pStyle w:val="TextBody"/>
        <w:bidi w:val="0"/>
        <w:jc w:val="left"/>
        <w:rPr>
          <w:rFonts w:ascii="Times New Roman" w:hAnsi="Times New Roman"/>
          <w:sz w:val="20"/>
        </w:rPr>
      </w:pPr>
      <w:r>
        <w:rPr>
          <w:rFonts w:ascii="Times New Roman" w:hAnsi="Times New Roman"/>
          <w:color w:val="231F20"/>
          <w:sz w:val="20"/>
        </w:rPr>
        <w:t xml:space="preserve"> Certain </w:t>
      </w:r>
      <w:r>
        <w:rPr>
          <w:rFonts w:ascii="Times New Roman" w:hAnsi="Times New Roman"/>
          <w:color w:val="000000"/>
          <w:sz w:val="20"/>
        </w:rPr>
        <w:t>portions of this exhibit (indicated by asterisks) have been omitted because they are not material and are the type that the registrant treats as private or confidential.</w:t>
      </w:r>
    </w:p>
    <w:p>
      <w:pPr>
        <w:pStyle w:val="TextBody"/>
        <w:bidi w:val="0"/>
        <w:jc w:val="left"/>
        <w:rPr>
          <w:rFonts w:ascii="Times New Roman" w:hAnsi="Times New Roman"/>
          <w:sz w:val="20"/>
        </w:rPr>
      </w:pPr>
      <w:r>
        <w:rPr>
          <w:rFonts w:ascii="Times New Roman" w:hAnsi="Times New Roman"/>
          <w:color w:val="231F20"/>
          <w:sz w:val="20"/>
        </w:rPr>
        <w:t></w:t>
      </w:r>
      <w:r>
        <w:rPr>
          <w:rFonts w:ascii="Times New Roman" w:hAnsi="Times New Roman"/>
          <w:color w:val="000000"/>
          <w:sz w:val="20"/>
        </w:rPr>
        <w:t xml:space="preserve"> Certain schedules and exhibits to this exhibit have been omitted pursuant to Item 601(a)(5) of Regulation S-K. A copy of any omitted schedule</w:t>
      </w:r>
      <w:r>
        <w:rPr>
          <w:rFonts w:ascii="Times New Roman" w:hAnsi="Times New Roman"/>
          <w:color w:val="231F20"/>
          <w:sz w:val="20"/>
        </w:rPr>
        <w:t xml:space="preserve"> and/or exhibit will be furnished to the SEC upon request.</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33" w:name="form_10k_summary"/>
      <w:bookmarkEnd w:id="33"/>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4" w:name="signatures"/>
      <w:bookmarkEnd w:id="34"/>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659" w:type="dxa"/>
        <w:jc w:val="left"/>
        <w:tblInd w:w="0" w:type="dxa"/>
        <w:tblLayout w:type="fixed"/>
        <w:tblCellMar>
          <w:top w:w="28" w:type="dxa"/>
          <w:left w:w="28" w:type="dxa"/>
          <w:bottom w:w="28" w:type="dxa"/>
          <w:right w:w="28" w:type="dxa"/>
        </w:tblCellMar>
      </w:tblPr>
      <w:tblGrid>
        <w:gridCol w:w="2086"/>
        <w:gridCol w:w="146"/>
        <w:gridCol w:w="406"/>
        <w:gridCol w:w="402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TEMPUS AI, INC.</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Lefkofsky</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Founder and Chairman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KNOW ALL BY THESE PRESENTS</w:t>
      </w:r>
      <w:r>
        <w:rPr>
          <w:rFonts w:ascii="Times New Roman" w:hAnsi="Times New Roman"/>
          <w:color w:val="000000"/>
          <w:sz w:val="20"/>
        </w:rPr>
        <w:t>, that each person whose signature appears below constitutes and appoints Eric Lefkofsky, James Rogers and Andrew Polovin,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by the following persons on behalf of the registrant and in the capacities and on the dates indicated.</w:t>
      </w:r>
    </w:p>
    <w:tbl>
      <w:tblPr>
        <w:tblW w:w="7938" w:type="dxa"/>
        <w:jc w:val="left"/>
        <w:tblInd w:w="0" w:type="dxa"/>
        <w:tblLayout w:type="fixed"/>
        <w:tblCellMar>
          <w:top w:w="28" w:type="dxa"/>
          <w:left w:w="28" w:type="dxa"/>
          <w:bottom w:w="28" w:type="dxa"/>
          <w:right w:w="28" w:type="dxa"/>
        </w:tblCellMar>
      </w:tblPr>
      <w:tblGrid>
        <w:gridCol w:w="2326"/>
        <w:gridCol w:w="3976"/>
        <w:gridCol w:w="1636"/>
      </w:tblGrid>
      <w:tr>
        <w:trPr/>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3976" w:type="dxa"/>
            <w:tcBorders/>
            <w:shd w:fill="FFFFFF" w:val="clear"/>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4"/>
              </w:rPr>
            </w:pPr>
            <w:r>
              <w:rPr>
                <w:rFonts w:ascii="Times New Roman" w:hAnsi="Times New Roman"/>
                <w:b/>
                <w:color w:val="000000"/>
                <w:sz w:val="14"/>
              </w:rPr>
              <w:t>Signature</w:t>
            </w:r>
          </w:p>
        </w:tc>
        <w:tc>
          <w:tcPr>
            <w:tcW w:w="397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4"/>
              </w:rPr>
            </w:pPr>
            <w:r>
              <w:rPr>
                <w:rFonts w:ascii="Times New Roman" w:hAnsi="Times New Roman"/>
                <w:b/>
                <w:color w:val="000000"/>
                <w:sz w:val="14"/>
              </w:rPr>
              <w:t>Title</w:t>
            </w:r>
          </w:p>
        </w:tc>
        <w:tc>
          <w:tcPr>
            <w:tcW w:w="163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4"/>
              </w:rPr>
            </w:pPr>
            <w:r>
              <w:rPr>
                <w:rFonts w:ascii="Times New Roman" w:hAnsi="Times New Roman"/>
                <w:b/>
                <w:color w:val="000000"/>
                <w:sz w:val="14"/>
              </w:rPr>
              <w:t>Date</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Eric Lefkofsky</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Founder and Chairman</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24, 2026</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James Rogers</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24, 2026</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Ryan Bartolucci</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Accounting Officer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24, 2026</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Ryan Bartolucci</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Accounting Officer</w:t>
            </w:r>
            <w:r>
              <w:rPr>
                <w:rFonts w:ascii="Times New Roman" w:hAnsi="Times New Roman"/>
                <w:color w:val="000000"/>
                <w:sz w:val="20"/>
              </w:rPr>
              <w:t>)</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Peter J. Barris</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24, 2026</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J. Barris</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Eric D. Belcher</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24, 2026</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D. Belcher</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Jennifer A. Doudna</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24, 2026</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A. Doudna, Ph.D.</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David R. Epstein</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24, 2026</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 Epstein</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32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Wayne A.I. Frederick</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24, 2026</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Wayne A.I. Frederick, M.D.</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32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Scott Gottlieb</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24, 2026</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Gottlieb, M.D.</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32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Theodore J. Leonsis</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24, 2026</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Theodore J. Leonsis</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48" w:type="dxa"/>
        <w:jc w:val="left"/>
        <w:tblInd w:w="0" w:type="dxa"/>
        <w:tblLayout w:type="fixed"/>
        <w:tblCellMar>
          <w:top w:w="28" w:type="dxa"/>
          <w:left w:w="28" w:type="dxa"/>
          <w:bottom w:w="28" w:type="dxa"/>
          <w:right w:w="28" w:type="dxa"/>
        </w:tblCellMar>
      </w:tblPr>
      <w:tblGrid>
        <w:gridCol w:w="1546"/>
        <w:gridCol w:w="766"/>
        <w:gridCol w:w="1636"/>
      </w:tblGrid>
      <w:tr>
        <w:trPr/>
        <w:tc>
          <w:tcPr>
            <w:tcW w:w="15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4"/>
              </w:rPr>
            </w:pPr>
            <w:r>
              <w:rPr>
                <w:rFonts w:ascii="Times New Roman" w:hAnsi="Times New Roman"/>
                <w:b/>
                <w:color w:val="000000"/>
                <w:sz w:val="14"/>
              </w:rPr>
              <w:t>Signature</w:t>
            </w:r>
          </w:p>
        </w:tc>
        <w:tc>
          <w:tcPr>
            <w:tcW w:w="76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4"/>
              </w:rPr>
            </w:pPr>
            <w:r>
              <w:rPr>
                <w:rFonts w:ascii="Times New Roman" w:hAnsi="Times New Roman"/>
                <w:b/>
                <w:color w:val="000000"/>
                <w:sz w:val="14"/>
              </w:rPr>
              <w:t>Title</w:t>
            </w:r>
          </w:p>
        </w:tc>
        <w:tc>
          <w:tcPr>
            <w:tcW w:w="163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4"/>
              </w:rPr>
            </w:pPr>
            <w:r>
              <w:rPr>
                <w:rFonts w:ascii="Times New Roman" w:hAnsi="Times New Roman"/>
                <w:b/>
                <w:color w:val="000000"/>
                <w:sz w:val="14"/>
              </w:rPr>
              <w:t>Date</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54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Nadja West</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24, 2026</w:t>
            </w:r>
          </w:p>
        </w:tc>
      </w:tr>
      <w:tr>
        <w:trPr/>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Nadja West, M.D.</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5" w:name="tem-ex10_39.htm"/>
      <w:bookmarkStart w:id="36" w:name="kstemex10_39"/>
      <w:bookmarkEnd w:id="35"/>
      <w:bookmarkEnd w:id="36"/>
      <w:r>
        <w:rPr>
          <w:rFonts w:ascii="Times New Roman" w:hAnsi="Times New Roman"/>
          <w:b/>
          <w:color w:val="000000"/>
          <w:sz w:val="24"/>
        </w:rPr>
        <w:t>Exhibit 10.39</w:t>
      </w:r>
      <w:r>
        <w:br w:type="page"/>
      </w:r>
    </w:p>
    <w:p>
      <w:pPr>
        <w:pStyle w:val="TextBody"/>
        <w:bidi w:val="0"/>
        <w:jc w:val="left"/>
        <w:rPr/>
      </w:pPr>
      <w:r>
        <w:rPr/>
        <w:t> </w:t>
      </w:r>
    </w:p>
    <w:p>
      <w:pPr>
        <w:pStyle w:val="TextBody"/>
        <w:bidi w:val="0"/>
        <w:spacing w:before="0" w:after="480"/>
        <w:jc w:val="center"/>
        <w:rPr>
          <w:rFonts w:ascii="Times New Roman" w:hAnsi="Times New Roman"/>
          <w:b/>
          <w:caps/>
          <w:color w:val="000000"/>
          <w:sz w:val="24"/>
        </w:rPr>
      </w:pPr>
      <w:r>
        <w:rPr>
          <w:rFonts w:ascii="Times New Roman" w:hAnsi="Times New Roman"/>
          <w:b/>
          <w:caps/>
          <w:color w:val="000000"/>
          <w:sz w:val="24"/>
        </w:rPr>
        <w:t>EXECUTIVE Employment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smallCaps/>
          <w:color w:val="000000"/>
          <w:sz w:val="24"/>
        </w:rPr>
        <w:t>Executive Employment Agreement</w:t>
      </w:r>
      <w:r>
        <w:rPr>
          <w:rFonts w:ascii="Times New Roman" w:hAnsi="Times New Roman"/>
          <w:color w:val="000000"/>
          <w:sz w:val="20"/>
        </w:rPr>
        <w:t xml:space="preserve"> </w:t>
      </w:r>
      <w:r>
        <w:rPr>
          <w:rFonts w:ascii="Times New Roman" w:hAnsi="Times New Roman"/>
          <w:color w:val="000000"/>
          <w:sz w:val="24"/>
        </w:rPr>
        <w:t>dated as of February 24, 2026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xml:space="preserve">) is by and between </w:t>
      </w:r>
      <w:r>
        <w:rPr>
          <w:rFonts w:ascii="Times New Roman" w:hAnsi="Times New Roman"/>
          <w:b/>
          <w:smallCaps/>
          <w:color w:val="000000"/>
          <w:sz w:val="24"/>
        </w:rPr>
        <w:t xml:space="preserve">Tom Schoenherr </w:t>
      </w:r>
      <w:r>
        <w:rPr>
          <w:rFonts w:ascii="Times New Roman" w:hAnsi="Times New Roman"/>
          <w:color w:val="000000"/>
          <w:sz w:val="24"/>
        </w:rPr>
        <w:t>(“</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smallCaps/>
          <w:color w:val="000000"/>
          <w:sz w:val="24"/>
        </w:rPr>
        <w:t>Tempus AI, Inc.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the Company desires to employ Executive as Chief Executive Officer, Diagnostics and provide Executive with certain compensation and benefits in return for Executive’s services, and Executive agrees to be employed by the Company in such capacity and to receive the compensation and benefits on the terms and conditions set forth herein; and</w:t>
      </w:r>
    </w:p>
    <w:p>
      <w:pPr>
        <w:pStyle w:val="TextBody"/>
        <w:bidi w:val="0"/>
        <w:spacing w:before="0" w:after="240"/>
        <w:jc w:val="both"/>
        <w:rPr>
          <w:rFonts w:ascii="Times New Roman" w:hAnsi="Times New Roman"/>
          <w:sz w:val="20"/>
        </w:rPr>
      </w:pPr>
      <w:r>
        <w:rPr>
          <w:rFonts w:ascii="Times New Roman" w:hAnsi="Times New Roman"/>
          <w:b/>
          <w:color w:val="000000"/>
          <w:sz w:val="24"/>
        </w:rPr>
        <w:t>W</w:t>
      </w:r>
      <w:r>
        <w:rPr>
          <w:rFonts w:ascii="Times New Roman" w:hAnsi="Times New Roman"/>
          <w:b/>
          <w:smallCaps/>
          <w:color w:val="000000"/>
          <w:sz w:val="24"/>
        </w:rPr>
        <w:t>hereas</w:t>
      </w:r>
      <w:r>
        <w:rPr>
          <w:rFonts w:ascii="Times New Roman" w:hAnsi="Times New Roman"/>
          <w:color w:val="000000"/>
          <w:sz w:val="24"/>
        </w:rPr>
        <w:t>, the Company and Executive desire to enter into this Employment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to become effective as of the date set forth above, subject to Executive’s signature below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in order to memorialize the terms and conditions of Executive’s employment by the Company upon and following the Effective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Now, Therefore,</w:t>
      </w:r>
      <w:r>
        <w:rPr>
          <w:rFonts w:ascii="Times New Roman" w:hAnsi="Times New Roman"/>
          <w:color w:val="000000"/>
          <w:sz w:val="20"/>
        </w:rPr>
        <w:t xml:space="preserve"> </w:t>
      </w:r>
      <w:r>
        <w:rPr>
          <w:rFonts w:ascii="Times New Roman" w:hAnsi="Times New Roman"/>
          <w:color w:val="000000"/>
          <w:sz w:val="24"/>
        </w:rPr>
        <w:t>in consideration of the mutual promises and covenants contained herein, the parties agree to the following: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Employment by the Company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Position</w:t>
      </w:r>
      <w:r>
        <w:rPr>
          <w:rFonts w:ascii="Times New Roman" w:hAnsi="Times New Roman"/>
          <w:color w:val="000000"/>
          <w:sz w:val="24"/>
        </w:rPr>
        <w:t>. Subject to the terms set forth herein, the Company agrees to</w:t>
      </w:r>
      <w:r>
        <w:rPr>
          <w:color w:val="000000"/>
        </w:rPr>
        <w:t xml:space="preserve"> </w:t>
      </w:r>
      <w:r>
        <w:rPr>
          <w:rFonts w:ascii="Times New Roman" w:hAnsi="Times New Roman"/>
          <w:color w:val="000000"/>
          <w:sz w:val="24"/>
        </w:rPr>
        <w:t>employ Executive in the position of Chief Executive Officer, Diagnostics, and Executive hereby accepts such continued employment on the terms and conditions set forth in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Duties</w:t>
      </w:r>
      <w:r>
        <w:rPr>
          <w:rFonts w:ascii="Times New Roman" w:hAnsi="Times New Roman"/>
          <w:color w:val="000000"/>
          <w:sz w:val="24"/>
        </w:rPr>
        <w:t>. As Chief Executive Officer, Diagnostics, Executive will report to the Chief Executive Officer (the “</w:t>
      </w:r>
      <w:r>
        <w:rPr>
          <w:rFonts w:ascii="Times New Roman" w:hAnsi="Times New Roman"/>
          <w:b/>
          <w:i/>
          <w:color w:val="000000"/>
          <w:sz w:val="24"/>
        </w:rPr>
        <w:t>CEO</w:t>
      </w:r>
      <w:r>
        <w:rPr>
          <w:color w:val="000000"/>
        </w:rPr>
        <w:t>”</w:t>
      </w:r>
      <w:r>
        <w:rPr>
          <w:rFonts w:ascii="Times New Roman" w:hAnsi="Times New Roman"/>
          <w:color w:val="000000"/>
          <w:sz w:val="24"/>
        </w:rPr>
        <w:t>), performing such duties as are normally associated with Executive’s position and such duties as are assigned to Executive from time to time, subject to the oversight and direction of the CEO. During the term of Executive’s employment with the Company, Executive will work on a full-time basis for the Company and will devote Executive’s best efforts and substantially all of Executive’s business time and attention to the business of the Company. Executive shall perform Executive’s duties under this Agreement principally out of the Company’s facilities in Chicago and Aliso Viejo. In addition, Executive shall make such business trips to such places as may be necessary or advisable for the efficient operations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Company Policies and Benefits</w:t>
      </w:r>
      <w:r>
        <w:rPr>
          <w:rFonts w:ascii="Times New Roman" w:hAnsi="Times New Roman"/>
          <w:color w:val="000000"/>
          <w:sz w:val="24"/>
        </w:rPr>
        <w:t xml:space="preserve">. The employment relationship between the parties shall also be subject to the Company’s personnel 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 </w:t>
      </w:r>
    </w:p>
    <w:p>
      <w:pPr>
        <w:pStyle w:val="TextBody"/>
        <w:bidi w:val="0"/>
        <w:spacing w:before="0" w:after="24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Compensation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Salary</w:t>
      </w:r>
      <w:r>
        <w:rPr>
          <w:rFonts w:ascii="Times New Roman" w:hAnsi="Times New Roman"/>
          <w:color w:val="000000"/>
          <w:sz w:val="24"/>
        </w:rPr>
        <w:t xml:space="preserve">. Executive shall receive for Executive’s services to be rendered under this Agreement an initial base salary of </w:t>
      </w:r>
      <w:r>
        <w:rPr>
          <w:rFonts w:ascii="Times New Roman" w:hAnsi="Times New Roman"/>
          <w:b/>
          <w:color w:val="000000"/>
          <w:sz w:val="24"/>
        </w:rPr>
        <w:t>$550,000</w:t>
      </w:r>
      <w:r>
        <w:rPr>
          <w:color w:val="000000"/>
        </w:rPr>
        <w:t xml:space="preserve"> </w:t>
      </w:r>
      <w:r>
        <w:rPr>
          <w:rFonts w:ascii="Times New Roman" w:hAnsi="Times New Roman"/>
          <w:color w:val="000000"/>
          <w:sz w:val="24"/>
        </w:rPr>
        <w:t>on an annualized basis, subject to review and adjustment by the Company in its sole discretion, payable subject to standard federal and state payroll withholding requirements in accordance with the Company’s standard payroll practices (“</w:t>
      </w:r>
      <w:r>
        <w:rPr>
          <w:rFonts w:ascii="Times New Roman" w:hAnsi="Times New Roman"/>
          <w:b/>
          <w:i/>
          <w:color w:val="000000"/>
          <w:sz w:val="24"/>
        </w:rPr>
        <w:t>Base Salary</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rPr>
        <w:t>Equity Incentive Plan.</w:t>
      </w:r>
      <w:r>
        <w:rPr>
          <w:color w:val="000000"/>
        </w:rPr>
        <w:t xml:space="preserve"> </w:t>
      </w:r>
      <w:r>
        <w:rPr>
          <w:rFonts w:ascii="Times New Roman" w:hAnsi="Times New Roman"/>
          <w:color w:val="000000"/>
          <w:sz w:val="24"/>
        </w:rPr>
        <w:t>During the term of Executive’s employment with the Company, Executive will be eligible to participate in any then-current equity incentive plan as may be in effect from time to time and made available to similarly situated executive employees, subject to the terms of the associated plan documents and as determined by the Board of Directors of the Company (the “</w:t>
      </w:r>
      <w:r>
        <w:rPr>
          <w:rFonts w:ascii="Times New Roman" w:hAnsi="Times New Roman"/>
          <w:b/>
          <w:i/>
          <w:color w:val="000000"/>
          <w:sz w:val="24"/>
        </w:rPr>
        <w:t>Board</w:t>
      </w:r>
      <w:r>
        <w:rPr>
          <w:color w:val="000000"/>
        </w:rPr>
        <w:t>”</w:t>
      </w:r>
      <w:r>
        <w:rPr>
          <w:rFonts w:ascii="Times New Roman" w:hAnsi="Times New Roman"/>
          <w:color w:val="000000"/>
          <w:sz w:val="24"/>
        </w:rPr>
        <w:t xml:space="preserve">) in its sole discretion from time to time. The Company reserves the right to modify or terminate its incentive programs at any time in its sole discretion.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rPr>
        <w:t xml:space="preserve">Discretionary Annual Bonus. </w:t>
      </w:r>
      <w:r>
        <w:rPr>
          <w:rFonts w:ascii="Times New Roman" w:hAnsi="Times New Roman"/>
          <w:color w:val="000000"/>
          <w:sz w:val="24"/>
        </w:rPr>
        <w:t>During the term of Executive’s employment with the Company, Executive will be eligible to receive a discretionary bonus on the terms and conditions as determined by the Board of Directors of the Company (the “</w:t>
      </w:r>
      <w:r>
        <w:rPr>
          <w:rFonts w:ascii="Times New Roman" w:hAnsi="Times New Roman"/>
          <w:b/>
          <w:i/>
          <w:color w:val="000000"/>
          <w:sz w:val="24"/>
        </w:rPr>
        <w:t>Board</w:t>
      </w:r>
      <w:r>
        <w:rPr>
          <w:color w:val="000000"/>
        </w:rPr>
        <w:t>”</w:t>
      </w:r>
      <w:r>
        <w:rPr>
          <w:rFonts w:ascii="Times New Roman" w:hAnsi="Times New Roman"/>
          <w:color w:val="000000"/>
          <w:sz w:val="24"/>
        </w:rPr>
        <w:t>) in its sole discretion from time to time. The Company reserves the right to modify or terminate any discretionary bonuses at any time in its sole discretion.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color w:val="000000"/>
          <w:sz w:val="24"/>
        </w:rPr>
        <w:t>Expense Reimbursement</w:t>
      </w:r>
      <w:r>
        <w:rPr>
          <w:rFonts w:ascii="Times New Roman" w:hAnsi="Times New Roman"/>
          <w:color w:val="000000"/>
          <w:sz w:val="24"/>
        </w:rPr>
        <w:t xml:space="preserve">. The Company will reimburse Executive for reasonable business expenses in accordance with the Company’s standard expense reimbursement policy, as the same may be modified by the Company from time to time. The Company shall reimburse Executive for all customary and appropriate business-related expenses actually incurred and documented in accordance with Company policy, as in effect from time to time.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Confidentiality, Intellectual Property, and Protective Covenants Agreement</w:t>
      </w:r>
      <w:r>
        <w:rPr>
          <w:rFonts w:ascii="Times New Roman" w:hAnsi="Times New Roman"/>
          <w:b/>
          <w:smallCaps/>
          <w:color w:val="000000"/>
          <w:sz w:val="24"/>
        </w:rPr>
        <w:t>.</w:t>
      </w:r>
      <w:r>
        <w:rPr>
          <w:smallCaps/>
          <w:color w:val="000000"/>
        </w:rPr>
        <w:t xml:space="preserve"> </w:t>
      </w:r>
      <w:r>
        <w:rPr>
          <w:rFonts w:ascii="Times New Roman" w:hAnsi="Times New Roman"/>
          <w:color w:val="000000"/>
          <w:sz w:val="24"/>
        </w:rPr>
        <w:t>As a condition of continued employment, Executive agreed to execute and abide by a Confidentiality, Intellectual Property, and Protective Covenants Agreement (“</w:t>
      </w:r>
      <w:r>
        <w:rPr>
          <w:rFonts w:ascii="Times New Roman" w:hAnsi="Times New Roman"/>
          <w:b/>
          <w:i/>
          <w:color w:val="000000"/>
          <w:sz w:val="24"/>
        </w:rPr>
        <w:t>Proprietary Information Agreement</w:t>
      </w:r>
      <w:r>
        <w:rPr>
          <w:color w:val="000000"/>
        </w:rPr>
        <w:t>”</w:t>
      </w:r>
      <w:r>
        <w:rPr>
          <w:rFonts w:ascii="Times New Roman" w:hAnsi="Times New Roman"/>
          <w:color w:val="000000"/>
          <w:sz w:val="24"/>
        </w:rPr>
        <w:t>), which may be amended by the parties from time to time without regard to this Agreement. The Proprietary Information</w:t>
      </w:r>
      <w:r>
        <w:rPr>
          <w:color w:val="000000"/>
        </w:rPr>
        <w:t xml:space="preserve"> </w:t>
      </w:r>
      <w:r>
        <w:rPr>
          <w:rFonts w:ascii="Times New Roman" w:hAnsi="Times New Roman"/>
          <w:color w:val="000000"/>
          <w:sz w:val="24"/>
        </w:rPr>
        <w:t xml:space="preserve">Agreement contains provisions that are intended by the parties to survive and do survive termination of this Agreement, and such terms are hereby incorporated by reference.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Outside Activities during Employment</w:t>
      </w:r>
      <w:r>
        <w:rPr>
          <w:rFonts w:ascii="Times New Roman" w:hAnsi="Times New Roman"/>
          <w:color w:val="000000"/>
          <w:sz w:val="24"/>
        </w:rPr>
        <w:t xml:space="preserve">. Except with the prior written consent of the Board, including consent given to Executive prior to the signing of this Agreement,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organization as Executive may wish to serve, (ii) reasonable time devoted to activities in the nonprofit and business communities consistent with Executive’s duties; and (iii) such other activities as may be specifically approved by the Board. This restriction shall not, however, preclude Executive (x) from owning less than one percent (1%) of the total outstanding shares of a publicly traded company, or (y) from employment or service in any capacity with Affiliates of the Company. As used in this Agreement, “</w:t>
      </w:r>
      <w:r>
        <w:rPr>
          <w:rFonts w:ascii="Times New Roman" w:hAnsi="Times New Roman"/>
          <w:b/>
          <w:i/>
          <w:color w:val="000000"/>
          <w:sz w:val="24"/>
        </w:rPr>
        <w:t>Affiliates</w:t>
      </w:r>
      <w:r>
        <w:rPr>
          <w:color w:val="000000"/>
        </w:rPr>
        <w:t xml:space="preserve">” </w:t>
      </w:r>
      <w:r>
        <w:rPr>
          <w:rFonts w:ascii="Times New Roman" w:hAnsi="Times New Roman"/>
          <w:color w:val="000000"/>
          <w:sz w:val="24"/>
        </w:rPr>
        <w:t>means an entity under common management or control with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No Conflict with Existing Obligations</w:t>
      </w:r>
      <w:r>
        <w:rPr>
          <w:rFonts w:ascii="Times New Roman" w:hAnsi="Times New Roman"/>
          <w:color w:val="000000"/>
          <w:sz w:val="24"/>
        </w:rPr>
        <w:t>. Executive represents that Executive’s performance of all the terms of this Agreement does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Termination of Employment</w:t>
      </w:r>
      <w:r>
        <w:rPr>
          <w:rFonts w:ascii="Times New Roman" w:hAnsi="Times New Roman"/>
          <w:color w:val="000000"/>
          <w:sz w:val="24"/>
        </w:rPr>
        <w:t xml:space="preserve">. The parties acknowledge that Executive’s employment relationship with the Company is at-will, meaning either the Company or Executive may terminate Executive’s employment at any time, with or without cause or advance notice. The provisions in this Section govern the amount of compensation, if any, to be provided to Executive upon termination of employment and do not alter this at-will status.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b/>
          <w:color w:val="000000"/>
          <w:sz w:val="24"/>
        </w:rPr>
        <w:t>Termination without Cause or for Good Reason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Company shall have the right to terminate Executive’s employment with the Company pursuant to this </w:t>
      </w:r>
      <w:r>
        <w:rPr>
          <w:rFonts w:ascii="Times New Roman" w:hAnsi="Times New Roman"/>
          <w:b/>
          <w:color w:val="000000"/>
          <w:sz w:val="24"/>
        </w:rPr>
        <w:t>Section 6.1</w:t>
      </w:r>
      <w:r>
        <w:rPr>
          <w:color w:val="000000"/>
        </w:rPr>
        <w:t xml:space="preserve"> </w:t>
      </w:r>
      <w:r>
        <w:rPr>
          <w:rFonts w:ascii="Times New Roman" w:hAnsi="Times New Roman"/>
          <w:color w:val="000000"/>
          <w:sz w:val="24"/>
        </w:rPr>
        <w:t xml:space="preserve">at any time, in accordance with </w:t>
      </w:r>
      <w:r>
        <w:rPr>
          <w:rFonts w:ascii="Times New Roman" w:hAnsi="Times New Roman"/>
          <w:b/>
          <w:color w:val="000000"/>
          <w:sz w:val="24"/>
        </w:rPr>
        <w:t>Section 6.6</w:t>
      </w:r>
      <w:r>
        <w:rPr>
          <w:rFonts w:ascii="Times New Roman" w:hAnsi="Times New Roman"/>
          <w:color w:val="000000"/>
          <w:sz w:val="24"/>
        </w:rPr>
        <w:t xml:space="preserve">, without “Cause” (as defined in </w:t>
      </w:r>
      <w:r>
        <w:rPr>
          <w:rFonts w:ascii="Times New Roman" w:hAnsi="Times New Roman"/>
          <w:b/>
          <w:color w:val="000000"/>
          <w:sz w:val="24"/>
        </w:rPr>
        <w:t>Section 6.3(b)</w:t>
      </w:r>
      <w:r>
        <w:rPr>
          <w:color w:val="000000"/>
        </w:rPr>
        <w:t xml:space="preserve"> </w:t>
      </w:r>
      <w:r>
        <w:rPr>
          <w:rFonts w:ascii="Times New Roman" w:hAnsi="Times New Roman"/>
          <w:color w:val="000000"/>
          <w:sz w:val="24"/>
        </w:rPr>
        <w:t xml:space="preserve">below) by giving notice as described in </w:t>
      </w:r>
      <w:r>
        <w:rPr>
          <w:rFonts w:ascii="Times New Roman" w:hAnsi="Times New Roman"/>
          <w:b/>
          <w:color w:val="000000"/>
          <w:sz w:val="24"/>
        </w:rPr>
        <w:t>Section 7.1</w:t>
      </w:r>
      <w:r>
        <w:rPr>
          <w:color w:val="000000"/>
        </w:rPr>
        <w:t xml:space="preserve"> </w:t>
      </w:r>
      <w:r>
        <w:rPr>
          <w:rFonts w:ascii="Times New Roman" w:hAnsi="Times New Roman"/>
          <w:color w:val="000000"/>
          <w:sz w:val="24"/>
        </w:rPr>
        <w:t xml:space="preserve">of this Agreement. A termination pursuant to </w:t>
      </w:r>
      <w:r>
        <w:rPr>
          <w:rFonts w:ascii="Times New Roman" w:hAnsi="Times New Roman"/>
          <w:b/>
          <w:color w:val="000000"/>
          <w:sz w:val="24"/>
        </w:rPr>
        <w:t>Section 6.5</w:t>
      </w:r>
      <w:r>
        <w:rPr>
          <w:color w:val="000000"/>
        </w:rPr>
        <w:t xml:space="preserve"> </w:t>
      </w:r>
      <w:r>
        <w:rPr>
          <w:rFonts w:ascii="Times New Roman" w:hAnsi="Times New Roman"/>
          <w:color w:val="000000"/>
          <w:sz w:val="24"/>
        </w:rPr>
        <w:t xml:space="preserve">below is not a termination without “Cause” for purposes of receiving the benefits described in </w:t>
      </w:r>
      <w:r>
        <w:rPr>
          <w:rFonts w:ascii="Times New Roman" w:hAnsi="Times New Roman"/>
          <w:b/>
          <w:color w:val="000000"/>
          <w:sz w:val="24"/>
        </w:rPr>
        <w:t xml:space="preserve">Sections 6.1 </w:t>
      </w:r>
      <w:r>
        <w:rPr>
          <w:rFonts w:ascii="Times New Roman" w:hAnsi="Times New Roman"/>
          <w:color w:val="000000"/>
          <w:sz w:val="24"/>
        </w:rPr>
        <w:t>or</w:t>
      </w:r>
      <w:r>
        <w:rPr>
          <w:color w:val="000000"/>
        </w:rPr>
        <w:t xml:space="preserve"> </w:t>
      </w:r>
      <w:r>
        <w:rPr>
          <w:rFonts w:ascii="Times New Roman" w:hAnsi="Times New Roman"/>
          <w:b/>
          <w:color w:val="000000"/>
          <w:sz w:val="24"/>
        </w:rPr>
        <w:t>Section 6.2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If the Company terminates Executive’s employment at any time without Cause or Executive terminates Executive’s employment with the Company for Good Reason and provided that such termination constitutes a “separation from service” (as defined under Treasury Regulation Section 1.409A-1(h), without regard to any alternative definition thereunder, a “</w:t>
      </w:r>
      <w:r>
        <w:rPr>
          <w:rFonts w:ascii="Times New Roman" w:hAnsi="Times New Roman"/>
          <w:b/>
          <w:i/>
          <w:color w:val="000000"/>
          <w:sz w:val="24"/>
        </w:rPr>
        <w:t>Separation from Service</w:t>
      </w:r>
      <w:r>
        <w:rPr>
          <w:color w:val="000000"/>
        </w:rPr>
        <w:t>”</w:t>
      </w:r>
      <w:r>
        <w:rPr>
          <w:rFonts w:ascii="Times New Roman" w:hAnsi="Times New Roman"/>
          <w:color w:val="000000"/>
          <w:sz w:val="24"/>
        </w:rPr>
        <w:t xml:space="preserve">), then Executive shall be entitled to receive the Accrued Obligations (defined below). If Executive complies with the obligations in </w:t>
      </w:r>
      <w:r>
        <w:rPr>
          <w:rFonts w:ascii="Times New Roman" w:hAnsi="Times New Roman"/>
          <w:b/>
          <w:color w:val="000000"/>
          <w:sz w:val="24"/>
        </w:rPr>
        <w:t>Section 6.1(c)</w:t>
      </w:r>
      <w:r>
        <w:rPr>
          <w:color w:val="000000"/>
        </w:rPr>
        <w:t xml:space="preserve"> </w:t>
      </w:r>
      <w:r>
        <w:rPr>
          <w:rFonts w:ascii="Times New Roman" w:hAnsi="Times New Roman"/>
          <w:color w:val="000000"/>
          <w:sz w:val="24"/>
        </w:rPr>
        <w:t>below, Executive shall also be eligible to receive the following “</w:t>
      </w:r>
      <w:r>
        <w:rPr>
          <w:rFonts w:ascii="Times New Roman" w:hAnsi="Times New Roman"/>
          <w:b/>
          <w:i/>
          <w:color w:val="000000"/>
          <w:sz w:val="24"/>
        </w:rPr>
        <w:t>Severance Benefits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The Company will pay Executive an amount equal to Executive’s then current Base Salary for twelve (12) months, less all applicable withholdings and deductions, paid in equal installments on the Company’s normal payroll schedule following the termination date, with the first payment beginning on the Severance Pay Commencement Date (as defined in </w:t>
      </w:r>
      <w:r>
        <w:rPr>
          <w:rFonts w:ascii="Times New Roman" w:hAnsi="Times New Roman"/>
          <w:b/>
          <w:color w:val="000000"/>
          <w:sz w:val="24"/>
        </w:rPr>
        <w:t>Section 6.1(c)</w:t>
      </w:r>
      <w:r>
        <w:rPr>
          <w:color w:val="000000"/>
        </w:rPr>
        <w:t xml:space="preserve"> </w:t>
      </w:r>
      <w:r>
        <w:rPr>
          <w:rFonts w:ascii="Times New Roman" w:hAnsi="Times New Roman"/>
          <w:color w:val="000000"/>
          <w:sz w:val="24"/>
        </w:rPr>
        <w:t xml:space="preserve">below), and the remaining installments occurring on the Company’s regularly scheduled payroll dates thereafter; provided that on the Severance Pay Commencement Date, the Company will pay in a lump sum the aggregate amount of the cash severance payments that the Company would have paid Executive through such date had the payments commenced on the effective date of termination through the Severance Pay Commencement Date. In addition,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six (6) month period following Executive’s Separation from Service, Executive’s equity will continue to satisfy any applicable time-based vesting condition, as though Executive remained employed by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If Executive timely elects continued coverage under COBRA for Executive and Executive’s covered dependents under the Company’s group health plans following such termination, then the Company shall pay the COBRA premiums necessary to continue Executive’s and Executive’s covered dependents’ health insurance coverage in effect for Executive (and Executive’s covered dependents) on the termination date until the earliest of: (i) twelve (12) months following the termination date (the “</w:t>
      </w:r>
      <w:r>
        <w:rPr>
          <w:rFonts w:ascii="Times New Roman" w:hAnsi="Times New Roman"/>
          <w:b/>
          <w:i/>
          <w:color w:val="000000"/>
          <w:sz w:val="24"/>
        </w:rPr>
        <w:t>COBRA Severance Period</w:t>
      </w:r>
      <w:r>
        <w:rPr>
          <w:color w:val="000000"/>
        </w:rPr>
        <w:t>”</w:t>
      </w:r>
      <w:r>
        <w:rPr>
          <w:rFonts w:ascii="Times New Roman" w:hAnsi="Times New Roman"/>
          <w:color w:val="000000"/>
          <w:sz w:val="24"/>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Times New Roman" w:hAnsi="Times New Roman"/>
          <w:b/>
          <w:i/>
          <w:color w:val="000000"/>
          <w:sz w:val="24"/>
        </w:rPr>
        <w:t>COBRA Payment Period</w:t>
      </w:r>
      <w:r>
        <w:rPr>
          <w:color w:val="000000"/>
        </w:rPr>
        <w:t>”</w:t>
      </w:r>
      <w:r>
        <w:rPr>
          <w:rFonts w:ascii="Times New Roman" w:hAnsi="Times New Roman"/>
          <w:color w:val="000000"/>
          <w:sz w:val="24"/>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(such amount, the “</w:t>
      </w:r>
      <w:r>
        <w:rPr>
          <w:rFonts w:ascii="Times New Roman" w:hAnsi="Times New Roman"/>
          <w:b/>
          <w:i/>
          <w:color w:val="000000"/>
          <w:sz w:val="24"/>
        </w:rPr>
        <w:t>Special Severance Payment</w:t>
      </w:r>
      <w:r>
        <w:rPr>
          <w:color w:val="000000"/>
        </w:rPr>
        <w:t>”</w:t>
      </w:r>
      <w:r>
        <w:rPr>
          <w:rFonts w:ascii="Times New Roman" w:hAnsi="Times New Roman"/>
          <w:color w:val="000000"/>
          <w:sz w:val="24"/>
        </w:rPr>
        <w:t xml:space="preserve">), for the remainder of the COBRA Payment Period. Nothing in this Agreement shall deprive Executive of Executive’s rights under COBRA or ERISA for benefits under plans and policies arising under Executive’s employment by the Company. Executive will be paid all of the Accrued Obligations on the Company’s first payroll date after Executive’s date of termination from employment or earlier if required by law. Executive shall receive the Severance Benefits pursuant to </w:t>
      </w:r>
      <w:r>
        <w:rPr>
          <w:rFonts w:ascii="Times New Roman" w:hAnsi="Times New Roman"/>
          <w:b/>
          <w:color w:val="000000"/>
          <w:sz w:val="24"/>
        </w:rPr>
        <w:t xml:space="preserve">Section 6.1(b)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 xml:space="preserve">Change in Control Severance Benefits (defined below) pursuant to </w:t>
      </w:r>
      <w:r>
        <w:rPr>
          <w:rFonts w:ascii="Times New Roman" w:hAnsi="Times New Roman"/>
          <w:b/>
          <w:color w:val="000000"/>
          <w:sz w:val="24"/>
        </w:rPr>
        <w:t>6.2(a)</w:t>
      </w:r>
      <w:r>
        <w:rPr>
          <w:color w:val="000000"/>
        </w:rPr>
        <w:t xml:space="preserve"> </w:t>
      </w:r>
      <w:r>
        <w:rPr>
          <w:rFonts w:ascii="Times New Roman" w:hAnsi="Times New Roman"/>
          <w:color w:val="000000"/>
          <w:sz w:val="24"/>
        </w:rPr>
        <w:t>of this Agreement, as applicable, if: (i) Executive executes and does not revoke a separation agreement containing an effective, general release of claims in favor of the Company and its affiliates and representatives, in a form acceptable to the Company (the “</w:t>
      </w:r>
      <w:r>
        <w:rPr>
          <w:rFonts w:ascii="Times New Roman" w:hAnsi="Times New Roman"/>
          <w:b/>
          <w:i/>
          <w:color w:val="000000"/>
          <w:sz w:val="24"/>
        </w:rPr>
        <w:t>Release</w:t>
      </w:r>
      <w:r>
        <w:rPr>
          <w:color w:val="000000"/>
        </w:rPr>
        <w:t>”</w:t>
      </w:r>
      <w:r>
        <w:rPr>
          <w:rFonts w:ascii="Times New Roman" w:hAnsi="Times New Roman"/>
          <w:color w:val="000000"/>
          <w:sz w:val="24"/>
        </w:rPr>
        <w:t>) and the Release is enforceable and effective as provided in the Release on or before the date that is the sixtieth (60</w:t>
      </w:r>
      <w:r>
        <w:rPr>
          <w:rFonts w:ascii="Times New Roman" w:hAnsi="Times New Roman"/>
          <w:color w:val="000000"/>
          <w:sz w:val="16"/>
        </w:rPr>
        <w:t>th</w:t>
      </w:r>
      <w:r>
        <w:rPr>
          <w:rFonts w:ascii="Times New Roman" w:hAnsi="Times New Roman"/>
          <w:color w:val="000000"/>
          <w:sz w:val="24"/>
        </w:rPr>
        <w:t>) day following the effective date of termination (such 60</w:t>
      </w:r>
      <w:r>
        <w:rPr>
          <w:rFonts w:ascii="Times New Roman" w:hAnsi="Times New Roman"/>
          <w:color w:val="000000"/>
          <w:sz w:val="16"/>
        </w:rPr>
        <w:t>th</w:t>
      </w:r>
      <w:r>
        <w:rPr>
          <w:color w:val="000000"/>
        </w:rPr>
        <w:t xml:space="preserve"> </w:t>
      </w:r>
      <w:r>
        <w:rPr>
          <w:rFonts w:ascii="Times New Roman" w:hAnsi="Times New Roman"/>
          <w:color w:val="000000"/>
          <w:sz w:val="24"/>
        </w:rPr>
        <w:t>day, the “</w:t>
      </w:r>
      <w:r>
        <w:rPr>
          <w:rFonts w:ascii="Times New Roman" w:hAnsi="Times New Roman"/>
          <w:b/>
          <w:i/>
          <w:color w:val="000000"/>
          <w:sz w:val="24"/>
        </w:rPr>
        <w:t>Severance Pay Commencement Date</w:t>
      </w:r>
      <w:r>
        <w:rPr>
          <w:color w:val="000000"/>
        </w:rPr>
        <w:t>”</w:t>
      </w:r>
      <w:r>
        <w:rPr>
          <w:rFonts w:ascii="Times New Roman" w:hAnsi="Times New Roman"/>
          <w:color w:val="000000"/>
          <w:sz w:val="24"/>
        </w:rPr>
        <w:t xml:space="preserve">); (ii) if Executive holds any other positions with the Company, Executive resigns such position(s) to be effective no later than the date of Executive’s termination date (or such other date as requested by the Board); (iii) Executive returns all Company property; (iv) Executive complies with Executive’s post-termination obligations under this Agreement and the Proprietary Information Agreement; and (v) Executive complies with the terms of the Release, including without limitation any non-disparagement and confidentiality provisions contained in Release.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For purposes of this Agreement, “</w:t>
      </w:r>
      <w:r>
        <w:rPr>
          <w:rFonts w:ascii="Times New Roman" w:hAnsi="Times New Roman"/>
          <w:b/>
          <w:i/>
          <w:color w:val="000000"/>
          <w:sz w:val="24"/>
        </w:rPr>
        <w:t>Accrued Obligations</w:t>
      </w:r>
      <w:r>
        <w:rPr>
          <w:color w:val="000000"/>
        </w:rPr>
        <w:t xml:space="preserve">” </w:t>
      </w:r>
      <w:r>
        <w:rPr>
          <w:rFonts w:ascii="Times New Roman" w:hAnsi="Times New Roman"/>
          <w:color w:val="000000"/>
          <w:sz w:val="24"/>
        </w:rPr>
        <w:t>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The Severance Benefits provided to Executive pursuant to this </w:t>
      </w:r>
      <w:r>
        <w:rPr>
          <w:rFonts w:ascii="Times New Roman" w:hAnsi="Times New Roman"/>
          <w:b/>
          <w:color w:val="000000"/>
          <w:sz w:val="24"/>
        </w:rPr>
        <w:t>Section 6.1</w:t>
      </w:r>
      <w:r>
        <w:rPr>
          <w:color w:val="000000"/>
        </w:rPr>
        <w:t xml:space="preserve"> </w:t>
      </w:r>
      <w:r>
        <w:rPr>
          <w:rFonts w:ascii="Times New Roman" w:hAnsi="Times New Roman"/>
          <w:color w:val="000000"/>
          <w:sz w:val="24"/>
        </w:rPr>
        <w:t>are in lieu of, and not in addition to, any benefits to which Executive may otherwise be entitled under any Company severance plan, policy or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Any damages caused by the termination of Executive’s employment without Cause would be difficult to ascertain; therefore, the Severance Benefits for which Executive is eligible pursuant to </w:t>
      </w:r>
      <w:r>
        <w:rPr>
          <w:rFonts w:ascii="Times New Roman" w:hAnsi="Times New Roman"/>
          <w:b/>
          <w:color w:val="000000"/>
          <w:sz w:val="24"/>
        </w:rPr>
        <w:t>Section 6.1(b)</w:t>
      </w:r>
      <w:r>
        <w:rPr>
          <w:color w:val="000000"/>
        </w:rPr>
        <w:t xml:space="preserve"> </w:t>
      </w:r>
      <w:r>
        <w:rPr>
          <w:rFonts w:ascii="Times New Roman" w:hAnsi="Times New Roman"/>
          <w:color w:val="000000"/>
          <w:sz w:val="24"/>
        </w:rPr>
        <w:t>above in exchange for the Release is agreed to by the parties as liquidated damages, to serve as full compensation, and not a penalty.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For purposes of this Agreement, “</w:t>
      </w:r>
      <w:r>
        <w:rPr>
          <w:rFonts w:ascii="Times New Roman" w:hAnsi="Times New Roman"/>
          <w:b/>
          <w:i/>
          <w:color w:val="000000"/>
          <w:sz w:val="24"/>
        </w:rPr>
        <w:t>Good Reason</w:t>
      </w:r>
      <w:r>
        <w:rPr>
          <w:color w:val="000000"/>
        </w:rPr>
        <w:t xml:space="preserve">” </w:t>
      </w:r>
      <w:r>
        <w:rPr>
          <w:rFonts w:ascii="Times New Roman" w:hAnsi="Times New Roman"/>
          <w:color w:val="000000"/>
          <w:sz w:val="24"/>
        </w:rPr>
        <w:t xml:space="preserve">shall mean the occurrence of any of the following events without Executive’s consent: (i) a material reduction in Executive’s Base Salary of at least 25%; (ii) a material breach of this Agreement by the Company; (iii) a material reduction in the Executive’s duties, authority and responsibilities relative to the Executive’s duties, authority, and responsibilities in effect immediately prior to such reduction (provided that a material reduction of duties, authority and responsibilities will not be deemed to have occurred if, in connection with a Change in Control, Executive is not reporting to the individual in the same role as Executive’s prior manager at the acquirer or any other top-tier holding company above the acquirer); or (iv) the relocation of Executive’s principal place of employment, without Executive’s consent, in a manner that lengthens Executive’s one-way commute distance by fifty (50) or more miles from his then-current principal place of employment immediately prior to such relocation; </w:t>
      </w:r>
      <w:r>
        <w:rPr>
          <w:rFonts w:ascii="Times New Roman" w:hAnsi="Times New Roman"/>
          <w:i/>
          <w:color w:val="000000"/>
          <w:sz w:val="24"/>
        </w:rPr>
        <w:t xml:space="preserve">provided, however, </w:t>
      </w:r>
      <w:r>
        <w:rPr>
          <w:rFonts w:ascii="Times New Roman" w:hAnsi="Times New Roman"/>
          <w:color w:val="000000"/>
          <w:sz w:val="24"/>
        </w:rPr>
        <w:t>that, any such termination by Executive shall only be deemed for Good Reason pursuant to this definition if: (1) 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hAnsi="Times New Roman"/>
          <w:b/>
          <w:i/>
          <w:color w:val="000000"/>
          <w:sz w:val="24"/>
        </w:rPr>
        <w:t>Cure Period</w:t>
      </w:r>
      <w:r>
        <w:rPr>
          <w:color w:val="000000"/>
        </w:rPr>
        <w:t>”</w:t>
      </w:r>
      <w:r>
        <w:rPr>
          <w:rFonts w:ascii="Times New Roman" w:hAnsi="Times New Roman"/>
          <w:color w:val="000000"/>
          <w:sz w:val="24"/>
        </w:rPr>
        <w:t>); and (3) Executive voluntarily terminates Executive’s employment within thirty (30) days following the end of the Cure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rPr>
        <w:t>Termination without Cause or for Good Reason Coincident with a Change in Control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If Executive’s employment by the Company is terminated by the Company or any successor entity without Cause (and not due to Disability or death) or by Executive for Good Reason within two (2) months prior to or within twelve (12) months following the effective date of a “</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(as defined in the Company’s Amended and Restated 2015 Stock Plan, as such plan may be amended from time to time (the “</w:t>
      </w:r>
      <w:r>
        <w:rPr>
          <w:rFonts w:ascii="Times New Roman" w:hAnsi="Times New Roman"/>
          <w:b/>
          <w:i/>
          <w:color w:val="000000"/>
          <w:sz w:val="24"/>
        </w:rPr>
        <w:t>2015 Plan</w:t>
      </w:r>
      <w:r>
        <w:rPr>
          <w:color w:val="000000"/>
        </w:rPr>
        <w:t>”</w:t>
      </w:r>
      <w:r>
        <w:rPr>
          <w:rFonts w:ascii="Times New Roman" w:hAnsi="Times New Roman"/>
          <w:color w:val="000000"/>
          <w:sz w:val="24"/>
        </w:rPr>
        <w:t xml:space="preserve">)), provided that such termination constitutes a Separation from Service, without regard to any alternative definition thereunder, then in addition to paying or providing Executive with the Accrued Obligations and the Severance Benefits available under </w:t>
      </w:r>
      <w:r>
        <w:rPr>
          <w:rFonts w:ascii="Times New Roman" w:hAnsi="Times New Roman"/>
          <w:b/>
          <w:color w:val="000000"/>
          <w:sz w:val="24"/>
        </w:rPr>
        <w:t>Section 6.1</w:t>
      </w:r>
      <w:r>
        <w:rPr>
          <w:rFonts w:ascii="Times New Roman" w:hAnsi="Times New Roman"/>
          <w:color w:val="000000"/>
          <w:sz w:val="24"/>
        </w:rPr>
        <w:t>, the Company will provide the following “</w:t>
      </w:r>
      <w:r>
        <w:rPr>
          <w:rFonts w:ascii="Times New Roman" w:hAnsi="Times New Roman"/>
          <w:b/>
          <w:i/>
          <w:color w:val="000000"/>
          <w:sz w:val="24"/>
        </w:rPr>
        <w:t>Change in Control Severance Benefits</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equity awards held by Executive that were issued pursuant to the Company’s 2015 Plan or any successor plan and that remain outstanding and are unvested as of the date of such termination will immediately vest in full. For the avoidance of doubt, if such termination occurs prior to the effective date of a Change in Control, any such equity awards will remain outstanding following the date of such termination as necessary to give effect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to the potential vesting acceleration set forth in this </w:t>
      </w:r>
      <w:r>
        <w:rPr>
          <w:rFonts w:ascii="Times New Roman" w:hAnsi="Times New Roman"/>
          <w:b/>
          <w:color w:val="000000"/>
          <w:sz w:val="24"/>
        </w:rPr>
        <w:t>Section 6.2(a)(iv)</w:t>
      </w:r>
      <w:r>
        <w:rPr>
          <w:rFonts w:ascii="Times New Roman" w:hAnsi="Times New Roman"/>
          <w:color w:val="000000"/>
          <w:sz w:val="24"/>
        </w:rPr>
        <w:t>, which would occur contingent upon the consummation of a Change in Control.</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Termination by the Company for Cause.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Company shall have the right to terminate Executive’s employment with the Company at any time, in accordance with </w:t>
      </w:r>
      <w:r>
        <w:rPr>
          <w:rFonts w:ascii="Times New Roman" w:hAnsi="Times New Roman"/>
          <w:b/>
          <w:color w:val="000000"/>
          <w:sz w:val="24"/>
        </w:rPr>
        <w:t>Section 6.6</w:t>
      </w:r>
      <w:r>
        <w:rPr>
          <w:rFonts w:ascii="Times New Roman" w:hAnsi="Times New Roman"/>
          <w:color w:val="000000"/>
          <w:sz w:val="24"/>
        </w:rPr>
        <w:t xml:space="preserve">, for Cause by giving notice as described in </w:t>
      </w:r>
      <w:r>
        <w:rPr>
          <w:rFonts w:ascii="Times New Roman" w:hAnsi="Times New Roman"/>
          <w:b/>
          <w:color w:val="000000"/>
          <w:sz w:val="24"/>
        </w:rPr>
        <w:t>Section 7.1</w:t>
      </w:r>
      <w:r>
        <w:rPr>
          <w:color w:val="000000"/>
        </w:rPr>
        <w:t xml:space="preserve"> </w:t>
      </w:r>
      <w:r>
        <w:rPr>
          <w:rFonts w:ascii="Times New Roman" w:hAnsi="Times New Roman"/>
          <w:color w:val="000000"/>
          <w:sz w:val="24"/>
        </w:rPr>
        <w:t>of this Agreement. In the event Executive’s employment is terminated at any time for Cause, Executive will not receive Severance Benefits, Change in Control Severance Benefits, or any other severance compensation or benefits, except that, pursuant to the Company’s standard payroll policies, the Company shall pay to Executive the Accrued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b/>
          <w:i/>
          <w:color w:val="000000"/>
          <w:sz w:val="24"/>
        </w:rPr>
        <w:t xml:space="preserve">Cause” </w:t>
      </w:r>
      <w:r>
        <w:rPr>
          <w:rFonts w:ascii="Times New Roman" w:hAnsi="Times New Roman"/>
          <w:color w:val="000000"/>
          <w:sz w:val="24"/>
        </w:rPr>
        <w:t>for termination shall mean that the Company has determined in its sole discretion that Executive has engaged in any of the following: (i) a material breach of any covenant or condition under this Agreement or any other agreement between the parties; (ii) any act constituting dishonesty, fraud, falsification of any documents or records, or immoral or disreputable conduct; (iii) any conduct which constitutes a felony or other criminal act involving corruption, misappropriation, or moral turpitude, or otherwise impairs your ability to perform your duties with the Company, under applicable law; (iv) material violation of any Company policy or any act of misconduct (including if Executive acts in a manner expected to have a material detrimental effect on the Company’s reputation or business); (v) refusal to follow or implement a clear and reasonable directive of Company; (vi) negligence or incompetence in the performance of Executive’s duties or failure to perform such duties in a manner satisfactory to the Company after the expiration of ten (10) days without cure after written notice of such failure; (vii) breach of fiduciary duty; or (viii) unauthorized use, misappropriation, destruction, or diversion of any tangible or intangible asset or corporate opportunity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6.4</w:t>
      </w:r>
    </w:p>
    <w:p>
      <w:pPr>
        <w:pStyle w:val="TextBody"/>
        <w:bidi w:val="0"/>
        <w:spacing w:before="0" w:after="240"/>
        <w:jc w:val="both"/>
        <w:rPr/>
      </w:pPr>
      <w:r>
        <w:rPr>
          <w:rFonts w:ascii="Times New Roman" w:hAnsi="Times New Roman"/>
          <w:b/>
          <w:color w:val="000000"/>
          <w:sz w:val="24"/>
        </w:rPr>
        <w:t>Resignation by Executive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Executive may resign from Executive’s employment with the Company at any time, in accordance with </w:t>
      </w:r>
      <w:r>
        <w:rPr>
          <w:rFonts w:ascii="Times New Roman" w:hAnsi="Times New Roman"/>
          <w:b/>
          <w:color w:val="000000"/>
          <w:sz w:val="24"/>
        </w:rPr>
        <w:t>Section 6.6</w:t>
      </w:r>
      <w:r>
        <w:rPr>
          <w:rFonts w:ascii="Times New Roman" w:hAnsi="Times New Roman"/>
          <w:color w:val="000000"/>
          <w:sz w:val="24"/>
        </w:rPr>
        <w:t xml:space="preserve">, by giving notice as described in </w:t>
      </w:r>
      <w:r>
        <w:rPr>
          <w:rFonts w:ascii="Times New Roman" w:hAnsi="Times New Roman"/>
          <w:b/>
          <w:color w:val="000000"/>
          <w:sz w:val="24"/>
        </w:rPr>
        <w:t>Section 7.1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In the event Executive resigns from Executive’s employment with the Company for any reason other than Good Reason in accordance with </w:t>
      </w:r>
      <w:r>
        <w:rPr>
          <w:rFonts w:ascii="Times New Roman" w:hAnsi="Times New Roman"/>
          <w:b/>
          <w:color w:val="000000"/>
          <w:sz w:val="24"/>
        </w:rPr>
        <w:t>Sections 6.1 or 6.2</w:t>
      </w:r>
      <w:r>
        <w:rPr>
          <w:rFonts w:ascii="Times New Roman" w:hAnsi="Times New Roman"/>
          <w:color w:val="000000"/>
          <w:sz w:val="24"/>
        </w:rPr>
        <w:t>, Executive will not receive Severance Benefits, Change in Control Severance Benefits, or any other severance compensation or benefits, except that, pursuant to the Company’s standard payroll policies, the Company shall pay to Executive the Accrued Obligations.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6.5</w:t>
      </w:r>
    </w:p>
    <w:p>
      <w:pPr>
        <w:pStyle w:val="TextBody"/>
        <w:bidi w:val="0"/>
        <w:spacing w:before="0" w:after="240"/>
        <w:jc w:val="both"/>
        <w:rPr/>
      </w:pPr>
      <w:r>
        <w:rPr>
          <w:rFonts w:ascii="Times New Roman" w:hAnsi="Times New Roman"/>
          <w:b/>
          <w:color w:val="000000"/>
          <w:sz w:val="24"/>
        </w:rPr>
        <w:t>Termination by Virtue of Death or Disability of Executive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In the event of Executive’s death while employed pursuant to this Agreement, all obligations of the parties hereunder shall terminate immediately, in accordance with </w:t>
      </w:r>
      <w:r>
        <w:rPr>
          <w:rFonts w:ascii="Times New Roman" w:hAnsi="Times New Roman"/>
          <w:b/>
          <w:color w:val="000000"/>
          <w:sz w:val="24"/>
        </w:rPr>
        <w:t>Section 6.6</w:t>
      </w:r>
      <w:r>
        <w:rPr>
          <w:rFonts w:ascii="Times New Roman" w:hAnsi="Times New Roman"/>
          <w:color w:val="000000"/>
          <w:sz w:val="24"/>
        </w:rPr>
        <w:t>, and the Company shall, pursuant to the Company’s standard payroll policies, pay to Executive’s legal representatives all Accrued Obligations.</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Subject to applicable state and federal law, the Company shall at all times have the right, upon written notice to Executive, and in accordance with </w:t>
      </w:r>
      <w:r>
        <w:rPr>
          <w:rFonts w:ascii="Times New Roman" w:hAnsi="Times New Roman"/>
          <w:b/>
          <w:color w:val="000000"/>
          <w:sz w:val="24"/>
        </w:rPr>
        <w:t>Section 6.6</w:t>
      </w:r>
      <w:r>
        <w:rPr>
          <w:rFonts w:ascii="Times New Roman" w:hAnsi="Times New Roman"/>
          <w:color w:val="000000"/>
          <w:sz w:val="24"/>
        </w:rPr>
        <w:t>, to terminate this Agreement based on Executive’s Disability. Termination by the Company of Executive’s employment based on “</w:t>
      </w:r>
      <w:r>
        <w:rPr>
          <w:rFonts w:ascii="Times New Roman" w:hAnsi="Times New Roman"/>
          <w:b/>
          <w:i/>
          <w:color w:val="000000"/>
          <w:sz w:val="24"/>
        </w:rPr>
        <w:t>Disability</w:t>
      </w:r>
      <w:r>
        <w:rPr>
          <w:color w:val="000000"/>
        </w:rPr>
        <w:t xml:space="preserve">” </w:t>
      </w:r>
      <w:r>
        <w:rPr>
          <w:rFonts w:ascii="Times New Roman" w:hAnsi="Times New Roman"/>
          <w:color w:val="000000"/>
          <w:sz w:val="24"/>
        </w:rPr>
        <w:t>shall mean termination because Executive is unable due to a physical or mental condition to perform the essential functions of his position with or without reasonable accommodation for 180 days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Notice; Effective Date of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Termination of Executive’s employment pursuant to this Agreement shall be effective on the earliest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immediately upon the Executive’s death;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Executive has not returned to the full-time performance of Executive’s duties prior to such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ten (10) days after the Executive gives written notice to the Company of Executive’s resignation, </w:t>
      </w:r>
      <w:r>
        <w:rPr>
          <w:rFonts w:ascii="Times New Roman" w:hAnsi="Times New Roman"/>
          <w:i/>
          <w:color w:val="000000"/>
          <w:sz w:val="24"/>
        </w:rPr>
        <w:t xml:space="preserve">provided </w:t>
      </w:r>
      <w:r>
        <w:rPr>
          <w:rFonts w:ascii="Times New Roman" w:hAnsi="Times New Roman"/>
          <w:color w:val="000000"/>
          <w:sz w:val="24"/>
        </w:rPr>
        <w:t>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rPr>
        <w:t xml:space="preserve">for a termination for Good Reason, immediately upon Executive’s full satisfaction of the requirements of </w:t>
      </w:r>
      <w:r>
        <w:rPr>
          <w:rFonts w:ascii="Times New Roman" w:hAnsi="Times New Roman"/>
          <w:b/>
          <w:color w:val="000000"/>
          <w:sz w:val="24"/>
        </w:rPr>
        <w:t>Section 6.1(g)</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In the event notice of a termination under subsections (a)(i) or (iii) is given orally, at the other party’s request, the party giving notice must provide written confirmation of such notice within five (5) business days of the request in compliance with the requirement of </w:t>
      </w:r>
      <w:r>
        <w:rPr>
          <w:rFonts w:ascii="Times New Roman" w:hAnsi="Times New Roman"/>
          <w:b/>
          <w:color w:val="000000"/>
          <w:sz w:val="24"/>
        </w:rPr>
        <w:t>Section 7.1</w:t>
      </w:r>
      <w:r>
        <w:rPr>
          <w:color w:val="000000"/>
        </w:rPr>
        <w:t xml:space="preserve"> </w:t>
      </w:r>
      <w:r>
        <w:rPr>
          <w:rFonts w:ascii="Times New Roman" w:hAnsi="Times New Roman"/>
          <w:color w:val="000000"/>
          <w:sz w:val="24"/>
        </w:rPr>
        <w:t>below. In the event of a termination for Cause, written confirmation shall specify the subsection(s) of the definition of Cause relied on to support the decision to terminate.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6.7</w:t>
      </w:r>
    </w:p>
    <w:p>
      <w:pPr>
        <w:pStyle w:val="TextBody"/>
        <w:bidi w:val="0"/>
        <w:spacing w:before="0" w:after="240"/>
        <w:jc w:val="both"/>
        <w:rPr/>
      </w:pPr>
      <w:r>
        <w:rPr>
          <w:rFonts w:ascii="Times New Roman" w:hAnsi="Times New Roman"/>
          <w:b/>
          <w:color w:val="000000"/>
          <w:sz w:val="24"/>
        </w:rPr>
        <w:t>Cooperation with Company after Termination of Employment</w:t>
      </w:r>
      <w:r>
        <w:rPr>
          <w:rFonts w:ascii="Times New Roman" w:hAnsi="Times New Roman"/>
          <w:color w:val="000000"/>
          <w:sz w:val="24"/>
        </w:rPr>
        <w:t xml:space="preserve">. Following termination of Executive’s employment for any reason, Executive agrees to cooperate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fully with the Company in connection with its actual or contemplated defense, prosecution, or investigation of any claims or demands by or against third parties, or other matters arising from events, acts, or failures to act that occurred during the period of Executive’s employment by the Company. Such cooperation includes, without limitation, making Executive available to the Company upon reasonable notice, without subpoena, to provide complete, truthful and accurate information in witness interviews, depositions and trial testimony, and the failure to provide complete, truthful, and accurate information shall be a material breach of this Agreement and a basis for rescinding or forfeiting the benefits described herein. In addition, for twelve (12) months</w:t>
      </w:r>
      <w:r>
        <w:rPr>
          <w:color w:val="000000"/>
        </w:rPr>
        <w:t xml:space="preserve"> </w:t>
      </w:r>
      <w:r>
        <w:rPr>
          <w:rFonts w:ascii="Times New Roman" w:hAnsi="Times New Roman"/>
          <w:color w:val="000000"/>
          <w:sz w:val="24"/>
        </w:rPr>
        <w:t>after Executive’s employment with the Company ends for any reason, Executive agrees to cooperate fully with the Company in all matters relating to the transition of Executive’s work and responsibilities on behalf of the Company, including, but not limited to, any present, prior or subsequent relationships and the orderly transfer of any such work and institutional knowledge to such other persons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6.8</w:t>
      </w:r>
    </w:p>
    <w:p>
      <w:pPr>
        <w:pStyle w:val="TextBody"/>
        <w:bidi w:val="0"/>
        <w:spacing w:before="0" w:after="240"/>
        <w:jc w:val="both"/>
        <w:rPr/>
      </w:pPr>
      <w:r>
        <w:rPr>
          <w:rFonts w:ascii="Times New Roman" w:hAnsi="Times New Roman"/>
          <w:b/>
          <w:color w:val="000000"/>
          <w:sz w:val="24"/>
        </w:rPr>
        <w:t>Application of Section 409A</w:t>
      </w:r>
      <w:r>
        <w:rPr>
          <w:rFonts w:ascii="Times New Roman" w:hAnsi="Times New Roman"/>
          <w:color w:val="000000"/>
          <w:sz w:val="24"/>
        </w:rPr>
        <w:t>. It is intended that all of the severance payments payable under this Agreement satisfy, to the greatest extent possible, the exemptions from the application of Section 409A of the Code and the regulations and other guidance thereunder and any state law of similar effect (collectively, “</w:t>
      </w:r>
      <w:r>
        <w:rPr>
          <w:rFonts w:ascii="Times New Roman" w:hAnsi="Times New Roman"/>
          <w:b/>
          <w:i/>
          <w:color w:val="000000"/>
          <w:sz w:val="24"/>
        </w:rPr>
        <w:t>Section 409A</w:t>
      </w:r>
      <w:r>
        <w:rPr>
          <w:color w:val="000000"/>
        </w:rPr>
        <w:t>”</w:t>
      </w:r>
      <w:r>
        <w:rPr>
          <w:rFonts w:ascii="Times New Roman" w:hAnsi="Times New Roman"/>
          <w:color w:val="000000"/>
          <w:sz w:val="24"/>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hAnsi="Times New Roman"/>
          <w:b/>
          <w:i/>
          <w:color w:val="000000"/>
          <w:sz w:val="24"/>
        </w:rPr>
        <w:t>Delayed Initial Payment Date</w:t>
      </w:r>
      <w:r>
        <w:rPr>
          <w:color w:val="000000"/>
        </w:rPr>
        <w:t>”</w:t>
      </w:r>
      <w:r>
        <w:rPr>
          <w:rFonts w:ascii="Times New Roman" w:hAnsi="Times New Roman"/>
          <w:color w:val="000000"/>
          <w:sz w:val="24"/>
        </w:rPr>
        <w:t xml:space="preserve">), the Company will (i) pay to Executive a lump sum amount equal to the sum of the severance benefits that Executive would otherwise have received through the Delayed Initial Payment Date if the commencement of the payment of the severance benefits had not been delayed pursuant to this Section 6.8 and (ii) 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spans two calendar years, the payment of any such Severance Benefit will not be made or begin until the later calendar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6.9</w:t>
      </w:r>
    </w:p>
    <w:p>
      <w:pPr>
        <w:pStyle w:val="TextBody"/>
        <w:bidi w:val="0"/>
        <w:spacing w:before="0" w:after="240"/>
        <w:jc w:val="both"/>
        <w:rPr/>
      </w:pPr>
      <w:r>
        <w:rPr>
          <w:rFonts w:ascii="Times New Roman" w:hAnsi="Times New Roman"/>
          <w:b/>
          <w:color w:val="000000"/>
          <w:sz w:val="24"/>
        </w:rPr>
        <w:t xml:space="preserve">Section 280G. </w:t>
      </w:r>
      <w:r>
        <w:rPr>
          <w:rFonts w:ascii="Times New Roman" w:hAnsi="Times New Roman"/>
          <w:color w:val="000000"/>
          <w:sz w:val="24"/>
        </w:rPr>
        <w:t>Notwithstanding any other provision of this Agreement to the contrary, if payments made or benefits provided pursuant to this Agreement or otherwise from the Company or any person or entity are considered “parachute payments” under Section 280G of the Code, then such parachute payments will be limited to the greatest amount that may be paid to 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hAnsi="Times New Roman"/>
          <w:b/>
          <w:i/>
          <w:color w:val="000000"/>
          <w:sz w:val="24"/>
        </w:rPr>
        <w:t>Net after tax benefit</w:t>
      </w:r>
      <w:r>
        <w:rPr>
          <w:color w:val="000000"/>
        </w:rPr>
        <w:t xml:space="preserve">” </w:t>
      </w:r>
      <w:r>
        <w:rPr>
          <w:rFonts w:ascii="Times New Roman" w:hAnsi="Times New Roman"/>
          <w:color w:val="000000"/>
          <w:sz w:val="24"/>
        </w:rPr>
        <w:t>for purposes of this Agreement will mean the sum of (i) the total amounts payable to the Executive under this Agreement, plus (ii) all other payments and benefits which the Executive receives or then is entitled to receive from the Company or otherwise that would constitute a “parachute payment” within the meaning of Section 280G of the Code, less (iii) the amount of federal and state income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 (iv) 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as may be designated by the Company prior to a change in control (the “</w:t>
      </w:r>
      <w:r>
        <w:rPr>
          <w:rFonts w:ascii="Times New Roman" w:hAnsi="Times New Roman"/>
          <w:b/>
          <w:i/>
          <w:color w:val="000000"/>
          <w:sz w:val="24"/>
        </w:rPr>
        <w:t>Accounting Firm</w:t>
      </w:r>
      <w:r>
        <w:rPr>
          <w:color w:val="000000"/>
        </w:rPr>
        <w:t>”</w:t>
      </w:r>
      <w:r>
        <w:rPr>
          <w:rFonts w:ascii="Times New Roman" w:hAnsi="Times New Roman"/>
          <w:color w:val="000000"/>
          <w:sz w:val="24"/>
        </w:rPr>
        <w:t>). In the event of any mistaken underpayment or overpayment under this Agreement, as determined by the Accounting Firm, the amount of such underpayment or overpayment will forthwith be paid to Executive or refunded to the Company, as the case may be, with interest at one hundred twenty (120%) of the applicable Federal rate provided for in Section 7872(f)(2) of the Code. Any reduction in payments required by this Section 6.9 will occur in the following order: (1) any cash severance, (2) any other cash amount payable to Executive, (3) any benefit valued as a “parachute payment,” (4) the acceleration of vesting of any equity awards that are options, and (5) 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General Provisions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pPr>
      <w:r>
        <w:rPr>
          <w:rFonts w:ascii="Times New Roman" w:hAnsi="Times New Roman"/>
          <w:b/>
          <w:color w:val="000000"/>
          <w:sz w:val="24"/>
        </w:rPr>
        <w:t>Notices</w:t>
      </w:r>
      <w:r>
        <w:rPr>
          <w:rFonts w:ascii="Times New Roman" w:hAnsi="Times New Roman"/>
          <w:color w:val="000000"/>
          <w:sz w:val="24"/>
        </w:rPr>
        <w:t xml:space="preserve">. Any notices required hereunder to be in writing shall be deemed effectively given: (a) upon personal delivery to the party to 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either Executive’s address as listed on the Company payroll, or Executive’s Company-issued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email address, or at such other address as the Company or Executive may designate by ten (10) days advance written notice to the other.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pPr>
      <w:r>
        <w:rPr>
          <w:rFonts w:ascii="Times New Roman" w:hAnsi="Times New Roman"/>
          <w:b/>
          <w:color w:val="000000"/>
          <w:sz w:val="24"/>
        </w:rPr>
        <w:t>Severability</w:t>
      </w:r>
      <w:r>
        <w:rPr>
          <w:rFonts w:ascii="Times New Roman" w:hAnsi="Times New Roman"/>
          <w:color w:val="000000"/>
          <w:sz w:val="24"/>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0" w:after="240"/>
        <w:jc w:val="both"/>
        <w:rPr/>
      </w:pPr>
      <w:r>
        <w:rPr>
          <w:rFonts w:ascii="Times New Roman" w:hAnsi="Times New Roman"/>
          <w:b/>
          <w:color w:val="000000"/>
          <w:sz w:val="24"/>
        </w:rPr>
        <w:t>Survival</w:t>
      </w:r>
      <w:r>
        <w:rPr>
          <w:rFonts w:ascii="Times New Roman" w:hAnsi="Times New Roman"/>
          <w:color w:val="000000"/>
          <w:sz w:val="24"/>
        </w:rPr>
        <w:t>. Provisions of this Agreement which by their terms must survive the termination of this Agreement in order to effectuate the intent of the parties will survive any such termination for such period as may be appropriate under the circumstances.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w:t>
      </w:r>
    </w:p>
    <w:p>
      <w:pPr>
        <w:pStyle w:val="TextBody"/>
        <w:bidi w:val="0"/>
        <w:spacing w:before="0" w:after="240"/>
        <w:jc w:val="both"/>
        <w:rPr/>
      </w:pPr>
      <w:r>
        <w:rPr>
          <w:rFonts w:ascii="Times New Roman" w:hAnsi="Times New Roman"/>
          <w:b/>
          <w:color w:val="000000"/>
          <w:sz w:val="24"/>
        </w:rPr>
        <w:t>Waiver</w:t>
      </w:r>
      <w:r>
        <w:rPr>
          <w:rFonts w:ascii="Times New Roman" w:hAnsi="Times New Roman"/>
          <w:color w:val="000000"/>
          <w:sz w:val="24"/>
        </w:rPr>
        <w:t>. If either party should waive any breach of any provisions of this Agreement, it shall not thereby be deemed to have waived any preceding or succeeding breach of the same or any other provision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w:t>
      </w:r>
    </w:p>
    <w:p>
      <w:pPr>
        <w:pStyle w:val="TextBody"/>
        <w:bidi w:val="0"/>
        <w:spacing w:before="0" w:after="240"/>
        <w:jc w:val="both"/>
        <w:rPr/>
      </w:pPr>
      <w:r>
        <w:rPr>
          <w:rFonts w:ascii="Times New Roman" w:hAnsi="Times New Roman"/>
          <w:b/>
          <w:color w:val="000000"/>
          <w:sz w:val="24"/>
        </w:rPr>
        <w:t>Complete Agreement</w:t>
      </w:r>
      <w:r>
        <w:rPr>
          <w:rFonts w:ascii="Times New Roman" w:hAnsi="Times New Roman"/>
          <w:color w:val="000000"/>
          <w:sz w:val="24"/>
        </w:rPr>
        <w:t>. This Agreement constitutes the entire agreement between Executive and the Company with regard to the 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7.6</w:t>
      </w:r>
    </w:p>
    <w:p>
      <w:pPr>
        <w:pStyle w:val="TextBody"/>
        <w:bidi w:val="0"/>
        <w:spacing w:before="0" w:after="240"/>
        <w:jc w:val="both"/>
        <w:rPr/>
      </w:pPr>
      <w:r>
        <w:rPr>
          <w:rFonts w:ascii="Times New Roman" w:hAnsi="Times New Roman"/>
          <w:b/>
          <w:color w:val="000000"/>
          <w:sz w:val="24"/>
        </w:rPr>
        <w:t>Counterparts</w:t>
      </w:r>
      <w:r>
        <w:rPr>
          <w:rFonts w:ascii="Times New Roman" w:hAnsi="Times New Roman"/>
          <w:color w:val="000000"/>
          <w:sz w:val="24"/>
        </w:rPr>
        <w:t>. This Agreement may be executed in separate counterparts, any one of which need not contain signatures of more than one party, but all of which taken together will constitute one and the same Agreement. The parties agree that facsimile and scanned image copies of signatures will suffice as original signatures.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7.7</w:t>
      </w:r>
    </w:p>
    <w:p>
      <w:pPr>
        <w:pStyle w:val="TextBody"/>
        <w:bidi w:val="0"/>
        <w:spacing w:before="0" w:after="240"/>
        <w:jc w:val="both"/>
        <w:rPr/>
      </w:pPr>
      <w:r>
        <w:rPr>
          <w:rFonts w:ascii="Times New Roman" w:hAnsi="Times New Roman"/>
          <w:b/>
          <w:color w:val="000000"/>
          <w:sz w:val="24"/>
        </w:rPr>
        <w:t xml:space="preserve">Withholding Taxes. </w:t>
      </w:r>
      <w:r>
        <w:rPr>
          <w:rFonts w:ascii="Times New Roman" w:hAnsi="Times New Roman"/>
          <w:color w:val="000000"/>
          <w:sz w:val="24"/>
        </w:rPr>
        <w:t>The Company will be entitled to withhold from any payment due to Executive hereunder any amounts required to be withheld by applicable tax laws or regulations.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7.8</w:t>
      </w:r>
    </w:p>
    <w:p>
      <w:pPr>
        <w:pStyle w:val="TextBody"/>
        <w:bidi w:val="0"/>
        <w:spacing w:before="0" w:after="240"/>
        <w:jc w:val="both"/>
        <w:rPr/>
      </w:pPr>
      <w:r>
        <w:rPr>
          <w:rFonts w:ascii="Times New Roman" w:hAnsi="Times New Roman"/>
          <w:b/>
          <w:color w:val="000000"/>
          <w:sz w:val="24"/>
        </w:rPr>
        <w:t>Headings</w:t>
      </w:r>
      <w:r>
        <w:rPr>
          <w:rFonts w:ascii="Times New Roman" w:hAnsi="Times New Roman"/>
          <w:color w:val="000000"/>
          <w:sz w:val="24"/>
        </w:rPr>
        <w:t>. The headings of the sections hereof are inserted for convenience only and shall not be deemed to constitute a part hereof nor to affect the meaning thereof.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7.9</w:t>
      </w:r>
    </w:p>
    <w:p>
      <w:pPr>
        <w:pStyle w:val="TextBody"/>
        <w:bidi w:val="0"/>
        <w:spacing w:before="0" w:after="240"/>
        <w:jc w:val="both"/>
        <w:rPr/>
      </w:pPr>
      <w:r>
        <w:rPr>
          <w:rFonts w:ascii="Times New Roman" w:hAnsi="Times New Roman"/>
          <w:b/>
          <w:color w:val="000000"/>
          <w:sz w:val="24"/>
        </w:rPr>
        <w:t>Successors and Assigns</w:t>
      </w:r>
      <w:r>
        <w:rPr>
          <w:rFonts w:ascii="Times New Roman" w:hAnsi="Times New Roman"/>
          <w:color w:val="000000"/>
          <w:sz w:val="24"/>
        </w:rPr>
        <w:t xml:space="preserve">. The Company shall assign this Agreement and its rights and obligations hereunder in whole, but not in part, to any Company or other entity with or into which the Company may hereafter merge or consolidate or to which the Company may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his estate upon his death.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7.10</w:t>
      </w:r>
    </w:p>
    <w:p>
      <w:pPr>
        <w:pStyle w:val="TextBody"/>
        <w:bidi w:val="0"/>
        <w:spacing w:before="0" w:after="240"/>
        <w:jc w:val="both"/>
        <w:rPr/>
      </w:pPr>
      <w:r>
        <w:rPr>
          <w:rFonts w:ascii="Times New Roman" w:hAnsi="Times New Roman"/>
          <w:b/>
          <w:color w:val="000000"/>
          <w:sz w:val="24"/>
        </w:rPr>
        <w:t>Choice of Law</w:t>
      </w:r>
      <w:r>
        <w:rPr>
          <w:rFonts w:ascii="Times New Roman" w:hAnsi="Times New Roman"/>
          <w:color w:val="000000"/>
          <w:sz w:val="24"/>
        </w:rPr>
        <w:t>. All questions concerning the construction, validity and interpretation of this Agreement will be governed by the laws of the State of Nevada.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7.11</w:t>
      </w:r>
    </w:p>
    <w:p>
      <w:pPr>
        <w:pStyle w:val="TextBody"/>
        <w:bidi w:val="0"/>
        <w:spacing w:before="0" w:after="240"/>
        <w:jc w:val="both"/>
        <w:rPr/>
      </w:pPr>
      <w:r>
        <w:rPr>
          <w:rFonts w:ascii="Times New Roman" w:hAnsi="Times New Roman"/>
          <w:b/>
          <w:color w:val="000000"/>
          <w:sz w:val="24"/>
        </w:rPr>
        <w:t>Dispute Resolution</w:t>
      </w:r>
      <w:r>
        <w:rPr>
          <w:rFonts w:ascii="Times New Roman" w:hAnsi="Times New Roman"/>
          <w:color w:val="000000"/>
          <w:sz w:val="24"/>
        </w:rPr>
        <w:t xml:space="preserve">. The parties recognize that litigation in federal or state courts or before federal or state administrative agencies of 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this dispute resolution provision shall not apply to any separate agreements between the parties that do not themselves specify arbitration as an exclusive remedy. The location for the arbitration shall be the Chicago, Illinois</w:t>
      </w:r>
      <w:r>
        <w:rPr>
          <w:color w:val="000000"/>
        </w:rPr>
        <w:t xml:space="preserve"> </w:t>
      </w:r>
      <w:r>
        <w:rPr>
          <w:rFonts w:ascii="Times New Roman" w:hAnsi="Times New Roman"/>
          <w:color w:val="000000"/>
          <w:sz w:val="24"/>
        </w:rPr>
        <w:t xml:space="preserve">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hAnsi="Times New Roman"/>
          <w:i/>
          <w:color w:val="000000"/>
          <w:sz w:val="24"/>
        </w:rPr>
        <w:t>provided</w:t>
      </w:r>
      <w:r>
        <w:rPr>
          <w:color w:val="000000"/>
        </w:rPr>
        <w:t xml:space="preserve"> </w:t>
      </w:r>
      <w:r>
        <w:rPr>
          <w:rFonts w:ascii="Times New Roman" w:hAnsi="Times New Roman"/>
          <w:i/>
          <w:color w:val="000000"/>
          <w:sz w:val="24"/>
        </w:rPr>
        <w:t>however</w:t>
      </w:r>
      <w:r>
        <w:rPr>
          <w:rFonts w:ascii="Times New Roman" w:hAnsi="Times New Roman"/>
          <w:color w:val="000000"/>
          <w:sz w:val="24"/>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hAnsi="Times New Roman"/>
          <w:b/>
          <w:color w:val="000000"/>
          <w:sz w:val="24"/>
        </w:rPr>
        <w:t>exclusive remedy</w:t>
      </w:r>
      <w:r>
        <w:rPr>
          <w:rFonts w:ascii="Times New Roman" w:hAnsi="Times New Roman"/>
          <w:color w:val="000000"/>
          <w:sz w:val="24"/>
        </w:rPr>
        <w:t xml:space="preserve">, and each party expressly waives any right it might have to seek redress in any other forum, except as otherwise expressly provided in this Agreement. By electing arbitration as the means for final settlement of all claims, </w:t>
      </w:r>
      <w:r>
        <w:rPr>
          <w:rFonts w:ascii="Times New Roman" w:hAnsi="Times New Roman"/>
          <w:b/>
          <w:color w:val="000000"/>
          <w:sz w:val="24"/>
        </w:rPr>
        <w:t xml:space="preserve">the 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 </w:t>
      </w:r>
    </w:p>
    <w:p>
      <w:pPr>
        <w:pStyle w:val="TextBody"/>
        <w:bidi w:val="0"/>
        <w:spacing w:before="0" w:after="720"/>
        <w:jc w:val="center"/>
        <w:rPr>
          <w:rFonts w:ascii="Times New Roman" w:hAnsi="Times New Roman"/>
          <w:b/>
          <w:smallCaps/>
          <w:color w:val="000000"/>
          <w:sz w:val="24"/>
        </w:rPr>
      </w:pPr>
      <w:r>
        <w:rPr>
          <w:rFonts w:ascii="Times New Roman" w:hAnsi="Times New Roman"/>
          <w:b/>
          <w:smallCaps/>
          <w:color w:val="000000"/>
          <w:sz w:val="24"/>
        </w:rPr>
        <w:t>[signatures to follow on next page]</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36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the parties have duly executed this Agreement as of the date first above written.</w:t>
      </w:r>
    </w:p>
    <w:p>
      <w:pPr>
        <w:pStyle w:val="TextBody"/>
        <w:bidi w:val="0"/>
        <w:jc w:val="left"/>
        <w:rPr>
          <w:rFonts w:ascii="Times New Roman" w:hAnsi="Times New Roman"/>
          <w:b/>
          <w:smallCaps/>
          <w:color w:val="000000"/>
          <w:sz w:val="24"/>
        </w:rPr>
      </w:pPr>
      <w:r>
        <w:rPr>
          <w:rFonts w:ascii="Times New Roman" w:hAnsi="Times New Roman"/>
          <w:b/>
          <w:smallCaps/>
          <w:color w:val="000000"/>
          <w:sz w:val="24"/>
        </w:rPr>
        <w:t>Tempus AI, Inc.</w:t>
      </w:r>
    </w:p>
    <w:p>
      <w:pPr>
        <w:pStyle w:val="TextBody"/>
        <w:bidi w:val="0"/>
        <w:jc w:val="left"/>
        <w:rPr/>
      </w:pPr>
      <w:r>
        <w:rPr/>
        <w:t> </w:t>
      </w:r>
    </w:p>
    <w:p>
      <w:pPr>
        <w:pStyle w:val="TextBody"/>
        <w:bidi w:val="0"/>
        <w:jc w:val="left"/>
        <w:rPr/>
      </w:pPr>
      <w:r>
        <w:rPr/>
        <w:t> </w:t>
      </w:r>
    </w:p>
    <w:p>
      <w:pPr>
        <w:pStyle w:val="TextBody"/>
        <w:pBdr>
          <w:bottom w:val="single" w:sz="4" w:space="1" w:color="000000"/>
        </w:pBdr>
        <w:bidi w:val="0"/>
        <w:jc w:val="left"/>
        <w:rPr>
          <w:rFonts w:ascii="Times New Roman" w:hAnsi="Times New Roman"/>
          <w:color w:val="000000"/>
          <w:sz w:val="24"/>
        </w:rPr>
      </w:pPr>
      <w:r>
        <w:rPr>
          <w:rFonts w:ascii="Times New Roman" w:hAnsi="Times New Roman"/>
          <w:color w:val="000000"/>
          <w:sz w:val="24"/>
        </w:rPr>
        <w:t xml:space="preserve">By: /s/ Andrew K. Polovin </w:t>
      </w:r>
    </w:p>
    <w:p>
      <w:pPr>
        <w:pStyle w:val="TextBody"/>
        <w:bidi w:val="0"/>
        <w:jc w:val="left"/>
        <w:rPr>
          <w:rFonts w:ascii="Times New Roman" w:hAnsi="Times New Roman"/>
          <w:color w:val="000000"/>
          <w:sz w:val="24"/>
        </w:rPr>
      </w:pPr>
      <w:r>
        <w:rPr>
          <w:rFonts w:ascii="Times New Roman" w:hAnsi="Times New Roman"/>
          <w:color w:val="000000"/>
          <w:sz w:val="24"/>
        </w:rPr>
        <w:t>Name: Andrew K. Polovin</w:t>
      </w:r>
    </w:p>
    <w:p>
      <w:pPr>
        <w:pStyle w:val="TextBody"/>
        <w:bidi w:val="0"/>
        <w:jc w:val="left"/>
        <w:rPr>
          <w:rFonts w:ascii="Times New Roman" w:hAnsi="Times New Roman"/>
          <w:color w:val="000000"/>
          <w:sz w:val="24"/>
        </w:rPr>
      </w:pPr>
      <w:r>
        <w:rPr>
          <w:rFonts w:ascii="Times New Roman" w:hAnsi="Times New Roman"/>
          <w:color w:val="000000"/>
          <w:sz w:val="24"/>
        </w:rPr>
        <w:t>Title: Chief Legal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smallCaps/>
          <w:color w:val="000000"/>
          <w:sz w:val="24"/>
        </w:rPr>
        <w:t>Executive</w:t>
      </w:r>
      <w:r>
        <w:rPr>
          <w:rFonts w:ascii="Times New Roman" w:hAnsi="Times New Roman"/>
          <w:smallCaps/>
          <w:color w:val="000000"/>
          <w:sz w:val="20"/>
        </w:rPr>
        <w:t xml:space="preserve"> </w:t>
      </w:r>
    </w:p>
    <w:p>
      <w:pPr>
        <w:pStyle w:val="TextBody"/>
        <w:bidi w:val="0"/>
        <w:jc w:val="left"/>
        <w:rPr/>
      </w:pPr>
      <w:r>
        <w:rPr/>
        <w:t> </w:t>
      </w:r>
    </w:p>
    <w:p>
      <w:pPr>
        <w:pStyle w:val="TextBody"/>
        <w:pBdr>
          <w:bottom w:val="single" w:sz="4" w:space="1" w:color="000000"/>
        </w:pBdr>
        <w:bidi w:val="0"/>
        <w:jc w:val="left"/>
        <w:rPr>
          <w:rFonts w:ascii="Times New Roman" w:hAnsi="Times New Roman"/>
          <w:color w:val="000000"/>
          <w:sz w:val="24"/>
        </w:rPr>
      </w:pPr>
      <w:r>
        <w:rPr>
          <w:rFonts w:ascii="Times New Roman" w:hAnsi="Times New Roman"/>
          <w:color w:val="000000"/>
          <w:sz w:val="24"/>
        </w:rPr>
        <w:t xml:space="preserve">/s/ Tom Schoenherr </w:t>
      </w:r>
    </w:p>
    <w:p>
      <w:pPr>
        <w:pStyle w:val="TextBody"/>
        <w:bidi w:val="0"/>
        <w:jc w:val="left"/>
        <w:rPr>
          <w:rFonts w:ascii="Times New Roman" w:hAnsi="Times New Roman"/>
          <w:color w:val="000000"/>
          <w:sz w:val="24"/>
        </w:rPr>
      </w:pPr>
      <w:r>
        <w:rPr>
          <w:rFonts w:ascii="Times New Roman" w:hAnsi="Times New Roman"/>
          <w:color w:val="000000"/>
          <w:sz w:val="24"/>
        </w:rPr>
        <w:t xml:space="preserve">Tom Schoenherr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7" w:name="tem-ex21_1.htm"/>
      <w:bookmarkStart w:id="38" w:name="kstemex21_1"/>
      <w:bookmarkEnd w:id="37"/>
      <w:bookmarkEnd w:id="38"/>
      <w:r>
        <w:rPr/>
        <w:t> </w:t>
      </w:r>
      <w:r>
        <w:br w:type="page"/>
      </w:r>
    </w:p>
    <w:p>
      <w:pPr>
        <w:pStyle w:val="Heading1"/>
        <w:bidi w:val="0"/>
        <w:spacing w:before="31" w:after="283"/>
        <w:jc w:val="lef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21.1</w:t>
      </w:r>
    </w:p>
    <w:p>
      <w:pPr>
        <w:pStyle w:val="TextBody"/>
        <w:bidi w:val="0"/>
        <w:jc w:val="left"/>
        <w:rPr/>
      </w:pPr>
      <w:r>
        <w:rPr/>
        <w:t> </w:t>
      </w:r>
    </w:p>
    <w:p>
      <w:pPr>
        <w:pStyle w:val="TextBody"/>
        <w:bidi w:val="0"/>
        <w:spacing w:before="16" w:after="283"/>
        <w:jc w:val="left"/>
        <w:rPr/>
      </w:pPr>
      <w:r>
        <w:rPr/>
        <w:t> </w:t>
      </w:r>
    </w:p>
    <w:p>
      <w:pPr>
        <w:pStyle w:val="TextBody"/>
        <w:bidi w:val="0"/>
        <w:spacing w:before="1" w:after="283"/>
        <w:jc w:val="center"/>
        <w:rPr>
          <w:rFonts w:ascii="Times New Roman" w:hAnsi="Times New Roman"/>
          <w:sz w:val="20"/>
        </w:rPr>
      </w:pPr>
      <w:r>
        <w:rPr>
          <w:rFonts w:ascii="Times New Roman" w:hAnsi="Times New Roman"/>
          <w:b/>
          <w:color w:val="000000"/>
          <w:sz w:val="20"/>
        </w:rPr>
        <w:t>Subsidiaries of Tempus AI, Inc.</w:t>
      </w:r>
      <w:r>
        <w:rPr>
          <w:rFonts w:ascii="Times New Roman" w:hAnsi="Times New Roman"/>
          <w:color w:val="000000"/>
          <w:sz w:val="20"/>
        </w:rPr>
        <w:t xml:space="preserve"> </w:t>
      </w:r>
    </w:p>
    <w:p>
      <w:pPr>
        <w:pStyle w:val="TextBody"/>
        <w:bidi w:val="0"/>
        <w:jc w:val="left"/>
        <w:rPr/>
      </w:pPr>
      <w:r>
        <w:rPr/>
        <w:t> </w:t>
      </w:r>
    </w:p>
    <w:tbl>
      <w:tblPr>
        <w:tblW w:w="7941" w:type="dxa"/>
        <w:jc w:val="left"/>
        <w:tblInd w:w="0" w:type="dxa"/>
        <w:tblLayout w:type="fixed"/>
        <w:tblCellMar>
          <w:top w:w="28" w:type="dxa"/>
          <w:left w:w="28" w:type="dxa"/>
          <w:bottom w:w="28" w:type="dxa"/>
          <w:right w:w="28" w:type="dxa"/>
        </w:tblCellMar>
      </w:tblPr>
      <w:tblGrid>
        <w:gridCol w:w="5058"/>
        <w:gridCol w:w="2883"/>
      </w:tblGrid>
      <w:tr>
        <w:trPr/>
        <w:tc>
          <w:tcPr>
            <w:tcW w:w="5058"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sz w:val="20"/>
              </w:rPr>
            </w:pPr>
            <w:r>
              <w:rPr>
                <w:rFonts w:ascii="Times New Roman" w:hAnsi="Times New Roman"/>
                <w:b/>
                <w:color w:val="000000"/>
                <w:sz w:val="20"/>
                <w:u w:val="single"/>
              </w:rPr>
              <w:t>Name of Subsidiary</w:t>
            </w:r>
            <w:r>
              <w:rPr>
                <w:rFonts w:ascii="Times New Roman" w:hAnsi="Times New Roman"/>
                <w:color w:val="000000"/>
                <w:sz w:val="20"/>
              </w:rPr>
              <w:t xml:space="preserve"> </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b/>
                <w:color w:val="000000"/>
                <w:sz w:val="20"/>
                <w:u w:val="single"/>
              </w:rPr>
            </w:pPr>
            <w:r>
              <w:rPr>
                <w:rFonts w:ascii="Times New Roman" w:hAnsi="Times New Roman"/>
                <w:b/>
                <w:color w:val="000000"/>
                <w:sz w:val="20"/>
                <w:u w:val="single"/>
              </w:rPr>
              <w:t>Jurisdiction of Organization</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Ambry Genetics Corporation</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States (Delaware)</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Arterys Inc.</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States (Delaware)</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Arterys Inc. (Canada)</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Canada</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Arterys SAS (France)</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France</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Deep 6 AI, Inc.</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States (Delaware)</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Genome Smart Inc.</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States (Delaware)</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GSLD Holdings, LLC</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States (California)</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Mpirik, Inc.</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States (Delaware)</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OneOme Holdings LLC</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States (Delaware)</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OneOme LLC</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States (Delaware)</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OneOme International LLC</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States (Delaware)</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OneOme PGx Europe Limited</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Ireland</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Paige.AI, Inc.</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States (Delaware)</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Paige.AI GmbH</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Germany</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Paige.AI LTD</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Kingdom</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Progeny Genetics LLC</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States (Delaware)</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SEngine Precision Medicine, LLC</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States (Delaware)</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Tempus Compass, LLC (f/k/a Highline Consulting, LLC)</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United States (California)</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Tempus Labs Singapore PTE. LTD</w:t>
            </w:r>
          </w:p>
        </w:tc>
        <w:tc>
          <w:tcPr>
            <w:tcW w:w="2883" w:type="dxa"/>
            <w:tcBorders/>
            <w:tcMar>
              <w:top w:w="0" w:type="dxa"/>
              <w:left w:w="0" w:type="dxa"/>
              <w:bottom w:w="0" w:type="dxa"/>
              <w:right w:w="0" w:type="dxa"/>
            </w:tcMar>
            <w:vAlign w:val="center"/>
          </w:tcPr>
          <w:p>
            <w:pPr>
              <w:pStyle w:val="TableContents"/>
              <w:bidi w:val="0"/>
              <w:spacing w:before="8" w:after="283"/>
              <w:ind w:left="0" w:right="0" w:firstLine="317"/>
              <w:jc w:val="left"/>
              <w:rPr>
                <w:rFonts w:ascii="Times New Roman" w:hAnsi="Times New Roman"/>
                <w:color w:val="000000"/>
                <w:sz w:val="20"/>
              </w:rPr>
            </w:pPr>
            <w:r>
              <w:rPr>
                <w:rFonts w:ascii="Times New Roman" w:hAnsi="Times New Roman"/>
                <w:color w:val="000000"/>
                <w:sz w:val="20"/>
              </w:rPr>
              <w:t>Singapore</w:t>
            </w:r>
          </w:p>
        </w:tc>
      </w:tr>
      <w:tr>
        <w:trPr/>
        <w:tc>
          <w:tcPr>
            <w:tcW w:w="5058"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Tempus AI Spain, SL</w:t>
            </w:r>
          </w:p>
        </w:tc>
        <w:tc>
          <w:tcPr>
            <w:tcW w:w="2883" w:type="dxa"/>
            <w:tcBorders/>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color w:val="000000"/>
                <w:sz w:val="20"/>
              </w:rPr>
            </w:pPr>
            <w:r>
              <w:rPr>
                <w:rFonts w:ascii="Times New Roman" w:hAnsi="Times New Roman"/>
                <w:color w:val="000000"/>
                <w:sz w:val="20"/>
              </w:rPr>
              <w:t>Spain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480"/>
        <w:jc w:val="right"/>
        <w:rPr/>
      </w:pPr>
      <w:bookmarkStart w:id="39" w:name="tem-ex23_1.htm"/>
      <w:bookmarkStart w:id="40" w:name="kstemex23_1"/>
      <w:bookmarkEnd w:id="39"/>
      <w:bookmarkEnd w:id="40"/>
      <w:r>
        <w:rPr/>
        <w:t> </w:t>
      </w:r>
      <w:r>
        <w:br w:type="page"/>
      </w:r>
    </w:p>
    <w:p>
      <w:pPr>
        <w:pStyle w:val="TextBody"/>
        <w:bidi w:val="0"/>
        <w:spacing w:before="0" w:after="480"/>
        <w:jc w:val="right"/>
        <w:rPr>
          <w:rFonts w:ascii="Times New Roman" w:hAnsi="Times New Roman"/>
          <w:color w:val="000000"/>
          <w:sz w:val="20"/>
        </w:rPr>
      </w:pPr>
      <w:r>
        <w:rPr>
          <w:rFonts w:ascii="Times New Roman" w:hAnsi="Times New Roman"/>
          <w:color w:val="000000"/>
          <w:sz w:val="20"/>
        </w:rPr>
        <w:t>Exhibit 23.1</w:t>
      </w:r>
    </w:p>
    <w:p>
      <w:pPr>
        <w:pStyle w:val="TextBody"/>
        <w:bidi w:val="0"/>
        <w:spacing w:before="0" w:after="48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S-3 (No. 333-289398) and Form S-8 (No. 333- 280270 and 333-285174) of Tempus AI, Inc. of our report dated February 24, 2026 relating to the financial statements and the effectiveness of internal control over financial reporting, which appears in this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PricewaterhouseCoopers LLP</w:t>
        <w:br/>
        <w:t>Chicago, Illinois</w:t>
        <w:br/>
        <w:t>February 24, 2026</w:t>
      </w:r>
    </w:p>
    <w:p>
      <w:pPr>
        <w:pStyle w:val="TextBody"/>
        <w:bidi w:val="0"/>
        <w:jc w:val="right"/>
        <w:rPr>
          <w:rFonts w:ascii="Georgia;serif" w:hAnsi="Georgia;serif"/>
          <w:color w:val="000000"/>
          <w:sz w:val="20"/>
        </w:rPr>
      </w:pPr>
      <w:r>
        <w:rPr>
          <w:rFonts w:ascii="Georgia;serif" w:hAnsi="Georgia;serif"/>
          <w:color w:val="000000"/>
          <w:sz w:val="20"/>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tem-ex31_1.htm"/>
      <w:bookmarkStart w:id="42" w:name="kstemex31_1"/>
      <w:bookmarkEnd w:id="41"/>
      <w:bookmarkEnd w:id="4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Eric Lefkofsky,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10-K of Tempus AI,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24, 2026</w:t>
      </w:r>
    </w:p>
    <w:p>
      <w:pPr>
        <w:pStyle w:val="TextBody"/>
        <w:bidi w:val="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Eric Lefkofsky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Founder and Chairman</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tem-ex31_2.htm"/>
      <w:bookmarkStart w:id="44" w:name="kstemex31_2"/>
      <w:bookmarkEnd w:id="43"/>
      <w:bookmarkEnd w:id="4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James Rogers,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10-K of Tempus AI,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24, 2026</w:t>
      </w:r>
    </w:p>
    <w:p>
      <w:pPr>
        <w:pStyle w:val="TextBody"/>
        <w:bidi w:val="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James Rogers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tem-ex32_1.htm"/>
      <w:bookmarkStart w:id="46" w:name="kstemex32_1"/>
      <w:bookmarkEnd w:id="45"/>
      <w:bookmarkEnd w:id="4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 set forth in Rule 13a-14(b) of the Securities Exchange Act of 1934, as amended (the “Exchange Act”) and Section 1350 of Chapter 63 of Title 18 of the United States Code (18 U.S.C. §1350), Eric Lefkofsky, Chief Executive Officer of Tempus AI, Inc. (the “Company”), and James Rogers, Chief Financial Officer of the Company, each hereby certifies that, to the best of his knowledge: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Annual Report on Form 10-K for the fiscal year ended December 31, 2025, to which this Certification is attached as Exhibit 32.1 (the “Annual Report”), fully complies with the requirements of Section 13(a) or Section 15(d) of the Exchange Act; and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Annual Report fairly presents, in all material respects, the financial condition and results of operations of the Company. </w:t>
      </w:r>
    </w:p>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2476"/>
        <w:gridCol w:w="146"/>
        <w:gridCol w:w="146"/>
        <w:gridCol w:w="252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24,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Lefkofsky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James Rogers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certification accompanies the Form 10-K to which it relates, is not deemed filed with the Securities and Exchange Commission and is not to be incorporated by reference into any filing of Tempus AI, Inc. under the Securities Act of 1933, as amended, or the Exchange Act, as amended (whether made before or after the date of the Form 10-K), irrespective of any general incorporation language contained in such filing.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gif"/><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hyperlink" Target="https://www.sec.gov/Archives/edgar/data/1717115/000119312525264652/tem-ex3_2.htm" TargetMode="External"/><Relationship Id="rId20" Type="http://schemas.openxmlformats.org/officeDocument/2006/relationships/hyperlink" Target="https://www.sec.gov/Archives/edgar/data/1717115/000119312525264652/tem-ex3_2.htm" TargetMode="External"/><Relationship Id="rId21" Type="http://schemas.openxmlformats.org/officeDocument/2006/relationships/hyperlink" Target="https://www.sec.gov/Archives/edgar/data/1717115/000095017025105449/tem-ex3_2.htm" TargetMode="External"/><Relationship Id="rId22" Type="http://schemas.openxmlformats.org/officeDocument/2006/relationships/hyperlink" Target="https://www.sec.gov/Archives/edgar/data/1717115/000095017025105449/tem-ex3_2.htm" TargetMode="External"/><Relationship Id="rId23" Type="http://schemas.openxmlformats.org/officeDocument/2006/relationships/hyperlink" Target="https://www.sec.gov/Archives/edgar/data/1717115/000095017025105449/tem-ex4_4.htm" TargetMode="External"/><Relationship Id="rId24" Type="http://schemas.openxmlformats.org/officeDocument/2006/relationships/hyperlink" Target="https://www.sec.gov/Archives/edgar/data/1717115/000095017025105449/tem-ex4_3.htm" TargetMode="External"/><Relationship Id="rId25" Type="http://schemas.openxmlformats.org/officeDocument/2006/relationships/hyperlink" Target="https://www.sec.gov/Archives/edgar/data/1717115/000119312525155545/d14356dex41.htm" TargetMode="External"/><Relationship Id="rId26" Type="http://schemas.openxmlformats.org/officeDocument/2006/relationships/hyperlink" Target="https://www.sec.gov/Archives/edgar/data/1717115/000119312525155545/d14356dex41.htm" TargetMode="External"/><Relationship Id="rId27" Type="http://schemas.openxmlformats.org/officeDocument/2006/relationships/hyperlink" Target="https://www.sec.gov/Archives/edgar/data/1717115/000095017025105449/tem-ex4_5.htm" TargetMode="External"/><Relationship Id="rId28" Type="http://schemas.openxmlformats.org/officeDocument/2006/relationships/hyperlink" Target="https://www.sec.gov/Archives/edgar/data/1717115/000119312524142956/d221145dex101.htm" TargetMode="External"/><Relationship Id="rId29" Type="http://schemas.openxmlformats.org/officeDocument/2006/relationships/hyperlink" Target="https://www.sec.gov/Archives/edgar/data/1717115/000119312524142956/d221145dex101.htm" TargetMode="External"/><Relationship Id="rId30" Type="http://schemas.openxmlformats.org/officeDocument/2006/relationships/hyperlink" Target="https://www.sec.gov/Archives/edgar/data/1717115/000119312524142956/d221145dex102.htm" TargetMode="External"/><Relationship Id="rId31" Type="http://schemas.openxmlformats.org/officeDocument/2006/relationships/hyperlink" Target="https://www.sec.gov/Archives/edgar/data/1717115/000119312524142956/d221145dex102.htm" TargetMode="External"/><Relationship Id="rId32" Type="http://schemas.openxmlformats.org/officeDocument/2006/relationships/hyperlink" Target="https://www.sec.gov/Archives/edgar/data/1717115/000119312524142956/d221145dex103.htm" TargetMode="External"/><Relationship Id="rId33" Type="http://schemas.openxmlformats.org/officeDocument/2006/relationships/hyperlink" Target="https://www.sec.gov/Archives/edgar/data/1717115/000119312524154635/d221145dex104.htm" TargetMode="External"/><Relationship Id="rId34" Type="http://schemas.openxmlformats.org/officeDocument/2006/relationships/hyperlink" Target="https://www.sec.gov/Archives/edgar/data/1717115/000119312524142956/d221145dex105.htm" TargetMode="External"/><Relationship Id="rId35" Type="http://schemas.openxmlformats.org/officeDocument/2006/relationships/hyperlink" Target="https://www.sec.gov/Archives/edgar/data/1717115/000119312524142956/d221145dex105.htm" TargetMode="External"/><Relationship Id="rId36" Type="http://schemas.openxmlformats.org/officeDocument/2006/relationships/hyperlink" Target="https://www.sec.gov/Archives/edgar/data/1717115/000119312524142956/d221145dex106.htm" TargetMode="External"/><Relationship Id="rId37" Type="http://schemas.openxmlformats.org/officeDocument/2006/relationships/hyperlink" Target="https://www.sec.gov/Archives/edgar/data/1717115/000119312524142956/d221145dex106.htm" TargetMode="External"/><Relationship Id="rId38" Type="http://schemas.openxmlformats.org/officeDocument/2006/relationships/hyperlink" Target="https://www.sec.gov/Archives/edgar/data/1717115/000119312524142956/d221145dex106.htm" TargetMode="External"/><Relationship Id="rId39" Type="http://schemas.openxmlformats.org/officeDocument/2006/relationships/hyperlink" Target="https://www.sec.gov/Archives/edgar/data/1717115/000095017025105449/tem-ex10_4.htm" TargetMode="External"/><Relationship Id="rId40" Type="http://schemas.openxmlformats.org/officeDocument/2006/relationships/hyperlink" Target="https://www.sec.gov/Archives/edgar/data/1717115/000119312524142956/d221145dex108.htm" TargetMode="External"/><Relationship Id="rId41" Type="http://schemas.openxmlformats.org/officeDocument/2006/relationships/hyperlink" Target="https://www.sec.gov/Archives/edgar/data/1717115/000119312524142956/d221145dex108.htm" TargetMode="External"/><Relationship Id="rId42" Type="http://schemas.openxmlformats.org/officeDocument/2006/relationships/hyperlink" Target="https://www.sec.gov/Archives/edgar/data/1717115/000119312524142956/d221145dex108.htm" TargetMode="External"/><Relationship Id="rId43" Type="http://schemas.openxmlformats.org/officeDocument/2006/relationships/hyperlink" Target="https://www.sec.gov/Archives/edgar/data/1717115/000119312524142956/d221145dex109.htm" TargetMode="External"/><Relationship Id="rId44" Type="http://schemas.openxmlformats.org/officeDocument/2006/relationships/hyperlink" Target="https://www.sec.gov/Archives/edgar/data/1717115/000119312524142956/d221145dex109.htm" TargetMode="External"/><Relationship Id="rId45" Type="http://schemas.openxmlformats.org/officeDocument/2006/relationships/hyperlink" Target="https://www.sec.gov/Archives/edgar/data/1717115/000119312524142956/d221145dex109.htm" TargetMode="External"/><Relationship Id="rId46" Type="http://schemas.openxmlformats.org/officeDocument/2006/relationships/hyperlink" Target="https://www.sec.gov/Archives/edgar/data/1717115/000119312524142956/d221145dex1010.htm" TargetMode="External"/><Relationship Id="rId47" Type="http://schemas.openxmlformats.org/officeDocument/2006/relationships/hyperlink" Target="https://www.sec.gov/Archives/edgar/data/1717115/000119312524142956/d221145dex1011.htm" TargetMode="External"/><Relationship Id="rId48" Type="http://schemas.openxmlformats.org/officeDocument/2006/relationships/hyperlink" Target="https://www.sec.gov/Archives/edgar/data/1717115/000119312524142956/d221145dex1011.htm" TargetMode="External"/><Relationship Id="rId49" Type="http://schemas.openxmlformats.org/officeDocument/2006/relationships/hyperlink" Target="https://www.sec.gov/Archives/edgar/data/1717115/000119312524142956/d221145dex1011.htm" TargetMode="External"/><Relationship Id="rId50" Type="http://schemas.openxmlformats.org/officeDocument/2006/relationships/hyperlink" Target="https://www.sec.gov/Archives/edgar/data/1717115/000119312524142956/d221145dex1023.htm" TargetMode="External"/><Relationship Id="rId51" Type="http://schemas.openxmlformats.org/officeDocument/2006/relationships/hyperlink" Target="https://www.sec.gov/Archives/edgar/data/1717115/000119312524142956/d221145dex1023.htm" TargetMode="External"/><Relationship Id="rId52" Type="http://schemas.openxmlformats.org/officeDocument/2006/relationships/hyperlink" Target="https://www.sec.gov/Archives/edgar/data/1717115/000119312524142956/d221145dex1023.htm" TargetMode="External"/><Relationship Id="rId53" Type="http://schemas.openxmlformats.org/officeDocument/2006/relationships/hyperlink" Target="https://www.sec.gov/Archives/edgar/data/1717115/000119312524142956/d221145dex1012.htm" TargetMode="External"/><Relationship Id="rId54" Type="http://schemas.openxmlformats.org/officeDocument/2006/relationships/hyperlink" Target="https://www.sec.gov/Archives/edgar/data/1717115/000119312524142956/d221145dex1013.htm" TargetMode="External"/><Relationship Id="rId55" Type="http://schemas.openxmlformats.org/officeDocument/2006/relationships/hyperlink" Target="https://www.sec.gov/Archives/edgar/data/1717115/000119312524142956/d221145dex1013.htm" TargetMode="External"/><Relationship Id="rId56" Type="http://schemas.openxmlformats.org/officeDocument/2006/relationships/hyperlink" Target="https://www.sec.gov/Archives/edgar/data/1717115/000119312524142956/d221145dex1013.htm" TargetMode="External"/><Relationship Id="rId57" Type="http://schemas.openxmlformats.org/officeDocument/2006/relationships/hyperlink" Target="https://www.sec.gov/Archives/edgar/data/1717115/000095017025025603/tem-ex10_15.htm" TargetMode="External"/><Relationship Id="rId58" Type="http://schemas.openxmlformats.org/officeDocument/2006/relationships/hyperlink" Target="https://www.sec.gov/Archives/edgar/data/1717115/000119312524154635/d221145dex1015.htm" TargetMode="External"/><Relationship Id="rId59" Type="http://schemas.openxmlformats.org/officeDocument/2006/relationships/hyperlink" Target="https://www.sec.gov/Archives/edgar/data/1717115/000119312524142956/d221145dex1016.htm" TargetMode="External"/><Relationship Id="rId60" Type="http://schemas.openxmlformats.org/officeDocument/2006/relationships/hyperlink" Target="https://www.sec.gov/Archives/edgar/data/1717115/000119312524142956/d221145dex1017.htm" TargetMode="External"/><Relationship Id="rId61" Type="http://schemas.openxmlformats.org/officeDocument/2006/relationships/hyperlink" Target="https://www.sec.gov/Archives/edgar/data/1717115/000119312524142956/d221145dex1017.htm" TargetMode="External"/><Relationship Id="rId62" Type="http://schemas.openxmlformats.org/officeDocument/2006/relationships/hyperlink" Target="https://www.sec.gov/Archives/edgar/data/1717115/000119312524142956/d221145dex1018.htm" TargetMode="External"/><Relationship Id="rId63" Type="http://schemas.openxmlformats.org/officeDocument/2006/relationships/hyperlink" Target="https://www.sec.gov/Archives/edgar/data/1717115/000119312524142956/d221145dex1019.htm" TargetMode="External"/><Relationship Id="rId64" Type="http://schemas.openxmlformats.org/officeDocument/2006/relationships/hyperlink" Target="https://www.sec.gov/Archives/edgar/data/1717115/000119312524142956/d221145dex1019.htm" TargetMode="External"/><Relationship Id="rId65" Type="http://schemas.openxmlformats.org/officeDocument/2006/relationships/hyperlink" Target="https://www.sec.gov/Archives/edgar/data/1717115/000119312524142956/d221145dex1020.htm" TargetMode="External"/><Relationship Id="rId66" Type="http://schemas.openxmlformats.org/officeDocument/2006/relationships/hyperlink" Target="https://www.sec.gov/Archives/edgar/data/1717115/000119312524142956/d221145dex1021.htm" TargetMode="External"/><Relationship Id="rId67" Type="http://schemas.openxmlformats.org/officeDocument/2006/relationships/hyperlink" Target="https://www.sec.gov/Archives/edgar/data/1717115/000119312524142956/d221145dex1022.htm" TargetMode="External"/><Relationship Id="rId68" Type="http://schemas.openxmlformats.org/officeDocument/2006/relationships/hyperlink" Target="https://www.sec.gov/Archives/edgar/data/1717115/000119312524142956/d221145dex1024.htm" TargetMode="External"/><Relationship Id="rId69" Type="http://schemas.openxmlformats.org/officeDocument/2006/relationships/hyperlink" Target="https://www.sec.gov/Archives/edgar/data/1717115/000119312524142956/d221145dex1025.htm" TargetMode="External"/><Relationship Id="rId70" Type="http://schemas.openxmlformats.org/officeDocument/2006/relationships/hyperlink" Target="https://www.sec.gov/Archives/edgar/data/1717115/000119312524142956/d221145dex1026.htm" TargetMode="External"/><Relationship Id="rId71" Type="http://schemas.openxmlformats.org/officeDocument/2006/relationships/hyperlink" Target="https://www.sec.gov/Archives/edgar/data/1717115/000119312524154635/d221145dex1027.htm" TargetMode="External"/><Relationship Id="rId72" Type="http://schemas.openxmlformats.org/officeDocument/2006/relationships/hyperlink" Target="https://www.sec.gov/Archives/edgar/data/1717115/000119312524154635/d221145dex1028.htm" TargetMode="External"/><Relationship Id="rId73" Type="http://schemas.openxmlformats.org/officeDocument/2006/relationships/hyperlink" Target="https://www.sec.gov/Archives/edgar/data/1717115/000119312524154635/d221145dex1028.htm" TargetMode="External"/><Relationship Id="rId74" Type="http://schemas.openxmlformats.org/officeDocument/2006/relationships/hyperlink" Target="https://www.sec.gov/Archives/edgar/data/1717115/000119312524154635/d221145dex1028.htm" TargetMode="External"/><Relationship Id="rId75" Type="http://schemas.openxmlformats.org/officeDocument/2006/relationships/hyperlink" Target="https://www.sec.gov/Archives/edgar/data/1717115/000119312524154635/d221145dex1029.htm" TargetMode="External"/><Relationship Id="rId76" Type="http://schemas.openxmlformats.org/officeDocument/2006/relationships/hyperlink" Target="https://www.sec.gov/Archives/edgar/data/1717115/000119312524154635/d221145dex1030.htm" TargetMode="External"/><Relationship Id="rId77" Type="http://schemas.openxmlformats.org/officeDocument/2006/relationships/hyperlink" Target="https://www.sec.gov/Archives/edgar/data/1717115/000119312524251239/d907265dex101.htm" TargetMode="External"/><Relationship Id="rId78" Type="http://schemas.openxmlformats.org/officeDocument/2006/relationships/hyperlink" Target="https://www.sec.gov/Archives/edgar/data/1717115/000119312525019313/d843563dex101.htm" TargetMode="External"/><Relationship Id="rId79" Type="http://schemas.openxmlformats.org/officeDocument/2006/relationships/hyperlink" Target="https://www.sec.gov/Archives/edgar/data/1717115/000095017024120677/tem-ex10_11.htm" TargetMode="External"/><Relationship Id="rId80" Type="http://schemas.openxmlformats.org/officeDocument/2006/relationships/hyperlink" Target="https://www.sec.gov/Archives/edgar/data/1717115/000095017025025603/tem-ex10_34.htm" TargetMode="External"/><Relationship Id="rId81" Type="http://schemas.openxmlformats.org/officeDocument/2006/relationships/hyperlink" Target="https://www.sec.gov/Archives/edgar/data/1717115/000095017025064447/tem-ex10_2.htm" TargetMode="External"/><Relationship Id="rId82" Type="http://schemas.openxmlformats.org/officeDocument/2006/relationships/hyperlink" Target="https://www.sec.gov/Archives/edgar/data/1717115/000119312525155545/d14356dex101.htm" TargetMode="External"/><Relationship Id="rId83" Type="http://schemas.openxmlformats.org/officeDocument/2006/relationships/hyperlink" Target="https://www.sec.gov/Archives/edgar/data/1717115/000119312525155545/d14356dex102.htm" TargetMode="External"/><Relationship Id="rId84" Type="http://schemas.openxmlformats.org/officeDocument/2006/relationships/hyperlink" Target="https://www.sec.gov/Archives/edgar/data/1717115/000095017025105449/tem-ex10_3.htm" TargetMode="External"/><Relationship Id="rId85" Type="http://schemas.openxmlformats.org/officeDocument/2006/relationships/hyperlink" Target="https://www.sec.gov/Archives/edgar/data/1717115/000095017025025603/tem-ex19_1.htm" TargetMode="External"/><Relationship Id="rId86" Type="http://schemas.openxmlformats.org/officeDocument/2006/relationships/hyperlink" Target="https://www.sec.gov/Archives/edgar/data/1717115/000095017025025603/tem-ex97.htm" TargetMode="External"/><Relationship Id="rId87" Type="http://schemas.openxmlformats.org/officeDocument/2006/relationships/fontTable" Target="fontTable.xml"/><Relationship Id="rId8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137434</Words>
  <Characters>764760</Characters>
  <CharactersWithSpaces>903409</CharactersWithSpaces>
  <Paragraphs>12182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