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Leonsis Theodore</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08/13/2025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Theodore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08/13/2025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44,000</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69.9</w:t>
            </w:r>
          </w:p>
        </w:tc>
        <w:tc>
          <w:tcPr>
            <w:tcW w:w="1300" w:type="dxa"/>
            <w:vAlign w:val="bottom"/>
            <w:gridSpan w:val="3"/>
          </w:tcPr>
          <w:p>
            <w:pPr>
              <w:jc w:val="center"/>
              <w:ind w:right="260"/>
              <w:spacing w:after="0" w:line="213" w:lineRule="exact"/>
              <w:rPr>
                <w:sz w:val="20"/>
                <w:szCs w:val="20"/>
                <w:color w:val="auto"/>
              </w:rPr>
            </w:pPr>
            <w:r>
              <w:rPr>
                <w:rFonts w:ascii="Times New Roman" w:cs="Times New Roman" w:eastAsia="Times New Roman" w:hAnsi="Times New Roman"/>
                <w:sz w:val="17"/>
                <w:szCs w:val="17"/>
                <w:color w:val="0000FF"/>
              </w:rPr>
              <w:t>86,756</w:t>
            </w:r>
            <w:r>
              <w:rPr>
                <w:rFonts w:ascii="Times New Roman" w:cs="Times New Roman" w:eastAsia="Times New Roman" w:hAnsi="Times New Roman"/>
                <w:sz w:val="22"/>
                <w:szCs w:val="22"/>
                <w:color w:val="008000"/>
                <w:vertAlign w:val="superscript"/>
              </w:rPr>
              <w:t>(1)</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J. Leonsis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15,511</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8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Gives effect to pro rata distributions of shares by Revolution Growth GP III, LP ("RG GP III") to its general and limited partners, and the subsequent distribution of shares by the general partner to its members, in each case for no consideration, which represented a change in the form of the Reporting Person's ownership that was not required to be reported under Section 16. The Reporting Person is a member of the investment committee of the ultimate general partner of RG GP III.</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2645"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2025-08-15T20:28:16Z</dcterms:created>
  <dcterms:modified xsi:type="dcterms:W3CDTF">2025-08-15T20:28:16Z</dcterms:modified>
</cp:coreProperties>
</file>