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m-20250808.htm"/>
      <w:bookmarkStart w:id="1" w:name="kstem2025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08,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Tempus AI,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0"/>
        <w:gridCol w:w="873"/>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001-42130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47-4903308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600 West Chicago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60654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800</w:t>
            </w:r>
            <w:r>
              <w:rPr>
                <w:rFonts w:ascii="Times New Roman" w:hAnsi="Times New Roman"/>
                <w:color w:val="000000"/>
                <w:sz w:val="20"/>
              </w:rPr>
              <w:t xml:space="preserve"> </w:t>
            </w:r>
            <w:r>
              <w:rPr>
                <w:rFonts w:ascii="Times New Roman" w:hAnsi="Times New Roman"/>
                <w:b/>
                <w:color w:val="000000"/>
                <w:sz w:val="20"/>
              </w:rPr>
              <w:t>976-5448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2025, Tempus AI, Inc. (the “Company”) issued a press release regarding its financial results for the quarter ended June 30, 2025. A copy of the press release is furnished as Exhibit 99.1 to this Current Report on Form 8-K.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of this Current Report on Form 8-K, including the accompanying Exhibit 99.1, is intended to be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expressly set forth by specific reference in such filling.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2025, the Company made available on the “Events” page of its investor relations website at http://investors.tempus.com supplemental financial information for the quarter ended June 30, 2025 and a letter from its Chief Executive Officer and Chief Financial Officer. The contents of the Company’s website referenced in this Current Report on Form 8-K are not incorporated into this Current Report on Form 8-K. The information in Item 7.01 of this Current Report on Form 8-K is intended to be furnished and shall not be deemed “filed” for purposes of Section 18 of the Exchange Act, or otherwise subject to the liabilities of that section, nor shall it be deemed incorporated by reference into any filing under the Securities Act or the Exchange Act, except as expressly set forth by specific reference in such filling.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routinely uses its investor relations website (http://investors.tempus.com) to post presentations to investors and other important information, including information that may be material. Accordingly, the Company encourages investors and others interested in the Company to review the information it makes public on its investor relations website.</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36" w:type="dxa"/>
        <w:jc w:val="left"/>
        <w:tblInd w:w="0" w:type="dxa"/>
        <w:tblLayout w:type="fixed"/>
        <w:tblCellMar>
          <w:top w:w="28" w:type="dxa"/>
          <w:left w:w="28" w:type="dxa"/>
          <w:bottom w:w="28" w:type="dxa"/>
          <w:right w:w="28" w:type="dxa"/>
        </w:tblCellMar>
      </w:tblPr>
      <w:tblGrid>
        <w:gridCol w:w="646"/>
        <w:gridCol w:w="6790"/>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790"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67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99.1</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tem-ex99_1.htm">
              <w:r>
                <w:rPr>
                  <w:rStyle w:val="InternetLink"/>
                  <w:rFonts w:ascii="Times New Roman" w:hAnsi="Times New Roman"/>
                  <w:color w:val="0000FF"/>
                  <w:sz w:val="20"/>
                  <w:u w:val="single"/>
                </w:rPr>
                <w:t>Press release issued by Tempus AI, Inc. dated August 8, 2025.</w:t>
              </w:r>
            </w:hyperlink>
            <w:hyperlink w:anchor="tem-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6790"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29" w:type="dxa"/>
        <w:jc w:val="left"/>
        <w:tblInd w:w="0" w:type="dxa"/>
        <w:tblLayout w:type="fixed"/>
        <w:tblCellMar>
          <w:top w:w="28" w:type="dxa"/>
          <w:left w:w="28" w:type="dxa"/>
          <w:bottom w:w="28" w:type="dxa"/>
          <w:right w:w="28" w:type="dxa"/>
        </w:tblCellMar>
      </w:tblPr>
      <w:tblGrid>
        <w:gridCol w:w="556"/>
        <w:gridCol w:w="141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Tempus AI,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color w:val="000000"/>
              </w:rPr>
            </w:pPr>
            <w:r>
              <w:rPr>
                <w:color w:val="000000"/>
              </w:rPr>
              <w:t> </w:t>
            </w:r>
            <w:r>
              <w:rPr>
                <w:rFonts w:ascii="Times New Roman" w:hAnsi="Times New Roman"/>
                <w:color w:val="000000"/>
                <w:sz w:val="20"/>
              </w:rPr>
              <w:t>August 8,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Rogers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Rogers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m-ex99_1.htm"/>
      <w:bookmarkStart w:id="3" w:name="kstemex99_1"/>
      <w:bookmarkEnd w:id="2"/>
      <w:bookmarkEnd w:id="3"/>
      <w:r>
        <w:rPr>
          <w:rFonts w:ascii="Times New Roman" w:hAnsi="Times New Roman"/>
          <w:b/>
          <w:color w:val="000000"/>
          <w:sz w:val="20"/>
        </w:rPr>
        <w:t>Exhibit 99.1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Tempus Reports Second Quarter 2025 Results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CHICAGO, August 8, 2025 </w:t>
      </w:r>
      <w:r>
        <w:rPr>
          <w:rFonts w:ascii="Times New Roman" w:hAnsi="Times New Roman"/>
          <w:color w:val="000000"/>
          <w:sz w:val="20"/>
        </w:rPr>
        <w:t xml:space="preserve">— Tempus AI, Inc. (NASDAQ: TEM), a technology company leading the adoption of AI to advance precision medicine and patient care, today reported financial results for the quarter ended June 30,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Revenue increased 89.6% year-over-year to $314.6 million in the second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Genomics revenue increased 115.3% year-over-year to $241.8 million on accelerating year-over-year volume growth in Oncology (26%) and Hereditary (32%) testing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Data and services revenue increased 35.7% year-over-year to $72.8 million, led by Insights (data licensing), which grew 40.7% year-over-year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Quarterly gross profit was $195.0 million, a 158.3% year-over-year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Issued $750 million of 0.75% convertible senior notes that will drive significant interest expense and cash savings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Increasing full year 2025 revenue guidance to $1.26 billion, along with positive adjusted EBITDA of $5 million, a $110 million improvement over 2024 </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The business is performing well with revenues and margins growing faster than expected, contributing to our continued improvement in adjusted EBITDA on a year-over-year basis,” said Eric Lefkofsky, Founder and CEO of Tempus. “We saw significant re-acceleration of our clinical volumes which grew 30% in the quarter, as we delivered more than 212,000 NGS tests. Combined with our continued leadership in AI and progress toward building the largest foundation model in oncology, ‘we’re hitting our stride’ as we approach our 10th anniversary.”</w:t>
        <w:br/>
        <w:br/>
      </w:r>
      <w:r>
        <w:rPr>
          <w:rFonts w:ascii="Times New Roman" w:hAnsi="Times New Roman"/>
          <w:b/>
          <w:color w:val="000000"/>
          <w:sz w:val="20"/>
        </w:rPr>
        <w:t>Second Quarter Summary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Quarterly revenue increased 89.6% year-over-year to $314.6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Genomics contributed $241.8 million in revenue in the quarter, growing 115.3% compared to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Oncology testing (Tempus genomics) delivered $133.2 million of revenue, up 32.9% year-over-year with approximately 26% volume growth versus 20% last quarter.</w:t>
      </w:r>
    </w:p>
    <w:p>
      <w:pPr>
        <w:pStyle w:val="TextBody"/>
        <w:bidi w:val="0"/>
        <w:spacing w:before="120" w:after="283"/>
        <w:jc w:val="left"/>
        <w:rPr>
          <w:rFonts w:ascii="Times New Roman" w:hAnsi="Times New Roman"/>
          <w:sz w:val="20"/>
        </w:rPr>
      </w:pPr>
      <w:r>
        <w:rPr>
          <w:rFonts w:ascii="Times New Roman" w:hAnsi="Times New Roman"/>
          <w:color w:val="000000"/>
          <w:sz w:val="20"/>
        </w:rPr>
        <w:t> Hereditary testing (Ambry genetics) contributed $97.3 million of revenue, up 33.6% year-over-year on a pro forma basis</w:t>
      </w:r>
      <w:r>
        <w:rPr>
          <w:rFonts w:ascii="Times New Roman" w:hAnsi="Times New Roman"/>
          <w:color w:val="000000"/>
          <w:sz w:val="13"/>
        </w:rPr>
        <w:t>1</w:t>
      </w:r>
      <w:r>
        <w:rPr>
          <w:rFonts w:ascii="Times New Roman" w:hAnsi="Times New Roman"/>
          <w:color w:val="000000"/>
          <w:sz w:val="20"/>
        </w:rPr>
        <w:t xml:space="preserve"> with approximately 32% volume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Revenue from Data and services totaled $72.8 million in the second quarter, delivering 35.7% growth versus the second quarter of 2024, led by Insights (data licensing), which grew 40.7%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Generated $195.0 million in quarterly gross profit, reflecting a 158.3% increase year-over-year.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Improvement in reported net loss of ($42.8 million) in the second quarter of 2025, including fair value gains of $37.8 million related to our marketable equity securities and stock compensation and employer payroll tax related to stock-based compensation of ($24.3) million, compared to a net loss of ($552.2 million) in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Adjusted EBITDA of ($5.6 million) in the second quarter of 2025 compared to ($31.2 million) in the second quarter of 2024, an improvement of $25.6 million year-over-year.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Second Quarter and Recent Operational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Strengthened Financial Flexibility: Just after quarter end, we completed an upsized offering of $750 million 0.75% convertible senior notes, enhancing our balance sheet and allowing us to replace a portion of the existing term loan with a significantly lower interest debt instrument. We also ended the quarter with $293.0 million in cash and marketable securities, an improvement of ~$70 million over last quarter. </w:t>
      </w:r>
    </w:p>
    <w:p>
      <w:pPr>
        <w:pStyle w:val="TextBody"/>
        <w:bidi w:val="0"/>
        <w:spacing w:before="120" w:after="283"/>
        <w:jc w:val="left"/>
        <w:rPr/>
      </w:pPr>
      <w:r>
        <w:rPr/>
        <w:t> </w:t>
      </w:r>
    </w:p>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pro forma amounts have been calculated after applying the Company's accounting policies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Expanded AI-Powered Clinical Tools: Extended Tempus Next care pathway intelligence platform into breast cancer, furthering AI-driven decision support across oncology. In addition, Tempus One, our generative AI clinical assistant, was integrated into leading electronic health record (EHR) systems to enhance physician workflows and point-of-care insights.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Advanced MRD and monitoring: Introduced Tempus xM for treatment and response monitoring (TRM), a liquid biopsy assay designed to monitor immunotherapy response in patients with advanced solid tumors, providing clinicians with actionable, real-time insights. We also expanded our exclusive collaboration with Personalis to include colorectal cancer as the fourth indication under the NeXT Personal® MRD commercial partnership.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Reached new database milestone: Through more than 4,500 integrations, we are now connected to more than 40 million clinical patient records, with ~9 million de-identified and ingested, spanning ~1.1 billion healthcare documents, a significant percentage of which are connected to the ~4 million samples we have sequenced. As a result, our database now stands at &gt;350 petabytes of connected clinical and molecular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Approaching 10-Year anniversary: As we near Tempus’ 10-year anniversary, we’re reflecting on a decade of innovation and collaboration which now spans more than 2,000 publications including ~700 peer reviewed articles and ~180 oral presentations.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Second Quarter Financial Results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92"/>
        <w:gridCol w:w="146"/>
        <w:gridCol w:w="341"/>
        <w:gridCol w:w="1267"/>
        <w:gridCol w:w="269"/>
        <w:gridCol w:w="236"/>
        <w:gridCol w:w="341"/>
        <w:gridCol w:w="1365"/>
        <w:gridCol w:w="166"/>
        <w:gridCol w:w="146"/>
        <w:gridCol w:w="146"/>
        <w:gridCol w:w="571"/>
        <w:gridCol w:w="319"/>
      </w:tblGrid>
      <w:tr>
        <w:trPr/>
        <w:tc>
          <w:tcPr>
            <w:tcW w:w="4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 and per share amounts)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195,039</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NM</w:t>
            </w:r>
            <w:r>
              <w:rPr>
                <w:rFonts w:ascii="Times New Roman" w:hAnsi="Times New Roman"/>
                <w:color w:val="000000"/>
                <w:sz w:val="13"/>
              </w:rPr>
              <w:t>(1)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NM</w:t>
            </w:r>
            <w:r>
              <w:rPr>
                <w:rFonts w:ascii="Times New Roman" w:hAnsi="Times New Roman"/>
                <w:color w:val="000000"/>
                <w:sz w:val="13"/>
              </w:rPr>
              <w:t>(1)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Not meaningful due to the impact of stock compensation expense and employer payroll tax related to stock-based compensation associated with the initial public offering in June 2024</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Outlook and Guidance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is increasing its guidance and now expects full year 2025 revenue of approximately $1.26 billion for the consolidated business, which represents approximately 82% annual growth, and Adjusted EBITDA of $5 million for full year 2025, an improvement of approximately $110 million over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on the quarter, including a letter from our CEO and CFO, please visit our investors relations site at investors.tempus.com.</w:t>
      </w:r>
    </w:p>
    <w:p>
      <w:pPr>
        <w:pStyle w:val="TextBody"/>
        <w:bidi w:val="0"/>
        <w:spacing w:before="360" w:after="283"/>
        <w:jc w:val="left"/>
        <w:rPr>
          <w:rFonts w:ascii="Times New Roman" w:hAnsi="Times New Roman"/>
          <w:sz w:val="20"/>
        </w:rPr>
      </w:pPr>
      <w:r>
        <w:rPr>
          <w:rFonts w:ascii="Times New Roman" w:hAnsi="Times New Roman"/>
          <w:b/>
          <w:color w:val="000000"/>
          <w:sz w:val="20"/>
        </w:rPr>
        <w:t>Webcast and Conference Call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conference call and webcast will be held on Friday, August 8, 2025 at 8:00 a.m. Eastern Time. Interested parties may access details using:</w:t>
      </w:r>
    </w:p>
    <w:p>
      <w:pPr>
        <w:pStyle w:val="TextBody"/>
        <w:bidi w:val="0"/>
        <w:jc w:val="left"/>
        <w:rPr>
          <w:rFonts w:ascii="Times New Roman" w:hAnsi="Times New Roman"/>
          <w:color w:val="000000"/>
          <w:sz w:val="20"/>
        </w:rPr>
      </w:pPr>
      <w:r>
        <w:rPr>
          <w:rFonts w:ascii="Times New Roman" w:hAnsi="Times New Roman"/>
          <w:color w:val="000000"/>
          <w:sz w:val="20"/>
        </w:rPr>
        <w:t>Conference ID: 7005219</w:t>
      </w:r>
    </w:p>
    <w:p>
      <w:pPr>
        <w:pStyle w:val="TextBody"/>
        <w:bidi w:val="0"/>
        <w:jc w:val="left"/>
        <w:rPr>
          <w:rFonts w:ascii="Times New Roman" w:hAnsi="Times New Roman"/>
          <w:color w:val="000000"/>
          <w:sz w:val="20"/>
        </w:rPr>
      </w:pPr>
      <w:r>
        <w:rPr>
          <w:rFonts w:ascii="Times New Roman" w:hAnsi="Times New Roman"/>
          <w:color w:val="000000"/>
          <w:sz w:val="20"/>
        </w:rPr>
        <w:t>Domestic Dial-in Number: (800) 715 - 9871</w:t>
      </w:r>
    </w:p>
    <w:p>
      <w:pPr>
        <w:pStyle w:val="TextBody"/>
        <w:bidi w:val="0"/>
        <w:jc w:val="left"/>
        <w:rPr>
          <w:rFonts w:ascii="Times New Roman" w:hAnsi="Times New Roman"/>
          <w:color w:val="000000"/>
          <w:sz w:val="20"/>
        </w:rPr>
      </w:pPr>
      <w:r>
        <w:rPr>
          <w:rFonts w:ascii="Times New Roman" w:hAnsi="Times New Roman"/>
          <w:color w:val="000000"/>
          <w:sz w:val="20"/>
        </w:rPr>
        <w:t>International Dial-in Number: (646) 307 - 1963</w:t>
      </w:r>
    </w:p>
    <w:p>
      <w:pPr>
        <w:pStyle w:val="TextBody"/>
        <w:bidi w:val="0"/>
        <w:jc w:val="left"/>
        <w:rPr>
          <w:rFonts w:ascii="Times New Roman" w:hAnsi="Times New Roman"/>
          <w:color w:val="000000"/>
          <w:sz w:val="20"/>
        </w:rPr>
      </w:pPr>
      <w:r>
        <w:rPr>
          <w:rFonts w:ascii="Times New Roman" w:hAnsi="Times New Roman"/>
          <w:color w:val="000000"/>
          <w:sz w:val="20"/>
        </w:rPr>
        <w:t>Live webcast: https://edge.media-server.com/mmc/p/irtvw27b</w:t>
      </w:r>
    </w:p>
    <w:p>
      <w:pPr>
        <w:pStyle w:val="TextBody"/>
        <w:bidi w:val="0"/>
        <w:jc w:val="left"/>
        <w:rPr>
          <w:rFonts w:ascii="Times New Roman" w:hAnsi="Times New Roman"/>
          <w:color w:val="000000"/>
          <w:sz w:val="20"/>
        </w:rPr>
      </w:pPr>
      <w:r>
        <w:rPr>
          <w:rFonts w:ascii="Times New Roman" w:hAnsi="Times New Roman"/>
          <w:color w:val="000000"/>
          <w:sz w:val="20"/>
        </w:rPr>
        <w:t xml:space="preserve">The webcast may be accessed on the company’s investor relations website at investors.tempus.com. For those unable to listen to the live webcast, a recording will be made available on the company’s website after the event and will be accessible for one year. Visit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investor relations website to find the company’s latest deck, and commentary on the quarter and year by Eric Lefkofsky, Founder and CEO and Jim Rogers, CFO, which will be discussed on the conference call and webcast.</w:t>
      </w:r>
    </w:p>
    <w:p>
      <w:pPr>
        <w:pStyle w:val="TextBody"/>
        <w:bidi w:val="0"/>
        <w:spacing w:before="360" w:after="283"/>
        <w:jc w:val="left"/>
        <w:rPr>
          <w:rFonts w:ascii="Times New Roman" w:hAnsi="Times New Roman"/>
          <w:sz w:val="20"/>
        </w:rPr>
      </w:pPr>
      <w:r>
        <w:rPr>
          <w:rFonts w:ascii="Times New Roman" w:hAnsi="Times New Roman"/>
          <w:b/>
          <w:color w:val="000000"/>
          <w:sz w:val="20"/>
        </w:rPr>
        <w:t>About Tempus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tempus.com.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the financial information presented in this release in accordance with accounting principles generally accepted in the United States of America (GAAP), Tempus also presents adjusted non-GAAP financial measures. </w:t>
      </w:r>
    </w:p>
    <w:p>
      <w:pPr>
        <w:pStyle w:val="TextBody"/>
        <w:bidi w:val="0"/>
        <w:spacing w:before="240" w:after="283"/>
        <w:jc w:val="left"/>
        <w:rPr>
          <w:rFonts w:ascii="Times New Roman" w:hAnsi="Times New Roman"/>
          <w:sz w:val="20"/>
        </w:rPr>
      </w:pPr>
      <w:r>
        <w:rPr>
          <w:rFonts w:ascii="Times New Roman" w:hAnsi="Times New Roman"/>
          <w:b/>
          <w:color w:val="000000"/>
          <w:sz w:val="20"/>
        </w:rPr>
        <w:t>Non-GAAP gross profit</w:t>
      </w:r>
      <w:r>
        <w:rPr>
          <w:rFonts w:ascii="Times New Roman" w:hAnsi="Times New Roman"/>
          <w:color w:val="000000"/>
          <w:sz w:val="20"/>
        </w:rPr>
        <w:t xml:space="preserve"> is defined as GAAP gross profit, excluding stock-based compensation expense and employer payroll tax related to stock-based compensation (collectively, the “stock-based compensation adjustments”). </w:t>
      </w:r>
      <w:r>
        <w:rPr>
          <w:rFonts w:ascii="Times New Roman" w:hAnsi="Times New Roman"/>
          <w:b/>
          <w:color w:val="000000"/>
          <w:sz w:val="20"/>
        </w:rPr>
        <w:t>Non-GAAP gross margin</w:t>
      </w:r>
      <w:r>
        <w:rPr>
          <w:rFonts w:ascii="Times New Roman" w:hAnsi="Times New Roman"/>
          <w:color w:val="000000"/>
          <w:sz w:val="20"/>
        </w:rPr>
        <w:t xml:space="preserve"> is defined as gross profit, excluding the stock-based compensation adjustments, as a percentage of revenue. </w:t>
      </w:r>
      <w:r>
        <w:rPr>
          <w:rFonts w:ascii="Times New Roman" w:hAnsi="Times New Roman"/>
          <w:b/>
          <w:color w:val="000000"/>
          <w:sz w:val="20"/>
        </w:rPr>
        <w:t>Non-GAAP operating expenses</w:t>
      </w:r>
      <w:r>
        <w:rPr>
          <w:rFonts w:ascii="Times New Roman" w:hAnsi="Times New Roman"/>
          <w:color w:val="000000"/>
          <w:sz w:val="20"/>
        </w:rPr>
        <w:t xml:space="preserve"> are calculated as the sum of technology research and development expense, research and development expense, and selling, general and administrative expense, excluding the stock-based compensation adjustments, acquisition-related expenses, amortization of intangibles due to acquisition, and franchise taxes related to our IPO. </w:t>
      </w:r>
      <w:r>
        <w:rPr>
          <w:rFonts w:ascii="Times New Roman" w:hAnsi="Times New Roman"/>
          <w:b/>
          <w:color w:val="000000"/>
          <w:sz w:val="20"/>
        </w:rPr>
        <w:t>Non-GAAP loss from operations</w:t>
      </w:r>
      <w:r>
        <w:rPr>
          <w:rFonts w:ascii="Times New Roman" w:hAnsi="Times New Roman"/>
          <w:color w:val="000000"/>
          <w:sz w:val="20"/>
        </w:rPr>
        <w:t xml:space="preserve"> is defined as loss from operations, adjusted to exclude (i) stock-based compensation expense, (ii) employer payroll tax related to stock-based compensation expense, (iii) acquisition-related expenses, (iv) franchise taxes related to our IPO, and (v) amortization of intangibles due to acquisition. </w:t>
      </w:r>
      <w:r>
        <w:rPr>
          <w:rFonts w:ascii="Times New Roman" w:hAnsi="Times New Roman"/>
          <w:b/>
          <w:color w:val="000000"/>
          <w:sz w:val="20"/>
        </w:rPr>
        <w:t>Non-GAAP net loss</w:t>
      </w:r>
      <w:r>
        <w:rPr>
          <w:rFonts w:ascii="Times New Roman" w:hAnsi="Times New Roman"/>
          <w:color w:val="000000"/>
          <w:sz w:val="20"/>
        </w:rPr>
        <w:t xml:space="preserve"> is defined as net loss, adjusted to exclude (i) changes in fair value of our warrant liability, warrant asset, marketable equity securities, contingent consideration liabilities and indemnity-related holdback liabilities, (ii) stock-based compensation expense, (iii) employer payroll tax related to stock-based compensation expense, (iv) acquisition-related expenses, (v) amortization of intangibles due to acquisition, (vi) losses on equity method investments, (vii) (benefit from) provision for income taxes, (viii) the payment of $2.3 million of our Series G-4 convertible preferred stock in connection with the initial public offering (the "G-4 Special Payment"), (ix) franchise taxes related to our IPO, and (x) amortization of deferred other income from our IP License Agreement with SB Tempus. </w:t>
      </w:r>
      <w:r>
        <w:rPr>
          <w:rFonts w:ascii="Times New Roman" w:hAnsi="Times New Roman"/>
          <w:b/>
          <w:color w:val="000000"/>
          <w:sz w:val="20"/>
        </w:rPr>
        <w:t>Non-GAAP net loss per share</w:t>
      </w:r>
      <w:r>
        <w:rPr>
          <w:rFonts w:ascii="Times New Roman" w:hAnsi="Times New Roman"/>
          <w:color w:val="000000"/>
          <w:sz w:val="20"/>
        </w:rPr>
        <w:t xml:space="preserve"> is defined as non-GAAP net loss divided by weighted average common shares outstanding, basic and diluted.</w:t>
      </w:r>
    </w:p>
    <w:p>
      <w:pPr>
        <w:pStyle w:val="TextBody"/>
        <w:bidi w:val="0"/>
        <w:spacing w:before="240" w:after="283"/>
        <w:jc w:val="left"/>
        <w:rPr>
          <w:rFonts w:ascii="Times New Roman" w:hAnsi="Times New Roman"/>
          <w:sz w:val="20"/>
        </w:rPr>
      </w:pPr>
      <w:r>
        <w:rPr>
          <w:rFonts w:ascii="Times New Roman" w:hAnsi="Times New Roman"/>
          <w:b/>
          <w:color w:val="000000"/>
          <w:sz w:val="20"/>
        </w:rPr>
        <w:t>Adjusted EBITDA</w:t>
      </w:r>
      <w:r>
        <w:rPr>
          <w:rFonts w:ascii="Times New Roman" w:hAnsi="Times New Roman"/>
          <w:color w:val="000000"/>
          <w:sz w:val="20"/>
        </w:rPr>
        <w:t xml:space="preserve"> is defined as net loss, adjusted to exclude (i) interest income, (ii) interest expense, (iii) depreciation and amortization, (iv) provision for (benefit from)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 (ix) acquisition related expenses, (x) the G-4 Special Payment, (xi) amortization of deferred other income from our IP License Agreement with SB Tempus, and (xii) franchise taxes related to our IPO.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believes these non-GAAP financial measures are useful to investors and others because they allow for additional information with respect to financial measures used by management in its financial and operational decision-making and they may be used by institutional investors and the analyst community to help them analyze the health of Tempus’ business. In particular, Adjusted EBITDA is a key measurement used by Tempus management to make operating decisions, including those related to analyzing operating expenses, evaluating performance, and performing strategic planning and annual budgeting.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Tempus does not provide guidance for net loss, the most directly comparable GAAP measure to EBITDA and Adjusted EBITDA, and similarly cannot provide a reconciliation between Tempus’ forecasted Adjusted EBITDA and net loss without unreasonable effort due to the unavailability of reliable estimates for certain components of net income (loss) and the respective reconciliations. These forecasted items are not within Tempus’ control, may vary greatly between periods, and could significantly impact future financial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Key Metrics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Total Remaining Contract Value (TCV)</w:t>
      </w:r>
      <w:r>
        <w:rPr>
          <w:rFonts w:ascii="Times New Roman" w:hAnsi="Times New Roman"/>
          <w:color w:val="000000"/>
          <w:sz w:val="20"/>
        </w:rPr>
        <w:t xml:space="preserve"> is equal to the total potential value of signed contracts and assumes the exercise of all contract options, all discretionary opt-ins, and no early termination. Remaining TCV excludes any revenue recognized to date on these contracts or any future adjustments made to the contractual value as a result of amendments or terminations.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compares the annual Insights product revenue generated from all customers that made an Insights purchase in one year to the annual Insights product revenue generated from the same cohort of customers in the subsequent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 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as amended (the “Securities Act”), and Section 21E of the Securities Exchange Act of 1934, as amended, about Tempus and its industry that involve substantial risks and uncertainties. All statements other than statements of historical facts contained in this press release are forward-looking statements, including, but not limited to, Tempus’ expected financial results for full year 2025; expectations concerning the interest and cost savings associated with our convertible senior notes; and other statements that are not historical fact. In some cases, you can identify forward-looking statements because they contain words such as “anticipate,” “believe,” “contemplate,” “continue,” “could,” “estimate,” “expect,” “going to,” “intend,” “may,” “plan,” “potential,” “predict,” “project,” “should,” “target,” “will,” or “would” or the negative of these words or other similar terms or expressions. Tempus cautions you that the foregoing may not include all of the forward-looking statements made in this press release.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on forward-looking statements as predictions of future events. Tempus has based the forward-looking statements contained in this press release primarily on its current expectations and projections about future events and trends that it believes may affect Tempus’ business, financial condition, results of operations and prospects. These forward-looking statements are subject to risks and uncertainties related to: the intended use of Tempus’ products and services; Tempus’ financial performance; the ability to attract and retain customers and partners; managing Tempus’ growth and future expenses; competition and new market entrants; compliance with new laws, regulations and executive actions, including any evolving regulations in the artificial intelligence space; the ability to maintain, protect and enhance Tempus’ intellectual property; the ability to attract and retain qualified team members and key personnel; the ability to repay or refinance outstanding debt, or to access additional financing; future acquisitions, divestitures or investments, including Tempus’ ability to realize the expected benefits of the acquisition of Ambry Genetics and Deep 6 AI; the potential adverse impact of climate change, natural disasters, health epidemics, macroeconomic conditions, trade tensions and tariffs, and war or other armed conflict, as well as risks, uncertainties, and other factors described in the section titled “Risk Factors” in Tempus’ Form 10-K for the year ended December 31, 2024, filed with the Securities and Exchange Commission (“the SEC”) on February 24, 2025, as supplemented by Tempus' Form 10-Q for the quarter ended June 30, 2025, filed with the SEC on August 8, 2025, as well as in other filings Tempus may make with the SEC in the future. In addition, any forward-looking statements contained in this press release are based on assumptions that Tempus believes to be reasonable as of this date. Tempus undertakes no obligation to update any forward-looking statements to reflect events or circumstances after the date of this press release or to reflect new information or the occurrence of unanticipated events, except as required by law.</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Communications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Erin Carron </w:t>
      </w:r>
    </w:p>
    <w:p>
      <w:pPr>
        <w:pStyle w:val="TextBody"/>
        <w:bidi w:val="0"/>
        <w:jc w:val="left"/>
        <w:rPr>
          <w:rFonts w:ascii="Times New Roman" w:hAnsi="Times New Roman"/>
          <w:color w:val="000000"/>
          <w:sz w:val="20"/>
        </w:rPr>
      </w:pPr>
      <w:r>
        <w:rPr>
          <w:rFonts w:ascii="Times New Roman" w:hAnsi="Times New Roman"/>
          <w:color w:val="000000"/>
          <w:sz w:val="20"/>
        </w:rPr>
        <w:t xml:space="preserve">media@tempus.com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Tempus Investor Relations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 Krutoholow </w:t>
      </w:r>
    </w:p>
    <w:p>
      <w:pPr>
        <w:pStyle w:val="TextBody"/>
        <w:bidi w:val="0"/>
        <w:jc w:val="left"/>
        <w:rPr>
          <w:rFonts w:ascii="Times New Roman" w:hAnsi="Times New Roman"/>
          <w:color w:val="000000"/>
          <w:sz w:val="20"/>
        </w:rPr>
      </w:pPr>
      <w:r>
        <w:rPr>
          <w:rFonts w:ascii="Times New Roman" w:hAnsi="Times New Roman"/>
          <w:color w:val="000000"/>
          <w:sz w:val="20"/>
        </w:rPr>
        <w:t xml:space="preserve">Elizabeth.krutoholow@tempus.com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Source: Tempus AI, Inc.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146"/>
        <w:gridCol w:w="211"/>
        <w:gridCol w:w="781"/>
        <w:gridCol w:w="166"/>
        <w:gridCol w:w="146"/>
        <w:gridCol w:w="211"/>
        <w:gridCol w:w="841"/>
        <w:gridCol w:w="166"/>
        <w:gridCol w:w="146"/>
        <w:gridCol w:w="211"/>
        <w:gridCol w:w="841"/>
        <w:gridCol w:w="166"/>
        <w:gridCol w:w="146"/>
        <w:gridCol w:w="211"/>
        <w:gridCol w:w="841"/>
        <w:gridCol w:w="611"/>
      </w:tblGrid>
      <w:tr>
        <w:trPr/>
        <w:tc>
          <w:tcPr>
            <w:tcW w:w="4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services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(586,766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 on Series A, B, B-1, B-2, C, D, E, F, G, G-3, and G-4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undeclared dividends on Series C preferred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$15,908, $108, $16,539, $215 for the three and six months ended June 30, 2025 and 2024, respectively.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29"/>
        <w:gridCol w:w="146"/>
        <w:gridCol w:w="211"/>
        <w:gridCol w:w="931"/>
        <w:gridCol w:w="146"/>
        <w:gridCol w:w="146"/>
        <w:gridCol w:w="277"/>
        <w:gridCol w:w="1026"/>
        <w:gridCol w:w="793"/>
      </w:tblGrid>
      <w:tr>
        <w:trPr/>
        <w:tc>
          <w:tcPr>
            <w:tcW w:w="6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340,954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$1,545 and $1,141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154,819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107,309</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667,603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26,199</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168,192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267,244</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869,777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deferred revenue of $36,685 and $0 as of June 30, 2025 and December 31, 2024, respectively.</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June 30, 2025 and December 31, 2024, respectively, no shares issued and outstanding at June 30, 2025 and December 31, 2024; aggregate liquidation preference of $0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Voting Common Stock, $0.0001 par value, 1,000,000,000 shares authorized at June 30, 2025 and December 31, 2024, respectively; 168,580,827 and 157,076,972 shares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Voting Common Stock, $0.0001 par value, 5,500,000 shares authorized at June 30, 2025 and December 31, 2024, respectively; 5,043,789 issued and outstanding at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$0.0001 par value, no shares authorized at June 30, 2025 and December 31, 2024, respectively; no shares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145,466 shares at June 30, 2025 and December 31, 2024,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2,210,664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(2,150,834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Condensed Consolidated Statements of Cash Flows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8998" w:type="dxa"/>
        <w:jc w:val="left"/>
        <w:tblInd w:w="0" w:type="dxa"/>
        <w:tblLayout w:type="fixed"/>
        <w:tblCellMar>
          <w:top w:w="28" w:type="dxa"/>
          <w:left w:w="28" w:type="dxa"/>
          <w:bottom w:w="28" w:type="dxa"/>
          <w:right w:w="28" w:type="dxa"/>
        </w:tblCellMar>
      </w:tblPr>
      <w:tblGrid>
        <w:gridCol w:w="5971"/>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warrant exercise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warrant contract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capitalized software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investing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(385,329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deferred revenue of $36,685 and $0 as of June 30, 2025 and December 31, 2024, respectively.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288"/>
        <w:gridCol w:w="211"/>
        <w:gridCol w:w="841"/>
        <w:gridCol w:w="166"/>
        <w:gridCol w:w="146"/>
        <w:gridCol w:w="211"/>
        <w:gridCol w:w="931"/>
        <w:gridCol w:w="411"/>
      </w:tblGrid>
      <w:tr>
        <w:trPr/>
        <w:tc>
          <w:tcPr>
            <w:tcW w:w="7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in connection with initial public offering, net of underwriting discounts and commissions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withholding related to net share settlement of restricted stock units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G-5 Preferred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indemnity holdback related to acquisition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502,631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payable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Non-voting common stock issued in connection with business combinations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fees, accrued but not yet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to common stock in connection with initial public offering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1,348,809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restricted stock units not yet paid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deferred offering costs to additional paid-in capital upon initial public offering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Voting Common Stock issued in connection with business combinations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G-3 Preferred Stock</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Series G-4 Preferred Stock</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Reconciliation of GAAP to Non-GAAP Financial Measures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percentages and per 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Genomics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81"/>
        <w:gridCol w:w="271"/>
        <w:gridCol w:w="146"/>
        <w:gridCol w:w="211"/>
        <w:gridCol w:w="781"/>
        <w:gridCol w:w="271"/>
        <w:gridCol w:w="146"/>
        <w:gridCol w:w="211"/>
        <w:gridCol w:w="781"/>
        <w:gridCol w:w="271"/>
        <w:gridCol w:w="146"/>
        <w:gridCol w:w="211"/>
        <w:gridCol w:w="781"/>
        <w:gridCol w:w="516"/>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Genomics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121,159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genomics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93,734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253,865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105,197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Genomics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genomics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Data and Services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75"/>
        <w:gridCol w:w="146"/>
        <w:gridCol w:w="217"/>
        <w:gridCol w:w="695"/>
        <w:gridCol w:w="278"/>
        <w:gridCol w:w="149"/>
        <w:gridCol w:w="217"/>
        <w:gridCol w:w="695"/>
        <w:gridCol w:w="271"/>
        <w:gridCol w:w="146"/>
        <w:gridCol w:w="211"/>
        <w:gridCol w:w="781"/>
        <w:gridCol w:w="271"/>
        <w:gridCol w:w="146"/>
        <w:gridCol w:w="211"/>
        <w:gridCol w:w="676"/>
        <w:gridCol w:w="520"/>
      </w:tblGrid>
      <w:tr>
        <w:trPr/>
        <w:tc>
          <w:tcPr>
            <w:tcW w:w="4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72,792</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96,896</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19,840</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37,420</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52,952</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59,476</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53,759</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66,824</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data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7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data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Total Gross Profit &amp; Gross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1"/>
        <w:gridCol w:w="781"/>
        <w:gridCol w:w="271"/>
        <w:gridCol w:w="146"/>
        <w:gridCol w:w="211"/>
        <w:gridCol w:w="781"/>
        <w:gridCol w:w="271"/>
        <w:gridCol w:w="146"/>
        <w:gridCol w:w="211"/>
        <w:gridCol w:w="781"/>
        <w:gridCol w:w="271"/>
        <w:gridCol w:w="146"/>
        <w:gridCol w:w="211"/>
        <w:gridCol w:w="781"/>
        <w:gridCol w:w="516"/>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311,789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172,021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81"/>
        <w:gridCol w:w="146"/>
        <w:gridCol w:w="146"/>
        <w:gridCol w:w="211"/>
        <w:gridCol w:w="781"/>
        <w:gridCol w:w="146"/>
        <w:gridCol w:w="146"/>
        <w:gridCol w:w="211"/>
        <w:gridCol w:w="781"/>
        <w:gridCol w:w="146"/>
        <w:gridCol w:w="146"/>
        <w:gridCol w:w="211"/>
        <w:gridCol w:w="781"/>
        <w:gridCol w:w="39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265,713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841"/>
        <w:gridCol w:w="166"/>
        <w:gridCol w:w="146"/>
        <w:gridCol w:w="211"/>
        <w:gridCol w:w="841"/>
        <w:gridCol w:w="166"/>
        <w:gridCol w:w="146"/>
        <w:gridCol w:w="211"/>
        <w:gridCol w:w="841"/>
        <w:gridCol w:w="21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on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9"/>
        <w:gridCol w:w="146"/>
        <w:gridCol w:w="211"/>
        <w:gridCol w:w="736"/>
        <w:gridCol w:w="166"/>
        <w:gridCol w:w="146"/>
        <w:gridCol w:w="211"/>
        <w:gridCol w:w="841"/>
        <w:gridCol w:w="166"/>
        <w:gridCol w:w="146"/>
        <w:gridCol w:w="211"/>
        <w:gridCol w:w="841"/>
        <w:gridCol w:w="166"/>
        <w:gridCol w:w="146"/>
        <w:gridCol w:w="211"/>
        <w:gridCol w:w="841"/>
        <w:gridCol w:w="411"/>
      </w:tblGrid>
      <w:tr>
        <w:trPr/>
        <w:tc>
          <w:tcPr>
            <w:tcW w:w="4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(574,717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on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G-4 Special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Fair value changes include gains and losses related to quarterly fair value adjustments of our warrant liability, warrant asset, marketable equity securities, contingent consideration liabilities, and indemnity-related holdback liabilities.  </w:t>
      </w:r>
    </w:p>
    <w:p>
      <w:pPr>
        <w:pStyle w:val="TextBody"/>
        <w:bidi w:val="0"/>
        <w:jc w:val="left"/>
        <w:rPr>
          <w:rFonts w:ascii="Times New Roman" w:hAnsi="Times New Roman"/>
          <w:sz w:val="20"/>
        </w:rPr>
      </w:pPr>
      <w:r>
        <w:rPr>
          <w:rFonts w:ascii="Times New Roman" w:hAnsi="Times New Roman"/>
          <w:color w:val="000000"/>
          <w:sz w:val="10"/>
        </w:rPr>
        <w:t>(2)</w:t>
      </w:r>
      <w:r>
        <w:rPr>
          <w:rFonts w:ascii="Times New Roman" w:hAnsi="Times New Roman"/>
          <w:color w:val="000000"/>
          <w:sz w:val="20"/>
        </w:rPr>
        <w:t xml:space="preserve"> Acquisition related expenses consist of legal, diligence, accounting, and financing costs incurred for acquisitions of during the three and six months ended June 30,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9"/>
        <w:gridCol w:w="146"/>
        <w:gridCol w:w="211"/>
        <w:gridCol w:w="736"/>
        <w:gridCol w:w="166"/>
        <w:gridCol w:w="146"/>
        <w:gridCol w:w="211"/>
        <w:gridCol w:w="841"/>
        <w:gridCol w:w="166"/>
        <w:gridCol w:w="146"/>
        <w:gridCol w:w="211"/>
        <w:gridCol w:w="841"/>
        <w:gridCol w:w="166"/>
        <w:gridCol w:w="146"/>
        <w:gridCol w:w="211"/>
        <w:gridCol w:w="841"/>
        <w:gridCol w:w="211"/>
      </w:tblGrid>
      <w:tr>
        <w:trPr/>
        <w:tc>
          <w:tcPr>
            <w:tcW w:w="4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Franchise taxes related to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 due to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0"/>
        </w:rPr>
        <w:t>(1)</w:t>
      </w:r>
      <w:r>
        <w:rPr>
          <w:rFonts w:ascii="Times New Roman" w:hAnsi="Times New Roman"/>
          <w:color w:val="000000"/>
          <w:sz w:val="20"/>
        </w:rPr>
        <w:t xml:space="preserve"> Acquisition related expenses consist of legal, diligence, accounting, and financing costs incurred for acquisitions during the three and six months ended June 30,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5797</Words>
  <Characters>32342</Characters>
  <CharactersWithSpaces>38703</CharactersWithSpaces>
  <Paragraphs>3565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