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7047865" cy="848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8480425"/>
                    </a:xfrm>
                    <a:prstGeom prst="rect">
                      <a:avLst/>
                    </a:prstGeom>
                    <a:noFill/>
                  </pic:spPr>
                </pic:pic>
              </a:graphicData>
            </a:graphic>
          </wp:anchor>
        </w:drawing>
      </w:r>
    </w:p>
    <w:p>
      <w:pPr>
        <w:spacing w:after="0" w:line="1150" w:lineRule="exact"/>
        <w:rPr>
          <w:sz w:val="24"/>
          <w:szCs w:val="24"/>
          <w:color w:val="auto"/>
        </w:rPr>
      </w:pPr>
    </w:p>
    <w:p>
      <w:pPr>
        <w:sectPr>
          <w:pgSz w:w="11900" w:h="16875" w:orient="portrait"/>
          <w:cols w:equalWidth="0" w:num="2">
            <w:col w:w="2280" w:space="360"/>
            <w:col w:w="8440"/>
          </w:cols>
          <w:pgMar w:left="460" w:top="215"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Leonsis Theodore</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1"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Tempus AI,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tcBorders>
              <w:bottom w:val="single" w:sz="8" w:color="0000EE"/>
            </w:tcBorders>
          </w:tcPr>
          <w:p>
            <w:pPr>
              <w:spacing w:after="0"/>
              <w:rPr>
                <w:sz w:val="5"/>
                <w:szCs w:val="5"/>
                <w:color w:val="auto"/>
              </w:rPr>
            </w:pPr>
          </w:p>
        </w:tc>
        <w:tc>
          <w:tcPr>
            <w:tcW w:w="244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1840" w:type="dxa"/>
            <w:vAlign w:val="bottom"/>
          </w:tcPr>
          <w:p>
            <w:pPr>
              <w:ind w:left="600"/>
              <w:spacing w:after="0" w:line="126"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4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12/11/2024</w:t>
            </w:r>
          </w:p>
        </w:tc>
        <w:tc>
          <w:tcPr>
            <w:tcW w:w="24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TEMPUS AI, INC.</w:t>
            </w:r>
          </w:p>
        </w:tc>
        <w:tc>
          <w:tcPr>
            <w:tcW w:w="122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24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600 WEST CHICAGO AVENUE, SUITE 510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4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75" w:orient="portrait"/>
          <w:cols w:equalWidth="0" w:num="1">
            <w:col w:w="11080"/>
          </w:cols>
          <w:pgMar w:left="460" w:top="215" w:right="359" w:bottom="0" w:gutter="0" w:footer="0" w:header="0"/>
          <w:type w:val="continuous"/>
        </w:sectPr>
      </w:pPr>
    </w:p>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60654</w:t>
            </w:r>
          </w:p>
        </w:tc>
      </w:tr>
      <w:tr>
        <w:trPr>
          <w:trHeight w:val="145"/>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0" w:lineRule="exact"/>
        <w:rPr>
          <w:sz w:val="20"/>
          <w:szCs w:val="20"/>
          <w:color w:val="auto"/>
        </w:rPr>
      </w:pPr>
    </w:p>
    <w:p>
      <w:pPr>
        <w:sectPr>
          <w:pgSz w:w="11900" w:h="16875" w:orient="portrait"/>
          <w:cols w:equalWidth="0" w:num="2">
            <w:col w:w="7540" w:space="720"/>
            <w:col w:w="282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8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3"/>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20" w:type="dxa"/>
            <w:vAlign w:val="bottom"/>
            <w:gridSpan w:val="2"/>
          </w:tcPr>
          <w:p>
            <w:pPr>
              <w:ind w:left="58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By</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Revolution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0000FF"/>
              </w:rPr>
              <w:t>12/11/2024</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210,000</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0.8542</w:t>
            </w:r>
          </w:p>
        </w:tc>
        <w:tc>
          <w:tcPr>
            <w:tcW w:w="1500" w:type="dxa"/>
            <w:vAlign w:val="bottom"/>
            <w:gridSpan w:val="3"/>
            <w:vMerge w:val="restart"/>
          </w:tcPr>
          <w:p>
            <w:pPr>
              <w:jc w:val="center"/>
              <w:ind w:right="343"/>
              <w:spacing w:after="0"/>
              <w:rPr>
                <w:sz w:val="20"/>
                <w:szCs w:val="20"/>
                <w:color w:val="auto"/>
              </w:rPr>
            </w:pPr>
            <w:r>
              <w:rPr>
                <w:rFonts w:ascii="Times New Roman" w:cs="Times New Roman" w:eastAsia="Times New Roman" w:hAnsi="Times New Roman"/>
                <w:sz w:val="16"/>
                <w:szCs w:val="16"/>
                <w:color w:val="0000FF"/>
              </w:rPr>
              <w:t>210,000</w:t>
            </w:r>
          </w:p>
        </w:tc>
        <w:tc>
          <w:tcPr>
            <w:tcW w:w="560" w:type="dxa"/>
            <w:vAlign w:val="bottom"/>
            <w:vMerge w:val="restart"/>
          </w:tcPr>
          <w:p>
            <w:pPr>
              <w:jc w:val="center"/>
              <w:ind w:right="332"/>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Growth</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Management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Company,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Inc.</w:t>
            </w:r>
            <w:r>
              <w:rPr>
                <w:rFonts w:ascii="Times New Roman" w:cs="Times New Roman" w:eastAsia="Times New Roman" w:hAnsi="Times New Roman"/>
                <w:sz w:val="21"/>
                <w:szCs w:val="21"/>
                <w:color w:val="008000"/>
                <w:vertAlign w:val="superscript"/>
              </w:rPr>
              <w:t>(1)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By</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Revolution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0000FF"/>
              </w:rPr>
              <w:t>12/11/2024</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4,153</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43.19</w:t>
            </w:r>
          </w:p>
        </w:tc>
        <w:tc>
          <w:tcPr>
            <w:tcW w:w="1500" w:type="dxa"/>
            <w:vAlign w:val="bottom"/>
            <w:gridSpan w:val="3"/>
            <w:vMerge w:val="restart"/>
          </w:tcPr>
          <w:p>
            <w:pPr>
              <w:jc w:val="center"/>
              <w:ind w:right="343"/>
              <w:spacing w:after="0"/>
              <w:rPr>
                <w:sz w:val="20"/>
                <w:szCs w:val="20"/>
                <w:color w:val="auto"/>
              </w:rPr>
            </w:pPr>
            <w:r>
              <w:rPr>
                <w:rFonts w:ascii="Times New Roman" w:cs="Times New Roman" w:eastAsia="Times New Roman" w:hAnsi="Times New Roman"/>
                <w:sz w:val="16"/>
                <w:szCs w:val="16"/>
                <w:color w:val="0000FF"/>
              </w:rPr>
              <w:t>205,847</w:t>
            </w:r>
          </w:p>
        </w:tc>
        <w:tc>
          <w:tcPr>
            <w:tcW w:w="560" w:type="dxa"/>
            <w:vAlign w:val="bottom"/>
            <w:vMerge w:val="restart"/>
          </w:tcPr>
          <w:p>
            <w:pPr>
              <w:jc w:val="center"/>
              <w:ind w:right="332"/>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Growth</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Management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Company,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Inc.</w:t>
            </w:r>
            <w:r>
              <w:rPr>
                <w:rFonts w:ascii="Times New Roman" w:cs="Times New Roman" w:eastAsia="Times New Roman" w:hAnsi="Times New Roman"/>
                <w:sz w:val="21"/>
                <w:szCs w:val="21"/>
                <w:color w:val="008000"/>
                <w:vertAlign w:val="superscript"/>
              </w:rPr>
              <w:t>(1)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By</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0000FF"/>
              </w:rPr>
              <w:t>12/11/2024</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166,851</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40.73</w:t>
            </w:r>
            <w:r>
              <w:rPr>
                <w:rFonts w:ascii="Times New Roman" w:cs="Times New Roman" w:eastAsia="Times New Roman" w:hAnsi="Times New Roman"/>
                <w:sz w:val="21"/>
                <w:szCs w:val="21"/>
                <w:color w:val="008000"/>
                <w:w w:val="94"/>
                <w:vertAlign w:val="superscript"/>
              </w:rPr>
              <w:t>(3)</w:t>
            </w:r>
          </w:p>
        </w:tc>
        <w:tc>
          <w:tcPr>
            <w:tcW w:w="1500" w:type="dxa"/>
            <w:vAlign w:val="bottom"/>
            <w:gridSpan w:val="3"/>
            <w:vMerge w:val="restart"/>
          </w:tcPr>
          <w:p>
            <w:pPr>
              <w:jc w:val="center"/>
              <w:ind w:right="343"/>
              <w:spacing w:after="0"/>
              <w:rPr>
                <w:sz w:val="20"/>
                <w:szCs w:val="20"/>
                <w:color w:val="auto"/>
              </w:rPr>
            </w:pPr>
            <w:r>
              <w:rPr>
                <w:rFonts w:ascii="Times New Roman" w:cs="Times New Roman" w:eastAsia="Times New Roman" w:hAnsi="Times New Roman"/>
                <w:sz w:val="16"/>
                <w:szCs w:val="16"/>
                <w:color w:val="0000FF"/>
              </w:rPr>
              <w:t>3,494,097</w:t>
            </w:r>
          </w:p>
        </w:tc>
        <w:tc>
          <w:tcPr>
            <w:tcW w:w="560" w:type="dxa"/>
            <w:vAlign w:val="bottom"/>
            <w:vMerge w:val="restart"/>
          </w:tcPr>
          <w:p>
            <w:pPr>
              <w:jc w:val="center"/>
              <w:ind w:right="332"/>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Revolution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Growth III,</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gridSpan w:val="3"/>
          </w:tcPr>
          <w:p>
            <w:pPr>
              <w:ind w:left="40"/>
              <w:spacing w:after="0" w:line="265"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By</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0000FF"/>
              </w:rPr>
              <w:t>12/11/2024</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233,149</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41.6</w:t>
            </w:r>
            <w:r>
              <w:rPr>
                <w:rFonts w:ascii="Times New Roman" w:cs="Times New Roman" w:eastAsia="Times New Roman" w:hAnsi="Times New Roman"/>
                <w:sz w:val="21"/>
                <w:szCs w:val="21"/>
                <w:color w:val="008000"/>
                <w:w w:val="93"/>
                <w:vertAlign w:val="superscript"/>
              </w:rPr>
              <w:t>(4)</w:t>
            </w:r>
          </w:p>
        </w:tc>
        <w:tc>
          <w:tcPr>
            <w:tcW w:w="1500" w:type="dxa"/>
            <w:vAlign w:val="bottom"/>
            <w:gridSpan w:val="3"/>
            <w:vMerge w:val="restart"/>
          </w:tcPr>
          <w:p>
            <w:pPr>
              <w:jc w:val="center"/>
              <w:ind w:right="343"/>
              <w:spacing w:after="0"/>
              <w:rPr>
                <w:sz w:val="20"/>
                <w:szCs w:val="20"/>
                <w:color w:val="auto"/>
              </w:rPr>
            </w:pPr>
            <w:r>
              <w:rPr>
                <w:rFonts w:ascii="Times New Roman" w:cs="Times New Roman" w:eastAsia="Times New Roman" w:hAnsi="Times New Roman"/>
                <w:sz w:val="16"/>
                <w:szCs w:val="16"/>
                <w:color w:val="0000FF"/>
              </w:rPr>
              <w:t>3,260,948</w:t>
            </w:r>
          </w:p>
        </w:tc>
        <w:tc>
          <w:tcPr>
            <w:tcW w:w="560" w:type="dxa"/>
            <w:vAlign w:val="bottom"/>
            <w:vMerge w:val="restart"/>
          </w:tcPr>
          <w:p>
            <w:pPr>
              <w:jc w:val="center"/>
              <w:ind w:right="332"/>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Revolution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Growth III,</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gridSpan w:val="3"/>
          </w:tcPr>
          <w:p>
            <w:pPr>
              <w:ind w:left="40"/>
              <w:spacing w:after="0" w:line="265"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w w:val="99"/>
              </w:rPr>
              <w:t>13,514</w:t>
            </w:r>
          </w:p>
        </w:tc>
        <w:tc>
          <w:tcPr>
            <w:tcW w:w="560" w:type="dxa"/>
            <w:vAlign w:val="bottom"/>
            <w:tcBorders>
              <w:top w:val="single" w:sz="8" w:color="2C2C2C"/>
            </w:tcBorders>
          </w:tcPr>
          <w:p>
            <w:pPr>
              <w:jc w:val="center"/>
              <w:ind w:right="332"/>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9"/>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8"/>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2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Ownership</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2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Direct (D)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or Indirect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Pr>
          <w:p>
            <w:pPr>
              <w:spacing w:after="0"/>
              <w:rPr>
                <w:sz w:val="5"/>
                <w:szCs w:val="5"/>
                <w:color w:val="auto"/>
              </w:rPr>
            </w:pPr>
          </w:p>
        </w:tc>
        <w:tc>
          <w:tcPr>
            <w:tcW w:w="13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ind w:left="18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ind w:left="180"/>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760" w:type="dxa"/>
            <w:vAlign w:val="bottom"/>
          </w:tcPr>
          <w:p>
            <w:pPr>
              <w:ind w:left="18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180"/>
              <w:spacing w:after="0"/>
              <w:rPr>
                <w:sz w:val="20"/>
                <w:szCs w:val="20"/>
                <w:color w:val="auto"/>
              </w:rPr>
            </w:pPr>
            <w:r>
              <w:rPr>
                <w:rFonts w:ascii="Arial" w:cs="Arial" w:eastAsia="Arial" w:hAnsi="Arial"/>
                <w:sz w:val="11"/>
                <w:szCs w:val="11"/>
                <w:b w:val="1"/>
                <w:bCs w:val="1"/>
                <w:color w:val="auto"/>
              </w:rPr>
              <w:t>of 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9"/>
        </w:trPr>
        <w:tc>
          <w:tcPr>
            <w:tcW w:w="60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ind w:left="200"/>
              <w:spacing w:after="0" w:line="139" w:lineRule="exact"/>
              <w:rPr>
                <w:sz w:val="20"/>
                <w:szCs w:val="20"/>
                <w:color w:val="auto"/>
              </w:rPr>
            </w:pPr>
            <w:r>
              <w:rPr>
                <w:rFonts w:ascii="Times New Roman" w:cs="Times New Roman" w:eastAsia="Times New Roman" w:hAnsi="Times New Roman"/>
                <w:sz w:val="13"/>
                <w:szCs w:val="13"/>
                <w:color w:val="0000FF"/>
              </w:rPr>
              <w:t>Revolution</w:t>
            </w:r>
          </w:p>
        </w:tc>
        <w:tc>
          <w:tcPr>
            <w:tcW w:w="0" w:type="dxa"/>
            <w:vAlign w:val="bottom"/>
          </w:tcPr>
          <w:p>
            <w:pPr>
              <w:spacing w:after="0"/>
              <w:rPr>
                <w:sz w:val="1"/>
                <w:szCs w:val="1"/>
                <w:color w:val="auto"/>
              </w:rPr>
            </w:pPr>
          </w:p>
        </w:tc>
      </w:tr>
      <w:tr>
        <w:trPr>
          <w:trHeight w:val="63"/>
        </w:trPr>
        <w:tc>
          <w:tcPr>
            <w:tcW w:w="600" w:type="dxa"/>
            <w:vAlign w:val="bottom"/>
            <w:vMerge w:val="restart"/>
          </w:tcPr>
          <w:p>
            <w:pPr>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vMerge w:val="restart"/>
          </w:tcPr>
          <w:p>
            <w:pPr>
              <w:ind w:left="200"/>
              <w:spacing w:after="0" w:line="139" w:lineRule="exact"/>
              <w:rPr>
                <w:sz w:val="20"/>
                <w:szCs w:val="20"/>
                <w:color w:val="auto"/>
              </w:rPr>
            </w:pPr>
            <w:r>
              <w:rPr>
                <w:rFonts w:ascii="Times New Roman" w:cs="Times New Roman" w:eastAsia="Times New Roman" w:hAnsi="Times New Roman"/>
                <w:sz w:val="13"/>
                <w:szCs w:val="13"/>
                <w:color w:val="0000FF"/>
              </w:rPr>
              <w:t>Growth</w:t>
            </w:r>
          </w:p>
        </w:tc>
        <w:tc>
          <w:tcPr>
            <w:tcW w:w="0" w:type="dxa"/>
            <w:vAlign w:val="bottom"/>
          </w:tcPr>
          <w:p>
            <w:pPr>
              <w:spacing w:after="0"/>
              <w:rPr>
                <w:sz w:val="1"/>
                <w:szCs w:val="1"/>
                <w:color w:val="auto"/>
              </w:rPr>
            </w:pPr>
          </w:p>
        </w:tc>
      </w:tr>
      <w:tr>
        <w:trPr>
          <w:trHeight w:val="76"/>
        </w:trPr>
        <w:tc>
          <w:tcPr>
            <w:tcW w:w="600" w:type="dxa"/>
            <w:vAlign w:val="bottom"/>
            <w:vMerge w:val="continue"/>
          </w:tcPr>
          <w:p>
            <w:pPr>
              <w:spacing w:after="0"/>
              <w:rPr>
                <w:sz w:val="6"/>
                <w:szCs w:val="6"/>
                <w:color w:val="auto"/>
              </w:rPr>
            </w:pPr>
          </w:p>
        </w:tc>
        <w:tc>
          <w:tcPr>
            <w:tcW w:w="800" w:type="dxa"/>
            <w:vAlign w:val="bottom"/>
            <w:vMerge w:val="restart"/>
          </w:tcPr>
          <w:p>
            <w:pPr>
              <w:jc w:val="right"/>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0.8542</w:t>
            </w:r>
          </w:p>
        </w:tc>
        <w:tc>
          <w:tcPr>
            <w:tcW w:w="1520" w:type="dxa"/>
            <w:vAlign w:val="bottom"/>
            <w:vMerge w:val="restart"/>
          </w:tcPr>
          <w:p>
            <w:pPr>
              <w:jc w:val="right"/>
              <w:ind w:right="677"/>
              <w:spacing w:after="0"/>
              <w:rPr>
                <w:sz w:val="20"/>
                <w:szCs w:val="20"/>
                <w:color w:val="auto"/>
              </w:rPr>
            </w:pPr>
            <w:r>
              <w:rPr>
                <w:rFonts w:ascii="Times New Roman" w:cs="Times New Roman" w:eastAsia="Times New Roman" w:hAnsi="Times New Roman"/>
                <w:sz w:val="13"/>
                <w:szCs w:val="13"/>
                <w:color w:val="0000FF"/>
              </w:rPr>
              <w:t>12/11/2024</w:t>
            </w:r>
          </w:p>
        </w:tc>
        <w:tc>
          <w:tcPr>
            <w:tcW w:w="1280" w:type="dxa"/>
            <w:vAlign w:val="bottom"/>
            <w:vMerge w:val="restart"/>
          </w:tcPr>
          <w:p>
            <w:pPr>
              <w:ind w:left="720"/>
              <w:spacing w:after="0"/>
              <w:rPr>
                <w:sz w:val="20"/>
                <w:szCs w:val="20"/>
                <w:color w:val="auto"/>
              </w:rPr>
            </w:pPr>
            <w:r>
              <w:rPr>
                <w:rFonts w:ascii="Times New Roman" w:cs="Times New Roman" w:eastAsia="Times New Roman" w:hAnsi="Times New Roman"/>
                <w:sz w:val="13"/>
                <w:szCs w:val="13"/>
                <w:color w:val="0000FF"/>
              </w:rPr>
              <w:t>M</w:t>
            </w:r>
          </w:p>
        </w:tc>
        <w:tc>
          <w:tcPr>
            <w:tcW w:w="106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0000FF"/>
              </w:rPr>
              <w:t>210,000</w:t>
            </w:r>
          </w:p>
        </w:tc>
        <w:tc>
          <w:tcPr>
            <w:tcW w:w="50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rPr>
              <w:t>(5)</w:t>
            </w:r>
          </w:p>
        </w:tc>
        <w:tc>
          <w:tcPr>
            <w:tcW w:w="2220" w:type="dxa"/>
            <w:vAlign w:val="bottom"/>
            <w:vMerge w:val="restart"/>
          </w:tcPr>
          <w:p>
            <w:pPr>
              <w:ind w:left="200"/>
              <w:spacing w:after="0" w:line="152" w:lineRule="exact"/>
              <w:rPr>
                <w:sz w:val="20"/>
                <w:szCs w:val="20"/>
                <w:color w:val="auto"/>
              </w:rPr>
            </w:pPr>
            <w:r>
              <w:rPr>
                <w:rFonts w:ascii="Times New Roman" w:cs="Times New Roman" w:eastAsia="Times New Roman" w:hAnsi="Times New Roman"/>
                <w:sz w:val="13"/>
                <w:szCs w:val="13"/>
                <w:color w:val="0000FF"/>
              </w:rPr>
              <w:t xml:space="preserve">03/12/2028  Common  </w:t>
            </w:r>
            <w:r>
              <w:rPr>
                <w:rFonts w:ascii="Times New Roman" w:cs="Times New Roman" w:eastAsia="Times New Roman" w:hAnsi="Times New Roman"/>
                <w:sz w:val="16"/>
                <w:szCs w:val="16"/>
                <w:color w:val="0000FF"/>
              </w:rPr>
              <w:t>210,000</w:t>
            </w:r>
          </w:p>
        </w:tc>
        <w:tc>
          <w:tcPr>
            <w:tcW w:w="660" w:type="dxa"/>
            <w:vAlign w:val="bottom"/>
            <w:vMerge w:val="restart"/>
          </w:tcPr>
          <w:p>
            <w:pPr>
              <w:jc w:val="right"/>
              <w:ind w:right="3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vMerge w:val="restart"/>
          </w:tcPr>
          <w:p>
            <w:pPr>
              <w:jc w:val="right"/>
              <w:ind w:right="317"/>
              <w:spacing w:after="0"/>
              <w:rPr>
                <w:sz w:val="20"/>
                <w:szCs w:val="20"/>
                <w:color w:val="auto"/>
              </w:rPr>
            </w:pPr>
            <w:r>
              <w:rPr>
                <w:rFonts w:ascii="Times New Roman" w:cs="Times New Roman" w:eastAsia="Times New Roman" w:hAnsi="Times New Roman"/>
                <w:sz w:val="13"/>
                <w:szCs w:val="13"/>
                <w:color w:val="0000FF"/>
              </w:rPr>
              <w:t>0</w:t>
            </w:r>
          </w:p>
        </w:tc>
        <w:tc>
          <w:tcPr>
            <w:tcW w:w="6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600" w:type="dxa"/>
            <w:vAlign w:val="bottom"/>
            <w:vMerge w:val="restart"/>
          </w:tcPr>
          <w:p>
            <w:pPr>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2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vMerge w:val="restart"/>
          </w:tcPr>
          <w:p>
            <w:pPr>
              <w:ind w:left="200"/>
              <w:spacing w:after="0" w:line="139" w:lineRule="exact"/>
              <w:rPr>
                <w:sz w:val="20"/>
                <w:szCs w:val="20"/>
                <w:color w:val="auto"/>
              </w:rPr>
            </w:pPr>
            <w:r>
              <w:rPr>
                <w:rFonts w:ascii="Times New Roman" w:cs="Times New Roman" w:eastAsia="Times New Roman" w:hAnsi="Times New Roman"/>
                <w:sz w:val="13"/>
                <w:szCs w:val="13"/>
                <w:color w:val="0000FF"/>
                <w:w w:val="94"/>
              </w:rPr>
              <w:t>Management</w:t>
            </w:r>
          </w:p>
        </w:tc>
        <w:tc>
          <w:tcPr>
            <w:tcW w:w="0" w:type="dxa"/>
            <w:vAlign w:val="bottom"/>
          </w:tcPr>
          <w:p>
            <w:pPr>
              <w:spacing w:after="0"/>
              <w:rPr>
                <w:sz w:val="1"/>
                <w:szCs w:val="1"/>
                <w:color w:val="auto"/>
              </w:rPr>
            </w:pPr>
          </w:p>
        </w:tc>
      </w:tr>
      <w:tr>
        <w:trPr>
          <w:trHeight w:val="63"/>
        </w:trPr>
        <w:tc>
          <w:tcPr>
            <w:tcW w:w="6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2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60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vMerge w:val="restart"/>
          </w:tcPr>
          <w:p>
            <w:pPr>
              <w:ind w:left="200"/>
              <w:spacing w:after="0" w:line="146" w:lineRule="exact"/>
              <w:rPr>
                <w:sz w:val="20"/>
                <w:szCs w:val="20"/>
                <w:color w:val="auto"/>
              </w:rPr>
            </w:pPr>
            <w:r>
              <w:rPr>
                <w:rFonts w:ascii="Times New Roman" w:cs="Times New Roman" w:eastAsia="Times New Roman" w:hAnsi="Times New Roman"/>
                <w:sz w:val="13"/>
                <w:szCs w:val="13"/>
                <w:color w:val="0000FF"/>
              </w:rPr>
              <w:t>Company,</w:t>
            </w:r>
          </w:p>
        </w:tc>
        <w:tc>
          <w:tcPr>
            <w:tcW w:w="0" w:type="dxa"/>
            <w:vAlign w:val="bottom"/>
          </w:tcPr>
          <w:p>
            <w:pPr>
              <w:spacing w:after="0"/>
              <w:rPr>
                <w:sz w:val="1"/>
                <w:szCs w:val="1"/>
                <w:color w:val="auto"/>
              </w:rPr>
            </w:pPr>
          </w:p>
        </w:tc>
      </w:tr>
      <w:tr>
        <w:trPr>
          <w:trHeight w:val="45"/>
        </w:trPr>
        <w:tc>
          <w:tcPr>
            <w:tcW w:w="6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ind w:left="10340"/>
        <w:spacing w:after="0"/>
        <w:rPr>
          <w:sz w:val="20"/>
          <w:szCs w:val="20"/>
          <w:color w:val="auto"/>
        </w:rPr>
      </w:pPr>
      <w:r>
        <w:rPr>
          <w:rFonts w:ascii="Times New Roman" w:cs="Times New Roman" w:eastAsia="Times New Roman" w:hAnsi="Times New Roman"/>
          <w:sz w:val="13"/>
          <w:szCs w:val="13"/>
          <w:color w:val="0000FF"/>
        </w:rPr>
        <w:t>Inc.</w:t>
      </w:r>
      <w:r>
        <w:rPr>
          <w:rFonts w:ascii="Times New Roman" w:cs="Times New Roman" w:eastAsia="Times New Roman" w:hAnsi="Times New Roman"/>
          <w:sz w:val="21"/>
          <w:szCs w:val="21"/>
          <w:color w:val="008000"/>
          <w:vertAlign w:val="superscript"/>
        </w:rPr>
        <w:t>(1)</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1. The Reporting Person is a member of the investment committee of the ultimate general partner of Revolution Growth III, LP ("RG III") and a member of the board of directors of Revolution Growth Management</w:t>
      </w:r>
    </w:p>
    <w:p>
      <w:pPr>
        <w:sectPr>
          <w:pgSz w:w="11900" w:h="16875" w:orient="portrait"/>
          <w:cols w:equalWidth="0" w:num="1">
            <w:col w:w="11080"/>
          </w:cols>
          <w:pgMar w:left="460" w:top="215" w:right="359" w:bottom="0" w:gutter="0" w:footer="0" w:header="0"/>
          <w:type w:val="continuous"/>
        </w:sectPr>
      </w:pPr>
    </w:p>
    <w:bookmarkStart w:id="1" w:name="page2"/>
    <w:bookmarkEnd w:id="1"/>
    <w:p>
      <w:pPr>
        <w:ind w:left="1"/>
        <w:spacing w:after="0"/>
        <w:rPr>
          <w:sz w:val="20"/>
          <w:szCs w:val="20"/>
          <w:color w:val="auto"/>
        </w:rPr>
      </w:pPr>
      <w:r>
        <w:rPr>
          <w:rFonts w:ascii="Times New Roman" w:cs="Times New Roman" w:eastAsia="Times New Roman" w:hAnsi="Times New Roman"/>
          <w:sz w:val="13"/>
          <w:szCs w:val="13"/>
          <w:color w:val="008000"/>
        </w:rPr>
        <w:t>Company, Inc. ("RGMC") and may be deemed to share dispositive power over the shares held by RG III and RGMC.</w:t>
      </w:r>
    </w:p>
    <w:p>
      <w:pPr>
        <w:spacing w:after="0" w:line="40" w:lineRule="exact"/>
        <w:rPr>
          <w:sz w:val="20"/>
          <w:szCs w:val="20"/>
          <w:color w:val="auto"/>
        </w:rPr>
      </w:pPr>
    </w:p>
    <w:p>
      <w:pPr>
        <w:ind w:left="121" w:hanging="121"/>
        <w:spacing w:after="0"/>
        <w:tabs>
          <w:tab w:leader="none" w:pos="12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the Issuer to satisfy the exercise price of the option exercise.</w:t>
      </w:r>
    </w:p>
    <w:p>
      <w:pPr>
        <w:spacing w:after="0" w:line="40" w:lineRule="exact"/>
        <w:rPr>
          <w:rFonts w:ascii="Times New Roman" w:cs="Times New Roman" w:eastAsia="Times New Roman" w:hAnsi="Times New Roman"/>
          <w:sz w:val="13"/>
          <w:szCs w:val="13"/>
          <w:color w:val="008000"/>
        </w:rPr>
      </w:pPr>
    </w:p>
    <w:p>
      <w:pPr>
        <w:ind w:left="1" w:hanging="1"/>
        <w:spacing w:after="0" w:line="253" w:lineRule="auto"/>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These shares were sold in multiple transactions at prices ranging from $40.185 to $41.175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w:t>
      </w:r>
    </w:p>
    <w:p>
      <w:pPr>
        <w:ind w:left="1"/>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(3) and (4).</w:t>
      </w:r>
    </w:p>
    <w:p>
      <w:pPr>
        <w:spacing w:after="0" w:line="26" w:lineRule="exact"/>
        <w:rPr>
          <w:rFonts w:ascii="Times New Roman" w:cs="Times New Roman" w:eastAsia="Times New Roman" w:hAnsi="Times New Roman"/>
          <w:sz w:val="12"/>
          <w:szCs w:val="12"/>
          <w:color w:val="008000"/>
        </w:rPr>
      </w:pPr>
    </w:p>
    <w:p>
      <w:pPr>
        <w:ind w:left="121" w:hanging="121"/>
        <w:spacing w:after="0"/>
        <w:tabs>
          <w:tab w:leader="none" w:pos="12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$41.18 to $42.01 inclusive.</w:t>
      </w:r>
    </w:p>
    <w:p>
      <w:pPr>
        <w:spacing w:after="0" w:line="40"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 and exercisable.</w:t>
      </w:r>
    </w:p>
    <w:p>
      <w:pPr>
        <w:spacing w:after="0" w:line="58"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Andrew Polovin, Attorney-</w:t>
            </w:r>
          </w:p>
        </w:tc>
        <w:tc>
          <w:tcPr>
            <w:tcW w:w="10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12/13/2024</w:t>
            </w:r>
          </w:p>
        </w:tc>
        <w:tc>
          <w:tcPr>
            <w:tcW w:w="0" w:type="dxa"/>
            <w:vAlign w:val="bottom"/>
          </w:tcPr>
          <w:p>
            <w:pPr>
              <w:spacing w:after="0"/>
              <w:rPr>
                <w:sz w:val="1"/>
                <w:szCs w:val="1"/>
                <w:color w:val="auto"/>
              </w:rPr>
            </w:pPr>
          </w:p>
        </w:tc>
      </w:tr>
      <w:tr>
        <w:trPr>
          <w:trHeight w:val="81"/>
        </w:trPr>
        <w:tc>
          <w:tcPr>
            <w:tcW w:w="2100" w:type="dxa"/>
            <w:vAlign w:val="bottom"/>
            <w:gridSpan w:val="3"/>
            <w:vMerge w:val="restart"/>
          </w:tcPr>
          <w:p>
            <w:pPr>
              <w:spacing w:after="0" w:line="182" w:lineRule="exact"/>
              <w:rPr>
                <w:sz w:val="20"/>
                <w:szCs w:val="20"/>
                <w:color w:val="auto"/>
              </w:rPr>
            </w:pPr>
            <w:r>
              <w:rPr>
                <w:rFonts w:ascii="Times New Roman" w:cs="Times New Roman" w:eastAsia="Times New Roman" w:hAnsi="Times New Roman"/>
                <w:sz w:val="16"/>
                <w:szCs w:val="16"/>
                <w:color w:val="0000FF"/>
              </w:rPr>
              <w:t>in-Fact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520" w:hanging="1"/>
        <w:spacing w:after="0" w:line="329"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1"/>
      </w:cols>
      <w:pgMar w:left="499"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52645"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2024-12-13T17:27:49Z</dcterms:created>
  <dcterms:modified xsi:type="dcterms:W3CDTF">2024-12-13T17:27:49Z</dcterms:modified>
</cp:coreProperties>
</file>