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em-20260331.htm"/>
      <w:bookmarkStart w:id="1" w:name="kstem20260331"/>
      <w:bookmarkEnd w:id="0"/>
      <w:bookmarkEnd w:id="1"/>
      <w:r>
        <w:rPr/>
        <w:t> </w:t>
      </w:r>
    </w:p>
    <w:p>
      <w:pPr>
        <w:pStyle w:val="TextBody"/>
        <w:pBdr>
          <w:top w:val="double" w:sz="6" w:space="1" w:color="000000"/>
        </w:pBdr>
        <w:bidi w:val="0"/>
        <w:spacing w:before="40" w:after="283"/>
        <w:jc w:val="center"/>
        <w:rPr/>
      </w:pPr>
      <w:r>
        <w:rPr/>
        <w:t> </w:t>
      </w:r>
    </w:p>
    <w:p>
      <w:pPr>
        <w:pStyle w:val="TextBody"/>
        <w:bidi w:val="0"/>
        <w:spacing w:before="40" w:after="283"/>
        <w:jc w:val="center"/>
        <w:rPr>
          <w:rFonts w:ascii="Times New Roman" w:hAnsi="Times New Roman"/>
          <w:b/>
          <w:color w:val="000000"/>
          <w:sz w:val="33"/>
        </w:rPr>
      </w:pPr>
      <w:r>
        <w:rPr>
          <w:rFonts w:ascii="Times New Roman" w:hAnsi="Times New Roman"/>
          <w:b/>
          <w:color w:val="000000"/>
          <w:sz w:val="33"/>
        </w:rPr>
        <w:t>UNITED STATES</w:t>
      </w:r>
    </w:p>
    <w:p>
      <w:pPr>
        <w:pStyle w:val="TextBody"/>
        <w:bidi w:val="0"/>
        <w:jc w:val="center"/>
        <w:rPr>
          <w:rFonts w:ascii="Times New Roman" w:hAnsi="Times New Roman"/>
          <w:b/>
          <w:color w:val="000000"/>
          <w:sz w:val="33"/>
        </w:rPr>
      </w:pPr>
      <w:r>
        <w:rPr>
          <w:rFonts w:ascii="Times New Roman" w:hAnsi="Times New Roman"/>
          <w:b/>
          <w:color w:val="000000"/>
          <w:sz w:val="33"/>
        </w:rPr>
        <w:t>SECURITIES AND EXCHANGE COMMISSION</w:t>
      </w:r>
    </w:p>
    <w:p>
      <w:pPr>
        <w:pStyle w:val="TextBody"/>
        <w:bidi w:val="0"/>
        <w:jc w:val="center"/>
        <w:rPr>
          <w:rFonts w:ascii="Times New Roman" w:hAnsi="Times New Roman"/>
          <w:b/>
          <w:color w:val="000000"/>
          <w:sz w:val="21"/>
        </w:rPr>
      </w:pPr>
      <w:r>
        <w:rPr>
          <w:rFonts w:ascii="Times New Roman" w:hAnsi="Times New Roman"/>
          <w:b/>
          <w:color w:val="000000"/>
          <w:sz w:val="21"/>
        </w:rPr>
        <w:t>Washington, D.C. 20549</w:t>
      </w:r>
    </w:p>
    <w:p>
      <w:pPr>
        <w:pStyle w:val="TextBody"/>
        <w:bidi w:val="0"/>
        <w:spacing w:before="120" w:after="283"/>
        <w:jc w:val="center"/>
        <w:rPr>
          <w:rFonts w:ascii="Times New Roman" w:hAnsi="Times New Roman"/>
          <w:b/>
          <w:color w:val="000000"/>
          <w:sz w:val="33"/>
        </w:rPr>
      </w:pPr>
      <w:r>
        <w:rPr>
          <w:rFonts w:ascii="Times New Roman" w:hAnsi="Times New Roman"/>
          <w:b/>
          <w:color w:val="000000"/>
          <w:sz w:val="33"/>
        </w:rPr>
        <w:t>FORM 10-Q</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(Mark One)</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7"/>
        </w:rPr>
        <w:t>For the quarterly period ended March 31, 2026</w:t>
      </w:r>
      <w:r>
        <w:rPr>
          <w:rFonts w:ascii="Times New Roman" w:hAnsi="Times New Roman"/>
          <w:color w:val="000000"/>
          <w:sz w:val="17"/>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TRANSITION REPORT PURSUANT TO SECTION 13 OR 15(d) OF THE SECURITIES EXCHANGE ACT OF 1934</w:t>
            </w:r>
          </w:p>
        </w:tc>
      </w:tr>
    </w:tbl>
    <w:p>
      <w:pPr>
        <w:pStyle w:val="TextBody"/>
        <w:bidi w:val="0"/>
        <w:spacing w:before="40" w:after="283"/>
        <w:jc w:val="left"/>
        <w:rPr/>
      </w:pPr>
      <w:r>
        <w:rPr/>
        <w:t> </w:t>
      </w:r>
    </w:p>
    <w:p>
      <w:pPr>
        <w:pStyle w:val="TextBody"/>
        <w:bidi w:val="0"/>
        <w:jc w:val="center"/>
        <w:rPr>
          <w:rFonts w:ascii="Times New Roman" w:hAnsi="Times New Roman"/>
          <w:sz w:val="20"/>
        </w:rPr>
      </w:pPr>
      <w:r>
        <w:rPr>
          <w:rFonts w:ascii="Times New Roman" w:hAnsi="Times New Roman"/>
          <w:b/>
          <w:color w:val="000000"/>
          <w:sz w:val="17"/>
        </w:rPr>
        <w:t>For the transition period from _________ to _________</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Commission File No. 001-42130</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5"/>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(Exact name of registrant as specified in its charter)</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Nevada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47-4903308</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40" w:after="283"/>
        <w:jc w:val="center"/>
        <w:rPr>
          <w:rFonts w:ascii="Times New Roman" w:hAnsi="Times New Roman"/>
          <w:sz w:val="20"/>
        </w:rPr>
      </w:pPr>
      <w:r>
        <w:rPr>
          <w:rFonts w:ascii="Times New Roman" w:hAnsi="Times New Roman"/>
          <w:b/>
          <w:color w:val="000000"/>
          <w:sz w:val="17"/>
        </w:rPr>
        <w:t>600 West Chicago Avenue, Suite 510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7"/>
        </w:rPr>
        <w:t>Chicago, IL</w:t>
      </w:r>
      <w:r>
        <w:rPr>
          <w:rFonts w:ascii="Times New Roman" w:hAnsi="Times New Roman"/>
          <w:color w:val="000000"/>
          <w:sz w:val="20"/>
        </w:rPr>
        <w:t xml:space="preserve"> </w:t>
      </w:r>
      <w:r>
        <w:rPr>
          <w:rFonts w:ascii="Times New Roman" w:hAnsi="Times New Roman"/>
          <w:b/>
          <w:color w:val="000000"/>
          <w:sz w:val="17"/>
        </w:rPr>
        <w:t>60654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(800) 976-5448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7"/>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former address and former fiscal year, if changed since last report)</w:t>
      </w:r>
      <w:r>
        <w:rPr>
          <w:rFonts w:ascii="Times New Roman" w:hAnsi="Times New Roman"/>
          <w:color w:val="000000"/>
          <w:sz w:val="20"/>
        </w:rPr>
        <w:t xml:space="preserve"> </w:t>
      </w:r>
    </w:p>
    <w:p>
      <w:pPr>
        <w:pStyle w:val="TextBody"/>
        <w:bidi w:val="0"/>
        <w:jc w:val="center"/>
        <w:rPr/>
      </w:pPr>
      <w:r>
        <w:rPr/>
        <w:t> </w:t>
      </w:r>
    </w:p>
    <w:p>
      <w:pPr>
        <w:pStyle w:val="TextBody"/>
        <w:pBdr>
          <w:top w:val="sing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165" w:type="dxa"/>
        <w:jc w:val="left"/>
        <w:tblInd w:w="0" w:type="dxa"/>
        <w:tblLayout w:type="fixed"/>
        <w:tblCellMar>
          <w:top w:w="28" w:type="dxa"/>
          <w:left w:w="28" w:type="dxa"/>
          <w:bottom w:w="28" w:type="dxa"/>
          <w:right w:w="28" w:type="dxa"/>
        </w:tblCellMar>
      </w:tblPr>
      <w:tblGrid>
        <w:gridCol w:w="3736"/>
        <w:gridCol w:w="146"/>
        <w:gridCol w:w="826"/>
        <w:gridCol w:w="146"/>
        <w:gridCol w:w="2311"/>
      </w:tblGrid>
      <w:tr>
        <w:trPr/>
        <w:tc>
          <w:tcPr>
            <w:tcW w:w="3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11" w:type="dxa"/>
            <w:tcBorders/>
            <w:shd w:fill="FFFFFF" w:val="clear"/>
            <w:vAlign w:val="center"/>
          </w:tcPr>
          <w:p>
            <w:pPr>
              <w:pStyle w:val="TableContents"/>
              <w:bidi w:val="0"/>
              <w:spacing w:before="0" w:after="283"/>
              <w:jc w:val="left"/>
              <w:rPr>
                <w:sz w:val="4"/>
                <w:szCs w:val="4"/>
              </w:rPr>
            </w:pPr>
            <w:r>
              <w:rPr>
                <w:sz w:val="4"/>
                <w:szCs w:val="4"/>
              </w:rPr>
            </w:r>
          </w:p>
        </w:tc>
      </w:tr>
      <w:tr>
        <w:trPr/>
        <w:tc>
          <w:tcPr>
            <w:tcW w:w="3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83"/>
              <w:jc w:val="center"/>
              <w:rPr>
                <w:rFonts w:ascii="Times New Roman" w:hAnsi="Times New Roman"/>
                <w:sz w:val="16"/>
              </w:rPr>
            </w:pPr>
            <w:r>
              <w:rPr>
                <w:rFonts w:ascii="Times New Roman" w:hAnsi="Times New Roman"/>
                <w:b/>
                <w:color w:val="000000"/>
                <w:sz w:val="16"/>
              </w:rPr>
              <w:t>on which registered</w:t>
            </w:r>
            <w:r>
              <w:rPr>
                <w:rFonts w:ascii="Times New Roman" w:hAnsi="Times New Roman"/>
                <w:color w:val="000000"/>
                <w:sz w:val="16"/>
              </w:rPr>
              <w:t xml:space="preserve"> </w:t>
            </w:r>
          </w:p>
        </w:tc>
      </w:tr>
      <w:tr>
        <w:trPr/>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TEM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The Nasdaq Stock Market LLC</w:t>
            </w:r>
          </w:p>
        </w:tc>
      </w:tr>
    </w:tbl>
    <w:p>
      <w:pPr>
        <w:pStyle w:val="TextBody"/>
        <w:pBdr>
          <w:bottom w:val="single" w:sz="6" w:space="1" w:color="000000"/>
        </w:pBdr>
        <w:bidi w:val="0"/>
        <w:spacing w:before="40" w:after="283"/>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Times New Roman" w:hAnsi="Times New Roman"/>
          <w:color w:val="000000"/>
          <w:sz w:val="17"/>
        </w:rPr>
        <w:t>No☐</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7"/>
        </w:rPr>
        <w:t>Indicate by check mark whether the registrant is a shell company (as defined in Rule 12b-2 of the Exchange Act): Yes☐ No</w:t>
      </w:r>
      <w:r>
        <w:rPr>
          <w:rFonts w:ascii="Times New Roman" w:hAnsi="Times New Roman"/>
          <w:color w:val="000000"/>
          <w:sz w:val="20"/>
        </w:rPr>
        <w:t xml:space="preserve">☒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7"/>
        </w:rPr>
        <w:t>As of April 30, 2026, there were 174,520,978</w:t>
      </w:r>
      <w:r>
        <w:rPr>
          <w:rFonts w:ascii="Times New Roman" w:hAnsi="Times New Roman"/>
          <w:color w:val="000000"/>
          <w:sz w:val="20"/>
        </w:rPr>
        <w:t xml:space="preserve"> </w:t>
      </w:r>
      <w:r>
        <w:rPr>
          <w:rFonts w:ascii="Times New Roman" w:hAnsi="Times New Roman"/>
          <w:color w:val="000000"/>
          <w:sz w:val="17"/>
        </w:rPr>
        <w:t>shares of Class A common stock and 5,043,789</w:t>
      </w:r>
      <w:r>
        <w:rPr>
          <w:rFonts w:ascii="Times New Roman" w:hAnsi="Times New Roman"/>
          <w:color w:val="000000"/>
          <w:sz w:val="20"/>
        </w:rPr>
        <w:t xml:space="preserve"> </w:t>
      </w:r>
      <w:r>
        <w:rPr>
          <w:rFonts w:ascii="Times New Roman" w:hAnsi="Times New Roman"/>
          <w:color w:val="000000"/>
          <w:sz w:val="17"/>
        </w:rPr>
        <w:t>shares of Class B common stock, each with a par value of $0.0001 per share, outstanding.</w:t>
      </w:r>
    </w:p>
    <w:p>
      <w:pPr>
        <w:pStyle w:val="TextBody"/>
        <w:pBdr>
          <w:bottom w:val="double" w:sz="6"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811"/>
        <w:gridCol w:w="7366"/>
        <w:gridCol w:w="57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 – Condensed Consolidated Financial Statements (unaudited)</w:t>
              </w:r>
            </w:hyperlink>
            <w:hyperlink w:anchor="part_i">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_quarterly_unaudited">
              <w:r>
                <w:rPr>
                  <w:rStyle w:val="InternetLink"/>
                  <w:rFonts w:ascii="Times New Roman" w:hAnsi="Times New Roman"/>
                  <w:color w:val="0000FF"/>
                  <w:sz w:val="20"/>
                  <w:u w:val="single"/>
                </w:rPr>
                <w:t>Condensed Consolidated Quarterly Financial Statements (Unaudited)</w:t>
              </w:r>
            </w:hyperlink>
            <w:hyperlink w:anchor="condensed_consolid_quarterly_unaudited">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balance_sheet">
              <w:r>
                <w:rPr>
                  <w:rStyle w:val="InternetLink"/>
                  <w:rFonts w:ascii="Times New Roman" w:hAnsi="Times New Roman"/>
                  <w:color w:val="0000FF"/>
                  <w:sz w:val="20"/>
                  <w:u w:val="single"/>
                </w:rPr>
                <w:t>Condensed Consolidated Balance Sheets</w:t>
              </w:r>
            </w:hyperlink>
            <w:hyperlink w:anchor="balance_sheet">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operations_and_comprehensive_loss">
              <w:r>
                <w:rPr>
                  <w:rStyle w:val="InternetLink"/>
                  <w:rFonts w:ascii="Times New Roman" w:hAnsi="Times New Roman"/>
                  <w:color w:val="0000FF"/>
                  <w:sz w:val="20"/>
                  <w:u w:val="single"/>
                </w:rPr>
                <w:t>Condensed Consolidated Statements of Operations and Comprehensive Loss</w:t>
              </w:r>
            </w:hyperlink>
            <w:hyperlink w:anchor="operations_and_comprehensive_loss">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statements_of_cash_flow">
              <w:r>
                <w:rPr>
                  <w:rStyle w:val="InternetLink"/>
                  <w:rFonts w:ascii="Times New Roman" w:hAnsi="Times New Roman"/>
                  <w:color w:val="0000FF"/>
                  <w:sz w:val="20"/>
                  <w:u w:val="single"/>
                </w:rPr>
                <w:t>Condensed Consolidated Statements of Cash Flows</w:t>
              </w:r>
            </w:hyperlink>
            <w:hyperlink w:anchor="statements_of_cash_flow">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statement_of_equity">
              <w:r>
                <w:rPr>
                  <w:rStyle w:val="InternetLink"/>
                  <w:rFonts w:ascii="Times New Roman" w:hAnsi="Times New Roman"/>
                  <w:color w:val="0000FF"/>
                  <w:sz w:val="20"/>
                  <w:u w:val="single"/>
                </w:rPr>
                <w:t>Condensed Consolidated Statements of Common Stock and Stockholders’ Equity</w:t>
              </w:r>
            </w:hyperlink>
            <w:hyperlink w:anchor="statement_of_equity">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47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475"/>
              <w:jc w:val="left"/>
              <w:rPr/>
            </w:pPr>
            <w:hyperlink w:anchor="notes_condensed_consolidated_financial">
              <w:r>
                <w:rPr>
                  <w:rStyle w:val="InternetLink"/>
                  <w:rFonts w:ascii="Times New Roman" w:hAnsi="Times New Roman"/>
                  <w:color w:val="0000FF"/>
                  <w:sz w:val="20"/>
                  <w:u w:val="single"/>
                </w:rPr>
                <w:t>Notes to Condensed Consolidated Financial Statements</w:t>
              </w:r>
            </w:hyperlink>
            <w:hyperlink w:anchor="notes_condensed_consolidated_financial">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 – Other Information</w:t>
              </w:r>
            </w:hyperlink>
            <w:hyperlink w:anchor="part_ii">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hyperlink w:anchor="item_6_exhibits">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hyperlink w:anchor="signatures">
              <w:r>
                <w:rPr>
                  <w:rStyle w:val="InternetLink"/>
                  <w:rFonts w:ascii="Times New Roman" w:hAnsi="Times New Roman"/>
                  <w:color w:val="0000FF"/>
                  <w:sz w:val="20"/>
                </w:rPr>
                <w:t xml:space="preserve"> </w:t>
              </w:r>
            </w:hyperlink>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bookmarkStart w:id="3" w:name="condensed_consolid_quarterly_unaudited"/>
      <w:bookmarkEnd w:id="3"/>
      <w:r>
        <w:rPr>
          <w:rFonts w:ascii="Times New Roman" w:hAnsi="Times New Roman"/>
          <w:color w:val="000000"/>
          <w:sz w:val="20"/>
        </w:rPr>
        <w:t xml:space="preserve">Condensed Consolidated Quarterly Financial Statements (Unaudited) </w:t>
      </w:r>
    </w:p>
    <w:p>
      <w:pPr>
        <w:pStyle w:val="TextBody"/>
        <w:bidi w:val="0"/>
        <w:jc w:val="center"/>
        <w:rPr>
          <w:rFonts w:ascii="Times New Roman" w:hAnsi="Times New Roman"/>
          <w:color w:val="000000"/>
          <w:sz w:val="20"/>
        </w:rPr>
      </w:pPr>
      <w:r>
        <w:rPr>
          <w:rFonts w:ascii="Times New Roman" w:hAnsi="Times New Roman"/>
          <w:color w:val="000000"/>
          <w:sz w:val="20"/>
        </w:rPr>
        <w:t>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16"/>
        <w:gridCol w:w="146"/>
        <w:gridCol w:w="223"/>
        <w:gridCol w:w="987"/>
        <w:gridCol w:w="146"/>
        <w:gridCol w:w="146"/>
        <w:gridCol w:w="249"/>
        <w:gridCol w:w="1099"/>
        <w:gridCol w:w="793"/>
      </w:tblGrid>
      <w:tr>
        <w:trPr/>
        <w:tc>
          <w:tcPr>
            <w:tcW w:w="6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604,787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r>
              <w:rPr>
                <w:rFonts w:ascii="Times New Roman" w:hAnsi="Times New Roman"/>
                <w:color w:val="000000"/>
                <w:sz w:val="20"/>
              </w:rPr>
              <w:t>, net of allowances of $2,872 and $2,755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311,170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40,498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1,167,175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470,211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349,202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21,111</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Investment in joint venture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86,557</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asset,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Convertible redeemable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81,994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155,370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372,388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74,272</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12,393</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202,753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728,078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other income,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7,977</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1,783,512</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20"/>
        </w:rPr>
        <w:t>Includes related party accounts receivable of $15,690 and $6,428 as of March 31, 2026 and December 31, 2025, respectively.</w:t>
      </w:r>
    </w:p>
    <w:p>
      <w:pPr>
        <w:pStyle w:val="TextBody"/>
        <w:bidi w:val="0"/>
        <w:jc w:val="left"/>
        <w:rPr>
          <w:rFonts w:ascii="Times New Roman" w:hAnsi="Times New Roman"/>
          <w:sz w:val="20"/>
        </w:rPr>
      </w:pPr>
      <w:r>
        <w:rPr>
          <w:rFonts w:ascii="Times New Roman" w:hAnsi="Times New Roman"/>
          <w:color w:val="000000"/>
          <w:sz w:val="13"/>
        </w:rPr>
        <w:t xml:space="preserve">(2) </w:t>
      </w:r>
      <w:r>
        <w:rPr>
          <w:rFonts w:ascii="Times New Roman" w:hAnsi="Times New Roman"/>
          <w:color w:val="000000"/>
          <w:sz w:val="20"/>
        </w:rPr>
        <w:t>Includes related party deferred revenue of $403 and $3,938 as of March 31, 2026 and December 31, 2025,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32"/>
        <w:gridCol w:w="146"/>
        <w:gridCol w:w="211"/>
        <w:gridCol w:w="991"/>
        <w:gridCol w:w="166"/>
        <w:gridCol w:w="146"/>
        <w:gridCol w:w="211"/>
        <w:gridCol w:w="991"/>
        <w:gridCol w:w="411"/>
      </w:tblGrid>
      <w:tr>
        <w:trPr/>
        <w:tc>
          <w:tcPr>
            <w:tcW w:w="6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redeemable preferred stock, $0.0001 par value, 20,000,000 shares authorized at March 31, 2026 and December 31, 2025, respectively, no shares issued and outstanding at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$0.0001 par value, 1,000,000,000 shares authorized at March 31, 2026 and December 31, 2025, respectively; 174,360,831 and 173,235,428 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$0.0001 par value, 5,500,000 shares authorized at March 31, 2026 and December 31, 2025, respectively; 5,043,789 issued and outstanding at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183,229 shares at March 31, 2026 and December 31, 2025, respectively,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2,892,910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(2,395,862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491,326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Convertible redeemable preferred stock,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2,274,838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operations_and_comprehensive_loss"/>
      <w:bookmarkEnd w:id="5"/>
      <w:r>
        <w:rPr>
          <w:rFonts w:ascii="Times New Roman" w:hAnsi="Times New Roman"/>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p>
      <w:pPr>
        <w:pStyle w:val="TextBody"/>
        <w:bidi w:val="0"/>
        <w:jc w:val="left"/>
        <w:rPr/>
      </w:pPr>
      <w:r>
        <w:rPr/>
        <w:t> </w:t>
      </w:r>
    </w:p>
    <w:tbl>
      <w:tblPr>
        <w:tblW w:w="9344" w:type="dxa"/>
        <w:jc w:val="left"/>
        <w:tblInd w:w="0" w:type="dxa"/>
        <w:tblLayout w:type="fixed"/>
        <w:tblCellMar>
          <w:top w:w="28" w:type="dxa"/>
          <w:left w:w="28" w:type="dxa"/>
          <w:bottom w:w="28" w:type="dxa"/>
          <w:right w:w="28" w:type="dxa"/>
        </w:tblCellMar>
      </w:tblPr>
      <w:tblGrid>
        <w:gridCol w:w="6171"/>
        <w:gridCol w:w="146"/>
        <w:gridCol w:w="211"/>
        <w:gridCol w:w="841"/>
        <w:gridCol w:w="166"/>
        <w:gridCol w:w="146"/>
        <w:gridCol w:w="211"/>
        <w:gridCol w:w="841"/>
        <w:gridCol w:w="611"/>
      </w:tblGrid>
      <w:tr>
        <w:trPr/>
        <w:tc>
          <w:tcPr>
            <w:tcW w:w="6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Data and applications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outstanding used to compute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1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related party revenue of $21,823 and $631 for the three months ended March 31, 2026 and 2025, respectively.</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atements_of_cash_flow"/>
      <w:bookmarkEnd w:id="6"/>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9144" w:type="dxa"/>
        <w:jc w:val="left"/>
        <w:tblInd w:w="0" w:type="dxa"/>
        <w:tblLayout w:type="fixed"/>
        <w:tblCellMar>
          <w:top w:w="28" w:type="dxa"/>
          <w:left w:w="28" w:type="dxa"/>
          <w:bottom w:w="28" w:type="dxa"/>
          <w:right w:w="28" w:type="dxa"/>
        </w:tblCellMar>
      </w:tblPr>
      <w:tblGrid>
        <w:gridCol w:w="5971"/>
        <w:gridCol w:w="146"/>
        <w:gridCol w:w="211"/>
        <w:gridCol w:w="841"/>
        <w:gridCol w:w="166"/>
        <w:gridCol w:w="146"/>
        <w:gridCol w:w="211"/>
        <w:gridCol w:w="841"/>
        <w:gridCol w:w="6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Minimum accretion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PIK interest added to 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Accounts receivable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(45,175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data licensing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Includes increase in related party accounts receivable of $9,262 for the three months ended March 31, 2026. Includes decrease in related party accounts receivable of $3,603 for the three months ended March 31,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Includes decrease in related party deferred revenue of $3,535 for the three months ended March 31, 2026. Includes increase in related party deferred revenue of $300 for the three months ended March 31,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9217" w:type="dxa"/>
        <w:jc w:val="left"/>
        <w:tblInd w:w="0" w:type="dxa"/>
        <w:tblLayout w:type="fixed"/>
        <w:tblCellMar>
          <w:top w:w="28" w:type="dxa"/>
          <w:left w:w="28" w:type="dxa"/>
          <w:bottom w:w="28" w:type="dxa"/>
          <w:right w:w="28" w:type="dxa"/>
        </w:tblCellMar>
      </w:tblPr>
      <w:tblGrid>
        <w:gridCol w:w="6261"/>
        <w:gridCol w:w="146"/>
        <w:gridCol w:w="215"/>
        <w:gridCol w:w="795"/>
        <w:gridCol w:w="169"/>
        <w:gridCol w:w="148"/>
        <w:gridCol w:w="215"/>
        <w:gridCol w:w="857"/>
        <w:gridCol w:w="411"/>
      </w:tblGrid>
      <w:tr>
        <w:trPr/>
        <w:tc>
          <w:tcPr>
            <w:tcW w:w="6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Business combinations, net of cash acquired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(380,762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revolving credit facility, net of original issue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long-term debt, net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deferred financing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(83,587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609,451</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525,864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are Comprised of:</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525,864</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during the year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(received from)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 accrued but not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Redemption of convertible promissory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9,393</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costs, accrued but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2,129</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offering costs, accrued but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issued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310,320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promissory note principal reset due to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Tempus AI,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atement_of_equity"/>
      <w:bookmarkEnd w:id="7"/>
      <w:r>
        <w:rPr>
          <w:rFonts w:ascii="Times New Roman" w:hAnsi="Times New Roman"/>
          <w:b/>
          <w:color w:val="000000"/>
          <w:sz w:val="20"/>
        </w:rPr>
        <w:t>CONDENSED CONSOLIDATED STATEMENTS OF COMMON STOCK AND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6"/>
        <w:gridCol w:w="146"/>
        <w:gridCol w:w="146"/>
        <w:gridCol w:w="70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58"/>
        <w:gridCol w:w="658"/>
        <w:gridCol w:w="151"/>
        <w:gridCol w:w="180"/>
        <w:gridCol w:w="591"/>
        <w:gridCol w:w="198"/>
      </w:tblGrid>
      <w:tr>
        <w:trPr/>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173,235,428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2,892,910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(2,395,862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491,326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1,125,403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52,808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(125,919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174,360,831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(183,229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2,945,718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(2,521,781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416,405</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37"/>
        <w:gridCol w:w="146"/>
        <w:gridCol w:w="146"/>
        <w:gridCol w:w="706"/>
        <w:gridCol w:w="146"/>
        <w:gridCol w:w="146"/>
        <w:gridCol w:w="170"/>
        <w:gridCol w:w="356"/>
        <w:gridCol w:w="146"/>
        <w:gridCol w:w="146"/>
        <w:gridCol w:w="586"/>
        <w:gridCol w:w="146"/>
        <w:gridCol w:w="170"/>
        <w:gridCol w:w="356"/>
        <w:gridCol w:w="146"/>
        <w:gridCol w:w="146"/>
        <w:gridCol w:w="541"/>
        <w:gridCol w:w="151"/>
        <w:gridCol w:w="166"/>
        <w:gridCol w:w="421"/>
        <w:gridCol w:w="151"/>
        <w:gridCol w:w="166"/>
        <w:gridCol w:w="586"/>
        <w:gridCol w:w="151"/>
        <w:gridCol w:w="166"/>
        <w:gridCol w:w="631"/>
        <w:gridCol w:w="151"/>
        <w:gridCol w:w="279"/>
        <w:gridCol w:w="637"/>
        <w:gridCol w:w="146"/>
        <w:gridCol w:w="193"/>
        <w:gridCol w:w="577"/>
        <w:gridCol w:w="197"/>
      </w:tblGrid>
      <w:tr>
        <w:trPr/>
        <w:tc>
          <w:tcPr>
            <w:tcW w:w="1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0" w:type="dxa"/>
            <w:gridSpan w:val="1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Voting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Units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157,076,972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2,210,664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(2,150,834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56,339</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upon settlement of restricted stock units,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5,799,686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 in connection with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5,112,416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310,320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22,974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22,974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4,598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(68,037</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1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167,989,074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5,043,789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(145,466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2,543,957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(2,218,871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326,194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bookmarkStart w:id="8" w:name="notes_condensed_consolidated_financial"/>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DESCRIPTION OF BUSINESS </w:t>
      </w:r>
    </w:p>
    <w:p>
      <w:pPr>
        <w:pStyle w:val="TextBody"/>
        <w:bidi w:val="0"/>
        <w:spacing w:before="120" w:after="283"/>
        <w:jc w:val="left"/>
        <w:rPr>
          <w:rFonts w:ascii="Times New Roman" w:hAnsi="Times New Roman"/>
          <w:sz w:val="20"/>
        </w:rPr>
      </w:pPr>
      <w:r>
        <w:rPr>
          <w:rFonts w:ascii="Times New Roman" w:hAnsi="Times New Roman"/>
          <w:b/>
          <w:color w:val="000000"/>
          <w:sz w:val="20"/>
        </w:rPr>
        <w:t>Company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payers, and pharmaceutical companies. The Company primarily derives revenue from selling comprehensive genetic testing to physicians and large academic research institutions, licensing data to third parties, matching patients to clinical trials, and related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 Effective August 7, 2025, the Company reincorporated, by conversion, from a Delaware corporation to a Nevada corporation.</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one operating and reportable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consolidated net loss that is reported on the consolidated statements of operations and comprehensive loss. The CODM uses consolidated net loss to evaluate income generated from segment assets. Net loss is used to monitor budget versus actual results.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Outside of the expenses reported on the consolidated statements of operations and comprehensive loss, the CODM regularly reviews personnel costs and cloud costs within selling, general, and administrative expenses, which the Company has identified as significant segment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the significant segment expenses reconciled to total selling, general and administrative expenses shown on the condensed consolidated statements of operations and comprehensive loss. Other selling, general, and administrative expenses include facilities, professional fees, marketing, travel and entertainment, depreciation and amortization, and stock-based compensation (see Note 11). </w:t>
      </w:r>
    </w:p>
    <w:p>
      <w:pPr>
        <w:pStyle w:val="TextBody"/>
        <w:bidi w:val="0"/>
        <w:jc w:val="left"/>
        <w:rPr/>
      </w:pPr>
      <w:r>
        <w:rPr/>
        <w:t> </w:t>
      </w:r>
    </w:p>
    <w:tbl>
      <w:tblPr>
        <w:tblW w:w="6775" w:type="dxa"/>
        <w:jc w:val="left"/>
        <w:tblInd w:w="0" w:type="dxa"/>
        <w:tblLayout w:type="fixed"/>
        <w:tblCellMar>
          <w:top w:w="28" w:type="dxa"/>
          <w:left w:w="28" w:type="dxa"/>
          <w:bottom w:w="28" w:type="dxa"/>
          <w:right w:w="28" w:type="dxa"/>
        </w:tblCellMar>
      </w:tblPr>
      <w:tblGrid>
        <w:gridCol w:w="3886"/>
        <w:gridCol w:w="222"/>
        <w:gridCol w:w="823"/>
        <w:gridCol w:w="154"/>
        <w:gridCol w:w="154"/>
        <w:gridCol w:w="222"/>
        <w:gridCol w:w="823"/>
        <w:gridCol w:w="491"/>
      </w:tblGrid>
      <w:tr>
        <w:trPr/>
        <w:tc>
          <w:tcPr>
            <w:tcW w:w="38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 payroll</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Cloud and software</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selling, general and administrative</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94,119</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68,334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212,594</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154,627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color w:val="000000"/>
          <w:sz w:val="20"/>
        </w:rPr>
        <w:t>Principles of Consolidation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include the accounts of Tempus AI, Inc. and its wholly owned subsidiaries. All intercompany accounts and transactions have been eliminated in consolidation. The condensed consolidated financial statements and accompanying notes were prepared in accordance with accounting principles generally accepted in the United States of America (“GAAP”) and applicable rules and regulations of the U.S. Securities and Exchange Commission (the “SEC”) regarding interim financial information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 Certain information and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normally included in the annual consolidated financial statements prepared in accordance with GAAP have been omitted. Accordingly, the unaudited interim condensed consolidated financial statements should be read in conjunction with the audited consolidated financial statements and notes included in the Company’s Form 10-K for the year ended December 31, 2025. The unaudited interim condensed consolidated financial statements have been prepared on the same basis as the audited consolidated financial statements and reflect, in management’s opinion, all the adjustments of a normal, recurring nature that are necessary for the fair statement of the Company’s financial position, results of operations, and cash flows for the interim periods, but are not necessarily indicative of the results expected for the full year or any other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opinion of the Company, the accompanying unaudited condensed consolidated financial statements contain all adjustments, consisting of only normal recurring adjustments, necessary for a fair statement of its financial position as of March 31, 2026 and its results of operations for the three months ended March 31, 2026 and 2025, and cash flows for the three months ended March 31, 2026 and 2025. The condensed consolidated balance sheet at December 31, 2025, was derived from audited annual financial statements but does not contain all of the footnote disclosures from the annual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believes that its existing cash and cash equivalents and marketable equity securities at March 31, 2026 will be sufficient to allow the Company to fund its current operating plan through at least a period of one year from the date of issuance of this Quarterly Report on Form 10-Q. As the Company continues to incur losses, its transition to profitability is dependent upon a level of revenues adequate to support the Company’s cost structure. Future capital requirements will depend on many factors, including the timing and extent of spending on research and development activities and growth related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than described below, there have been no changes to the Company’s significant accounting policies described in the “Notes to the Consolidated Financial Statements” included in the Company’s Annual Report on Form 10-K for the year ended December 31, 2025 that have had a material impact on the Company’s consolidated financial statements and accompanying notes. </w:t>
      </w:r>
    </w:p>
    <w:p>
      <w:pPr>
        <w:pStyle w:val="TextBody"/>
        <w:bidi w:val="0"/>
        <w:spacing w:before="36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the unaudited condensed consolidated financial statements in conformity with GAAP requires management to make estimates and assumptions that affect the reported amounts and classifications of assets and liabilities, revenue and expenses, and the related disclosures of contingent assets and liabilities in the condensed consolidated financial statements and accompanying notes. The most significant estimates are related to revenue, accounts receivable, stock-based compensation, operating lease liabilities, the useful lives of property, equipment, capitalized software and intangible assets, and the cash flows used in determining the fair value of acquired intangible assets. Actual results could differ from those estimates.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Capitalized Software</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In accordance with ASC 350-40, Internal-Use Software, the Company capitalizes eligible software development costs for the Company's internally developed projects that are not intended for sale or externally marketed. Internal-use software costs are recorded at cost less accumulated amortization in Capitalized software on the condensed consolidated balance sheets. The Company adopted ASU 2025-06 on January 1, 2026 using a prospective transition basis. Under ASU 2025-06, development costs for applicable projects will begin capitalization when management commits to funding a software project and it is probable that the project will be completed and the software will be used to perform the function intended. The Company capitalizes costs directly attributable to the development, design and implementation of the internal use software. Any costs incurred during subsequent efforts to upgrade and enhance the functionality of the software are also capitalized. Capitalized software costs are amortized on a straight-line basis when the capitalized software is ready for its intended use over the estimated useful life of the software, which is typically three to five years.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left"/>
        <w:rPr>
          <w:rFonts w:ascii="Times New Roman" w:hAnsi="Times New Roman"/>
          <w:color w:val="222222"/>
          <w:sz w:val="20"/>
        </w:rPr>
      </w:pPr>
      <w:r>
        <w:rPr>
          <w:rFonts w:ascii="Times New Roman" w:hAnsi="Times New Roman"/>
          <w:color w:val="222222"/>
          <w:sz w:val="20"/>
        </w:rPr>
        <w:t xml:space="preserve">In November 2024, the FASB issued ASU 2024-04, “Debt with Conversion and Other Options (Subtopic 470-20): Induced Conversions of Convertible Debt Instruments”, which clarifies the requirements for determining whether certain settlements of convertible debt instruments should be accounted for as induced conversions. The Company adopted the standard on January 1, 2026 on a prospective basis. The adoption of this standard did not have a material impact on the Company's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July 2025, the FASB issued ASU No. 2025-05, "Financial Instruments-Credit Losses (Topic 326): Measurement of Credit Losses for Accounts Receivable and Contract Assets". ASU 2025-05 provides a practical expedient that in developing reasonable and supportable forecasts as part of estimating expected credit losses, all entities may assume that current conditions as of the balance sheet date do not change for the remaining life of the asset. The Company adopted the standard on January 1, 2026 on a prospective basis. The Company elected the practical expedient provided by the standard which allows the Company to assume that current macroeconomic conditions as of the balance sheet date persist for the remaining contractual life of current accounts receivable. The adoption of this standard did not have a material impact on the Company's financial statements.</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September 2025, the FASB issued ASU 2025-06, “Intangibles-Goodwill and Other-Internal-Use Software (Subtopic 350-40): Targeted Improvements to the Accounting for Internal-Use Software.” ASU-2025-06 revises the recognition guidance for internal-use software by eliminating the previous model based on software development stages and introducing a principles-based approach. Under the new guidance, capitalization begins when management has authorized and committed to funding the project, and it is probable that the software will be completed and used for its intended purpose. The Company early adopted the standard on January 1, 2026 using a prospective transition approach. The adoption of this standard did not have a material impact on the Company's financial statements. Refer to Note 6 for additional information over the Company's capitalized software.</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22222"/>
          <w:sz w:val="20"/>
        </w:rPr>
      </w:pPr>
      <w:r>
        <w:rPr>
          <w:rFonts w:ascii="Times New Roman" w:hAnsi="Times New Roman"/>
          <w:color w:val="222222"/>
          <w:sz w:val="20"/>
        </w:rPr>
        <w:t xml:space="preserve">In November 2024, the FASB issued ASU 2024-03, “Income Statement—Reporting Comprehensive Income (Topic 220): Disaggregation of Income Statement Expenses.” ASU 2024-03 requires additional disclosures aimed at enhancing the transparency and decision usefulness of income statement expenses. This ASU is effective for fiscal years beginning after December 15, 2026 as well as interim periods beginning after December 15, 2027 and may be applied either prospectively to financial statements issued for reporting periods after the effective date of this ASU or retrospectively to all prior periods presented in the financial statements. The Company is currently evaluating the impact of the guidance on the related disclosures. </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September 2025, the FASB issued ASU No. 2025-07, Derivatives and Hedging (Topic 815) and Revenue from Contracts with Customers (Topic 606), which amends the existing guidance to (a) reduce the cost and complexity of evaluating whether contracts with features based on the operations or activities of one of the parties to the contract are derivatives, (b) better portray the economics of those contracts in the financial statements, and (c) reduce diversity in practice resulting from the broad application of the current guidance and changing business environment. The amendments also are expected to reduce diversity in practice by clarifying the applicability of Topic 606, Revenue from Contracts with Customers, to share-based noncash consideration from a customer for the transfer of goods or services. This ASU is effective for fiscal years beginning after December 15, 2026. The Company is currently evaluating the impact of the guidance on the related disclosures.</w:t>
      </w:r>
    </w:p>
    <w:p>
      <w:pPr>
        <w:pStyle w:val="TextBody"/>
        <w:bidi w:val="0"/>
        <w:spacing w:before="240" w:after="283"/>
        <w:jc w:val="left"/>
        <w:rPr>
          <w:rFonts w:ascii="Times New Roman" w:hAnsi="Times New Roman"/>
          <w:sz w:val="20"/>
        </w:rPr>
      </w:pPr>
      <w:r>
        <w:rPr>
          <w:rFonts w:ascii="Times New Roman" w:hAnsi="Times New Roman"/>
          <w:color w:val="222222"/>
          <w:sz w:val="20"/>
        </w:rPr>
        <w:t xml:space="preserve">In December 2025, the FASB issued ASU 2025-11, “Interim Reporting (Topic 270): Narrow-Scope Improvements.” ASU 2025-11 clarifies interim disclosure requirements and the applicability of Topic 270. The update provides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and </w:t>
      </w:r>
      <w:r>
        <w:rPr>
          <w:rFonts w:ascii="Times New Roman" w:hAnsi="Times New Roman"/>
          <w:color w:val="000000"/>
          <w:sz w:val="20"/>
        </w:rPr>
        <w:t>can be adopted using either a prospective or retrospective method</w:t>
      </w:r>
      <w:r>
        <w:rPr>
          <w:rFonts w:ascii="Times New Roman" w:hAnsi="Times New Roman"/>
          <w:color w:val="222222"/>
          <w:sz w:val="20"/>
        </w:rPr>
        <w:t>. Early adoption is permitted. The Company is currently evaluating the impact of the guidance on the related disclosures.</w:t>
      </w:r>
    </w:p>
    <w:p>
      <w:pPr>
        <w:pStyle w:val="TextBody"/>
        <w:bidi w:val="0"/>
        <w:spacing w:before="240" w:after="283"/>
        <w:jc w:val="left"/>
        <w:rPr>
          <w:rFonts w:ascii="Times New Roman" w:hAnsi="Times New Roman"/>
          <w:color w:val="222222"/>
          <w:sz w:val="20"/>
        </w:rPr>
      </w:pPr>
      <w:r>
        <w:rPr>
          <w:rFonts w:ascii="Times New Roman" w:hAnsi="Times New Roman"/>
          <w:color w:val="222222"/>
          <w:sz w:val="20"/>
        </w:rPr>
        <w:t>In December 2025, the FASB issued ASU 2025-12, Codification Improvements. This ASU represents changes to the ASC that clarify, correct errors in or make other improvements to a variety of topics that are intended to make it easier to understand and apply, including amendments to clarify the calculation of earnings per share when a loss from continuing operations exists. This ASU is effective for fiscal years beginning after December 15, 2026 and interim periods within those fiscal years, with early adoption permitted. Entities are required to apply the amendments to ASC 260 retrospectively. All other amendments may be applied prospectively or retrospectively. The Company is currently evaluating the impact of the guidance on the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REVENUE RECOGNITION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from selling lab services (“Diagnostics”) to physicians, genetic counselors, academic research institutions, and other parties. The Company also derives revenue from the commercialization of data generated in the lab (“Data and applications”) through the licensing of de-identified datasets to third parties and by providing clinical trial support, such as matching patients to clinical trials enrolled in its clinical trial network, and related services. The majority of the Company’s revenue is generated in North America.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accounts for revenue in accordance with Financial Accounting Standards Board (“FASB”) ASC 606 </w:t>
      </w:r>
      <w:r>
        <w:rPr>
          <w:rFonts w:ascii="Times New Roman" w:hAnsi="Times New Roman"/>
          <w:i/>
          <w:color w:val="000000"/>
          <w:sz w:val="20"/>
        </w:rPr>
        <w:t>Revenue from Contracts with Customers</w:t>
      </w:r>
      <w:r>
        <w:rPr>
          <w:rFonts w:ascii="Times New Roman" w:hAnsi="Times New Roman"/>
          <w:color w:val="000000"/>
          <w:sz w:val="20"/>
        </w:rPr>
        <w:t xml:space="preserve"> (“ASC 606”). The Company commences revenue recognition when control of these products is transferred to customers in an amount that reflects the consideration the Company expects to be entitled to in exchange for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products. This principle is achieved by applying the five-step approach: (i) the Company accounts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 </w:t>
      </w:r>
    </w:p>
    <w:p>
      <w:pPr>
        <w:pStyle w:val="TextBody"/>
        <w:bidi w:val="0"/>
        <w:spacing w:before="360" w:after="283"/>
        <w:jc w:val="left"/>
        <w:rPr>
          <w:rFonts w:ascii="Times New Roman" w:hAnsi="Times New Roman"/>
          <w:sz w:val="20"/>
        </w:rPr>
      </w:pPr>
      <w:r>
        <w:rPr>
          <w:rFonts w:ascii="Times New Roman" w:hAnsi="Times New Roman"/>
          <w:i/>
          <w:color w:val="000000"/>
          <w:sz w:val="20"/>
        </w:rPr>
        <w:t>Disaggregation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provides disaggregation of revenue based on Diagnostics and Data and applications on the condensed consolidated statements of operations and comprehensive loss, as it believes these best depict how the nature, amount, timing and uncertainty of revenue and cash flows are affected by economic factors.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generally recognizes revenue for its Diagnostics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variable consideration using the expected value method which is based on historical collections in relation to established rates, as well as known current or anticipated reimbursement trends not reflected in the historical data. The Company uses significant judgment when assessing whether estimates of variable consideration are constrained and these estimates are calculated based upon both insurance payor-specific and aggregated factors that include historical billing and adjustment data. Estimates are inclusive of the consideration to which the Company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Payment is typically due after the claim has been processed by the payer, generally 30-120 days from date of service. While management believes that the estimates are accurate, actual results could differ and the potential impact on the financial statements could be significant. The Company recognized revenue for clinical orders of $239.3 million and $181.5 million for the three months ended March 31,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Diagnostics revenue for direct bill orders of $21.8 million and $12.3 million for the three months ended March 31, 2026 and 2025,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and applications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 generally considered less than one year. The Company determines the transaction price based on established contractual rates with the customer, net of any applicable discounts. The Company recognizes revenue for its Data and applications product offering when it has met its performance obligation under the terms of the agreement with the customer. The Company’s product offerings are as follows: </w:t>
      </w:r>
    </w:p>
    <w:p>
      <w:pPr>
        <w:pStyle w:val="TextBody"/>
        <w:bidi w:val="0"/>
        <w:spacing w:before="360" w:after="283"/>
        <w:jc w:val="left"/>
        <w:rPr>
          <w:rFonts w:ascii="Times New Roman" w:hAnsi="Times New Roman"/>
          <w:sz w:val="20"/>
        </w:rPr>
      </w:pPr>
      <w:r>
        <w:rPr>
          <w:rFonts w:ascii="Times New Roman" w:hAnsi="Times New Roman"/>
          <w:i/>
          <w:color w:val="000000"/>
          <w:sz w:val="20"/>
        </w:rPr>
        <w:t>Insights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the Company’s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determined that the delivery of de-identified records and, when applicable, analytical services, and access to its enhanced Lens application are separate and distinct performance obligations. The primary Insights contract types are as follows: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Data licensing on a one-time or limited duration basis</w:t>
      </w:r>
      <w:r>
        <w:rPr>
          <w:color w:val="000000"/>
        </w:rPr>
        <w:t xml:space="preserve"> – </w:t>
      </w:r>
      <w:r>
        <w:rPr>
          <w:rFonts w:ascii="Times New Roman" w:hAnsi="Times New Roman"/>
          <w:color w:val="000000"/>
          <w:sz w:val="20"/>
        </w:rPr>
        <w:t xml:space="preserve">Customer licenses a specific dataset of records, and the Company accounts for individual 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Multi-year data subscriptions</w:t>
      </w:r>
      <w:r>
        <w:rPr>
          <w:color w:val="000000"/>
        </w:rPr>
        <w:t xml:space="preserve"> – </w:t>
      </w:r>
      <w:r>
        <w:rPr>
          <w:rFonts w:ascii="Times New Roman" w:hAnsi="Times New Roman"/>
          <w:color w:val="000000"/>
          <w:sz w:val="20"/>
        </w:rPr>
        <w:t xml:space="preserve">Customer licenses de-identified records, and the Company accounts for the service as a right to access license and one performance obligation. Revenue is recognized as access to the dataset is provided, ratably over-time, with the measure of progress time-based.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Analytical services and other services</w:t>
      </w:r>
      <w:r>
        <w:rPr>
          <w:color w:val="000000"/>
        </w:rPr>
        <w:t xml:space="preserve"> – </w:t>
      </w:r>
      <w:r>
        <w:rPr>
          <w:rFonts w:ascii="Times New Roman" w:hAnsi="Times New Roman"/>
          <w:color w:val="000000"/>
          <w:sz w:val="20"/>
        </w:rPr>
        <w:t xml:space="preserve">Services typically involve data analysis and research performed on behalf of the customer by the Company. The resulting delivery of data, or a report addressing a series of questions and analytical results, is considered a single performance obligation. Revenue is generally recognized upon the delivery of these services, as defined by the contract.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Enhanced Lens application subscription services</w:t>
      </w:r>
      <w:r>
        <w:rPr>
          <w:color w:val="000000"/>
        </w:rPr>
        <w:t xml:space="preserve"> – </w:t>
      </w:r>
      <w:r>
        <w:rPr>
          <w:rFonts w:ascii="Times New Roman" w:hAnsi="Times New Roman"/>
          <w:color w:val="000000"/>
          <w:sz w:val="20"/>
        </w:rPr>
        <w:t xml:space="preserve">Customer licenses access to the Company’s enhanced Lens application under a 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Cloud hosting services </w:t>
      </w:r>
      <w:r>
        <w:rPr>
          <w:color w:val="000000"/>
        </w:rPr>
        <w:t xml:space="preserve">– </w:t>
      </w:r>
      <w:r>
        <w:rPr>
          <w:rFonts w:ascii="Times New Roman" w:hAnsi="Times New Roman"/>
          <w:color w:val="000000"/>
          <w:sz w:val="20"/>
        </w:rPr>
        <w:t>The Company provides cloud hosting services to customers via a third party cloud infrastructure provider. Revenue is recognized as the related compute and storage costs are incurred by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revenue from Insights products of $71.3 million and $49.5 million for the three months ended March 31, 2026 and 2025, respectively.</w:t>
      </w:r>
    </w:p>
    <w:p>
      <w:pPr>
        <w:pStyle w:val="TextBody"/>
        <w:bidi w:val="0"/>
        <w:spacing w:before="360" w:after="283"/>
        <w:jc w:val="left"/>
        <w:rPr>
          <w:rFonts w:ascii="Times New Roman" w:hAnsi="Times New Roman"/>
          <w:sz w:val="20"/>
        </w:rPr>
      </w:pPr>
      <w:r>
        <w:rPr>
          <w:rFonts w:ascii="Times New Roman" w:hAnsi="Times New Roman"/>
          <w:i/>
          <w:color w:val="000000"/>
          <w:sz w:val="20"/>
        </w:rPr>
        <w:t>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Trials product includes TIME clinical trial matching services and other clinical trial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TIME, the Company provides other clinical trial services conducting or supporting studies. Tempus Compass LLC, a subsidiary of the Company, is a contract research organization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revenue from Trials products of $9.9 million and $9.7 million for the three months ended March 31, 2026 and 2025, respectively.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Next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Next product is an AI platform that leverages machine learning to apply an "intelligent layer" onto routinely generated data to proactively identify and minimize care gaps for oncology and cardiology patients. The Company evaluates each contract to determine which performance obligations are capable of being distinct and separately identifiable from other promises in the contract and, therefore, represent distinct performance obligations. Fixed-price subscriptions generally represent a single performance obligation and are recognized over-time. Revenue can also be recognized upon delivery of reports or certain milestones as defined by the contract.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revenue from Next of $5.7 million and $2.7 million for the three months ended March 31,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Insights, Trials and Next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applications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w:t>
      </w:r>
    </w:p>
    <w:p>
      <w:pPr>
        <w:pStyle w:val="TextBody"/>
        <w:bidi w:val="0"/>
        <w:spacing w:before="360" w:after="283"/>
        <w:jc w:val="left"/>
        <w:rPr>
          <w:rFonts w:ascii="Times New Roman" w:hAnsi="Times New Roman"/>
          <w:sz w:val="20"/>
        </w:rPr>
      </w:pPr>
      <w:r>
        <w:rPr>
          <w:rFonts w:ascii="Times New Roman" w:hAnsi="Times New Roman"/>
          <w:b/>
          <w:color w:val="000000"/>
          <w:sz w:val="20"/>
        </w:rPr>
        <w:t>Multi-year Contract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$378.4 million as of March 31, 2026, of which the Company expects to recognize approximately 50% as revenue over the next year, and the remaining 38%, 7%, and 5% of its remaining performance obligations as revenue in years two, three, four and thereafter, respectively.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of revenue recognition may differ from the timing of invoicing to customers. Certain performance obligations may require payment before delivery of the service to the customer. The Company recognizes contract assets when the Company has an unconditional right to payment, and when revenues earned on a contract exceeds the billings. Contract assets are presented under accounts receivable, net. Accounts receivable as of March 31, 2026 and December 31, 2025 included contract assets of $24.5 million and $8.1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2023, the Company entered into a Commercialization and Reference Laboratory Agreement with Personalis, Inc. (“Personalis”), which was subsequently amended in August 2024 and July 2025. The Company agreed to pay up to $12.0 million to Personalis over three years as certain milestones are met, all of which has been paid as of July 2025. These payments are treated as contract assets and amortized into revenue over the life of the contract. Contract asset balances are offset by deferred revenue generated from receipt of warrants for Personalis common stock (see Note 15). As of March 31, 2026 and December 31, 2025, there was $3.9 million and $4.7 million, respectively, of net contract assets related to this agreement recorded in Prepaid expenses and other current assets, respectively.</w:t>
      </w:r>
    </w:p>
    <w:p>
      <w:pPr>
        <w:pStyle w:val="TextBody"/>
        <w:bidi w:val="0"/>
        <w:spacing w:before="360" w:after="283"/>
        <w:jc w:val="left"/>
        <w:rPr>
          <w:rFonts w:ascii="Times New Roman" w:hAnsi="Times New Roman"/>
          <w:sz w:val="20"/>
        </w:rPr>
      </w:pPr>
      <w:r>
        <w:rPr>
          <w:rFonts w:ascii="Times New Roman" w:hAnsi="Times New Roman"/>
          <w:b/>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the Company’s Data and applications product offerings and timing of delivery of the Company’s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$35.1 million and $26.9 million during the three months ended March 31, 2026 and 2025, respectively, that was included in the corresponding deferred revenue balance at the beginning of the periods.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BUSINESS COMBINATIONS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Paige.AI,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22, 2025, (the "Paige Closing Date"), the Company completed its acquisition (the "Paige Acquisition") of Paige.AI, Inc. ("Paige"), a Delaware corporation, pursuant to an Agreement and Plan of Merger. Paige is an AI company specializing in digital pathology. The Paige Acquisition is expected to allow the Company to grow its dataset and establish a strong footprint in digital pathology with an industry leading technology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Paige. The acquisition resulted in goodwill of $141.1 million. No goodwill is expected to be deductible for tax purposes. The aggregate acquisition date fair value of consideration for the Paige Acquisition totaled $101.5 million. Consideration consisted of $3.0 million of cash and the issuance of an aggregate of 1,256,977 shares of the Company's Class A common stock (the "Paige Stock Consideration"), which was valued at $80.52 per share, the closing price of the Company's Class A common stock on the Paige Closing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portion of the Paige Stock Consideration was paid to employees as consideration for transaction bonuses. Paige will pay approximately $3.2 million to fulfill employee tax obligations related to the issuance, of which $3.0 million has been paid as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December 2025. The equivalent was withheld from those employees in the Company's Class A common stock and included in treasury stock. In accordance with the terms of the agreement, $6.9 million in equity consideration was held back and is payable within five business days of August 22, 2026. The net working capital adjustment resulted in a decrease to the acquisition price of $1.2 million which was recorded to goodwill. The $6.9 million holdback liability is recognized within Other long-term liabilities. The holdback liability is remeasured at fair value in each period following the closing with changes in fair value recorded within Selling, general and administrative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Paige Acquisition (in thousands):</w:t>
      </w:r>
    </w:p>
    <w:p>
      <w:pPr>
        <w:pStyle w:val="TextBody"/>
        <w:bidi w:val="0"/>
        <w:spacing w:before="240" w:after="283"/>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 and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acquisition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101,517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excess of purchase consideration over the fair value of the net assets acquired was recorded as goodwill, which is primarily attributed to the assembled workforce of the acquired company and expected growth in the Company's dataset. The Company also assumed $39.5 million of remaining purchase commitments under Paige's Microsoft Azure cloud services agreement in excess of forecasted usage, which is recorded in Other long-term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ASC 805, Business Combinations, the Company accounted for the Paige Acquisition as a business combination under the acquisition method of accounting. The valuation of assets acquired and liabilities assumed has not been finalized as of March 31, 2026. While all amounts remain subject to adjustments, the areas subject to the most significant potential adjustments are the assumed remaining purchase commitments. As a result, the Company recorded preliminary estimates for the fair value of assets acquired and liabilities assumed as of the Paige Closing Date.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Deep 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11, 2025, the Company acquired all of the issued and outstanding interests of Deep 6 AI, Inc. ("Deep 6"), a Delaware corporation (the "Deep 6 Acquisition"), that enables healthcare organizations to de-risk clinical trials, accelerate recruitment, and generate real-world evidence with speed and precision. Deep 6's AI-powered software matches patients to clinical trials by mining real-time structured and unstructured electronic medical record data across a broad ecosystem.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resulted in goodwill of $21.0 million. The aggregate acquisition date fair value of consideration for the Deep 6 Acquisition totaled $17.4 million. Consideration consisted of $4.3 million of cash and $13.1 million of the Company's Class A common stock. In accordance with the terms of the agreement, $0.8 million in equity consideration was held back. The net working capital adjustment resulted in a decrease to the acquisition price of $0.2 million which was recorded to goodwill. The $0.6 million holdback liability is recognized within Other long-term liabilities. The holdback liability is remeasured at fair value in each period following the closing within Selling, general and administrative expense.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Ambry Genetics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3, 2025 (the "Closing Date"), the Company completed its acquisition (the "Ambry Acquisition") of Ambry Genetics Corporation, a Delaware corporation ("Ambry"), pursuant to a Securities Purchase Agreement (the "Purchase Agreement") entered into on November 4, 2024 with Realm, IDX, Inc., a Delaware corporation (the "Seller") and the Seller's ultimate parent, Konica Minolta, Inc., a Japanese corporation, as guarantor.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acquired all of the issued and outstanding shares of capital stock of Ambry. Consideration for the acquisition consisted of $375.0 million in cash, subject to adjustment for cash, unpaid indebtedness, unpaid transaction expenses and net working capital of Ambry, plus the issuance of an aggregate of 4,843,136 shares of the Company's Class A common stock (the "Stock Consideration"). Stock Consideration was valued at $61.54 per share, which was the closing price of the Company's Class A common stock on the Closing Date. Pursuant to the terms of the Purchase Agreement, 2,152,505 shares issued as Stock Consideration are subject to a lock-up for a period of one year following the Closing Date. The Company was an Ambry customer prior to the acquisition and, pursuant to that preexisting relationship, owed $3.8 million to Ambry as of the Closing Date. This balance was effectively settled upon the Ambry Acquisition and was treated as a reduction to consideration transferred. The net working capital adjustment was finalized in September 2025, resulting in a decrease to the acquisition price of $3.0 million which was recorded to 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Ambry is a leader in hereditary cancer screening. The Ambry Acquisition provides the Company with expanded testing capabilities for inherited cancer risk. In addition, the Ambry Acquisition complements the Company's strategy of using data to advance clinical and scientific innovation. Ambry's extensive product offerings will allow the Company to expand into new disease categories, including pediatrics, rare disease, immunology, women's reproductive health, and cardiology.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incurred $7.4 million of transaction costs related to the Ambry Acquisition, of which $0 and $3.0 million were recorded within Selling, general and administrative expense in the condensed consolidated statement of operations during the three months ended March 31,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allocation of the aggregate purchase price of the Ambry Acquisition (in thousands):</w:t>
      </w:r>
    </w:p>
    <w:p>
      <w:pPr>
        <w:pStyle w:val="TextBody"/>
        <w:bidi w:val="0"/>
        <w:jc w:val="left"/>
        <w:rPr/>
      </w:pPr>
      <w:r>
        <w:rPr/>
        <w:t> </w:t>
      </w:r>
    </w:p>
    <w:tbl>
      <w:tblPr>
        <w:tblW w:w="5485" w:type="dxa"/>
        <w:jc w:val="left"/>
        <w:tblInd w:w="0" w:type="dxa"/>
        <w:tblLayout w:type="fixed"/>
        <w:tblCellMar>
          <w:top w:w="28" w:type="dxa"/>
          <w:left w:w="28" w:type="dxa"/>
          <w:bottom w:w="28" w:type="dxa"/>
          <w:right w:w="28" w:type="dxa"/>
        </w:tblCellMar>
      </w:tblPr>
      <w:tblGrid>
        <w:gridCol w:w="3956"/>
        <w:gridCol w:w="146"/>
        <w:gridCol w:w="211"/>
        <w:gridCol w:w="781"/>
        <w:gridCol w:w="391"/>
      </w:tblGrid>
      <w:tr>
        <w:trPr/>
        <w:tc>
          <w:tcPr>
            <w:tcW w:w="3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Investments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568,775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assets acquired and liabilities assumed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457,708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acquisition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692,343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excess of purchase consideration over the fair value of the net assets acquired was recorded as goodwill, which is primarily attributed to the assembled workforce of the acquired company and expected growth from the horizontal integration of Ambry's genomics testing. $0.6 million of goodwill is expected to be deductible for tax purposes. The identifiable intangible assets acquired consisted of customer relationships, developed technology - biotech, developed technology - software, and trade names.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customer relationships was estimated using the multi period excess earnings method, which isolates the net earnings attributable to the asset being measured. Significant assumptions used in the valuation of customer relationships included forecasted revenue and expenses, customer attrition, contributory asset charges and discount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values of developed technology - biotech, developed technology - software, and trade names were estimated using the relief from royalty method, which considers the market-based royalty a company would pay to enjoy the benefits of the trade name or technology in lieu of actual ownership of the trade name or technology. Significant assumptions used in the valuation of these assets included forecasted revenue, royalty rate, and discount rate. In addition, the valuation of developed technology assets included assumed obsolescence rates.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described, the valuation of identifiable intangible assets acquired required various estimates and assumptions. The Company's management believes the fair values recognized for the assets acquired and liabilities assumed are based on reasonable estimates and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Estimated useful lives of the identifiable intangible assets acquired are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4018" w:type="dxa"/>
        <w:jc w:val="left"/>
        <w:tblInd w:w="0" w:type="dxa"/>
        <w:tblLayout w:type="fixed"/>
        <w:tblCellMar>
          <w:top w:w="28" w:type="dxa"/>
          <w:left w:w="28" w:type="dxa"/>
          <w:bottom w:w="28" w:type="dxa"/>
          <w:right w:w="28" w:type="dxa"/>
        </w:tblCellMar>
      </w:tblPr>
      <w:tblGrid>
        <w:gridCol w:w="2806"/>
        <w:gridCol w:w="146"/>
        <w:gridCol w:w="106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Life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pro forma information shows the results of the Company's operations as though the acquisition had occurred as of the beginning of the comparable period, January 1, 2024 (in thousands):</w:t>
      </w:r>
    </w:p>
    <w:p>
      <w:pPr>
        <w:pStyle w:val="TextBody"/>
        <w:bidi w:val="0"/>
        <w:spacing w:before="40" w:after="283"/>
        <w:jc w:val="left"/>
        <w:rPr/>
      </w:pPr>
      <w:r>
        <w:rPr/>
        <w:t> </w:t>
      </w:r>
    </w:p>
    <w:tbl>
      <w:tblPr>
        <w:tblW w:w="3673" w:type="dxa"/>
        <w:jc w:val="left"/>
        <w:tblInd w:w="0" w:type="dxa"/>
        <w:tblLayout w:type="fixed"/>
        <w:tblCellMar>
          <w:top w:w="28" w:type="dxa"/>
          <w:left w:w="28" w:type="dxa"/>
          <w:bottom w:w="28" w:type="dxa"/>
          <w:right w:w="28" w:type="dxa"/>
        </w:tblCellMar>
      </w:tblPr>
      <w:tblGrid>
        <w:gridCol w:w="916"/>
        <w:gridCol w:w="146"/>
        <w:gridCol w:w="481"/>
        <w:gridCol w:w="1919"/>
        <w:gridCol w:w="211"/>
      </w:tblGrid>
      <w:tr>
        <w:trPr/>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pro forma amounts have been calculated after applying the Company's accounting policies and adjusting the results of Ambry to reflect the additional depreciation and amortization that would have been charged assuming the fair value adjustments to property and equipment, net and intangible assets had been applied from January 1, 2024. The pro forma financial information for the three months ended March 31, 2025 combines the Company's financial results and the historical results of Ambry for the three months ended March 31, 2025. Included in the adjustment is a $46.2 million tax benefit from the release of a portion of the valuation allowance attributable to estimated deferred tax liabilities as of the opening balance sheet. The pro forma results have been prepared for comparative purposes only and are not necessarily indicative of the actual results of operations had the acquisition taken place as of the beginning of the period presented, or the results that may occur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months ended March 31, 2025, Ambry contributed $63.5 million in net revenue within Diagnostics revenue and $5.5 million of net income to the consolidated Tempus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ASC 805, Business Combinations, the Company accounted for the Ambry Acquisition as a business combination under the acquisition method of accounting.</w:t>
      </w:r>
    </w:p>
    <w:p>
      <w:pPr>
        <w:pStyle w:val="TextBody"/>
        <w:bidi w:val="0"/>
        <w:spacing w:before="40" w:after="283"/>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5.</w:t>
      </w:r>
    </w:p>
    <w:p>
      <w:pPr>
        <w:pStyle w:val="TextBody"/>
        <w:bidi w:val="0"/>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sz w:val="20"/>
        </w:rPr>
      </w:pPr>
      <w:r>
        <w:rPr>
          <w:rFonts w:ascii="Times New Roman" w:hAnsi="Times New Roman"/>
          <w:b/>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summarizes property and equipment, net as of March 31, 2026 and December 31, 2025 (in thousands): </w:t>
      </w:r>
    </w:p>
    <w:p>
      <w:pPr>
        <w:pStyle w:val="TextBody"/>
        <w:bidi w:val="0"/>
        <w:jc w:val="left"/>
        <w:rPr/>
      </w:pPr>
      <w:r>
        <w:rPr/>
        <w:t> </w:t>
      </w:r>
    </w:p>
    <w:tbl>
      <w:tblPr>
        <w:tblW w:w="6890" w:type="dxa"/>
        <w:jc w:val="left"/>
        <w:tblInd w:w="0" w:type="dxa"/>
        <w:tblLayout w:type="fixed"/>
        <w:tblCellMar>
          <w:top w:w="28" w:type="dxa"/>
          <w:left w:w="28" w:type="dxa"/>
          <w:bottom w:w="28" w:type="dxa"/>
          <w:right w:w="28" w:type="dxa"/>
        </w:tblCellMar>
      </w:tblPr>
      <w:tblGrid>
        <w:gridCol w:w="3261"/>
        <w:gridCol w:w="146"/>
        <w:gridCol w:w="252"/>
        <w:gridCol w:w="1008"/>
        <w:gridCol w:w="166"/>
        <w:gridCol w:w="146"/>
        <w:gridCol w:w="301"/>
        <w:gridCol w:w="1199"/>
        <w:gridCol w:w="411"/>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226,502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89,156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Depreciation expense on property and equipment is classified as follows in the accompanying condensed consolidated statements of operations for the three months ended March 31, 2026 and 2025 (in thousands): </w:t>
      </w:r>
    </w:p>
    <w:p>
      <w:pPr>
        <w:pStyle w:val="TextBody"/>
        <w:bidi w:val="0"/>
        <w:jc w:val="left"/>
        <w:rPr/>
      </w:pPr>
      <w:r>
        <w:rPr/>
        <w:t> </w:t>
      </w:r>
    </w:p>
    <w:tbl>
      <w:tblPr>
        <w:tblW w:w="6339" w:type="dxa"/>
        <w:jc w:val="left"/>
        <w:tblInd w:w="0" w:type="dxa"/>
        <w:tblLayout w:type="fixed"/>
        <w:tblCellMar>
          <w:top w:w="28" w:type="dxa"/>
          <w:left w:w="28" w:type="dxa"/>
          <w:bottom w:w="28" w:type="dxa"/>
          <w:right w:w="28" w:type="dxa"/>
        </w:tblCellMar>
      </w:tblPr>
      <w:tblGrid>
        <w:gridCol w:w="3406"/>
        <w:gridCol w:w="146"/>
        <w:gridCol w:w="272"/>
        <w:gridCol w:w="738"/>
        <w:gridCol w:w="188"/>
        <w:gridCol w:w="188"/>
        <w:gridCol w:w="272"/>
        <w:gridCol w:w="738"/>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as of March 31, 2026 and December 31, 2025, consist of the following (in thousands): </w:t>
      </w:r>
    </w:p>
    <w:p>
      <w:pPr>
        <w:pStyle w:val="TextBody"/>
        <w:bidi w:val="0"/>
        <w:jc w:val="left"/>
        <w:rPr/>
      </w:pPr>
      <w:r>
        <w:rPr/>
        <w:t> </w:t>
      </w:r>
    </w:p>
    <w:tbl>
      <w:tblPr>
        <w:tblW w:w="7445" w:type="dxa"/>
        <w:jc w:val="left"/>
        <w:tblInd w:w="0" w:type="dxa"/>
        <w:tblLayout w:type="fixed"/>
        <w:tblCellMar>
          <w:top w:w="28" w:type="dxa"/>
          <w:left w:w="28" w:type="dxa"/>
          <w:bottom w:w="28" w:type="dxa"/>
          <w:right w:w="28" w:type="dxa"/>
        </w:tblCellMar>
      </w:tblPr>
      <w:tblGrid>
        <w:gridCol w:w="3856"/>
        <w:gridCol w:w="146"/>
        <w:gridCol w:w="268"/>
        <w:gridCol w:w="992"/>
        <w:gridCol w:w="146"/>
        <w:gridCol w:w="146"/>
        <w:gridCol w:w="319"/>
        <w:gridCol w:w="1181"/>
        <w:gridCol w:w="391"/>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cloud storage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GOODWILL, INTANGIBLES AND CAPITALIZED SOFTWARE</w:t>
      </w:r>
    </w:p>
    <w:p>
      <w:pPr>
        <w:pStyle w:val="TextBody"/>
        <w:bidi w:val="0"/>
        <w:spacing w:before="120" w:after="283"/>
        <w:jc w:val="left"/>
        <w:rPr>
          <w:rFonts w:ascii="Times New Roman" w:hAnsi="Times New Roman"/>
          <w:sz w:val="20"/>
        </w:rPr>
      </w:pPr>
      <w:r>
        <w:rPr>
          <w:rFonts w:ascii="Times New Roman" w:hAnsi="Times New Roman"/>
          <w:i/>
          <w:color w:val="000000"/>
          <w:sz w:val="20"/>
        </w:rPr>
        <w:t>Goodwill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represents the excess of the purchase price in a business combination over the fair value of net tangible and intangible assets acquired. There were no goodwill additions during the three months ended March 31, 2026. During the three months ended March 31, 2025, goodwill of $252.3 million was recorded in connection with the Ambry Acquisition and Deep 6 Acquisition. Measurement period adjustments of $3.3 million were recorded related to these acquisitions. Refer to Note 4. The Company recorded no impairment loss during the three months ended March 31, 2026 and 2025.</w:t>
      </w:r>
    </w:p>
    <w:p>
      <w:pPr>
        <w:pStyle w:val="TextBody"/>
        <w:bidi w:val="0"/>
        <w:spacing w:before="360" w:after="283"/>
        <w:jc w:val="left"/>
        <w:rPr>
          <w:rFonts w:ascii="Times New Roman" w:hAnsi="Times New Roman"/>
          <w:sz w:val="20"/>
        </w:rPr>
      </w:pPr>
      <w:r>
        <w:rPr>
          <w:rFonts w:ascii="Times New Roman" w:hAnsi="Times New Roman"/>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 assets are initially recorded at their acquisition cost, or fair value if acquired as part of a business combination and amortized over their estimated useful lives. Intangible assets consist of a website domain, customer relationships, trade names, developed technology acquired as part of a business combination, and licensed data acquired by entering into research collaboration agreements. In each license arrangement, the other party provides the Company with specified data, which is used for research and development purposes and may also be licensed to third parties. The asset represents the Company’s right to use these datasets. The Company also recognizes a liability for the associated minimum payments that are presented within Accrued data licensing fees on the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impairment charges recognized related to intangible assets during the three months ended March 31,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intangible assets as of March 31, 2026 and December 31,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1"/>
        <w:gridCol w:w="146"/>
        <w:gridCol w:w="211"/>
        <w:gridCol w:w="781"/>
        <w:gridCol w:w="146"/>
        <w:gridCol w:w="146"/>
        <w:gridCol w:w="293"/>
        <w:gridCol w:w="1090"/>
        <w:gridCol w:w="146"/>
        <w:gridCol w:w="146"/>
        <w:gridCol w:w="211"/>
        <w:gridCol w:w="781"/>
        <w:gridCol w:w="146"/>
        <w:gridCol w:w="146"/>
        <w:gridCol w:w="211"/>
        <w:gridCol w:w="781"/>
        <w:gridCol w:w="146"/>
        <w:gridCol w:w="146"/>
        <w:gridCol w:w="293"/>
        <w:gridCol w:w="1090"/>
        <w:gridCol w:w="146"/>
        <w:gridCol w:w="146"/>
        <w:gridCol w:w="211"/>
        <w:gridCol w:w="781"/>
        <w:gridCol w:w="194"/>
      </w:tblGrid>
      <w:tr>
        <w:trPr/>
        <w:tc>
          <w:tcPr>
            <w:tcW w:w="1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5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Gross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205,828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Licensed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Website domain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32,108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biotech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 -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349,202</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Amortization of intangible assets is recognized using the straight-line method over their estimated useful lives, which range from three to seven years. Amortization expense was $18.6 million and $12.5 million for the three months ended March 31, 2026 and 2025, respectively, and is recorded in Cost of revenues, Research and development, or Selling, general and administrative expense, depending on use of the asset. The weighted average life of the Company’s intangibles is approximately six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the estimated future amortization expense related to intangible assets is as follows (in thousands): </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3164" w:type="dxa"/>
        <w:jc w:val="left"/>
        <w:tblInd w:w="0" w:type="dxa"/>
        <w:tblLayout w:type="fixed"/>
        <w:tblCellMar>
          <w:top w:w="28" w:type="dxa"/>
          <w:left w:w="28" w:type="dxa"/>
          <w:bottom w:w="28" w:type="dxa"/>
          <w:right w:w="28" w:type="dxa"/>
        </w:tblCellMar>
      </w:tblPr>
      <w:tblGrid>
        <w:gridCol w:w="1981"/>
        <w:gridCol w:w="211"/>
        <w:gridCol w:w="78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4/1/2026 - 12/31/2026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330,568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Capitalized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Capitalized software consists of internal-use software costs, which are initially recorded at cost. The Company adopted ASU 2025-06 on January 1, 2026 on a prospective basis. Refer to Note 1 for further detail. Amortization of capitalized software is recognized using the straight-line method when placed into service over the estimated useful life of the software, which is typically three to five years. Amortization expense was immaterial for the three months ended March 31, 2026 and 2025, and is recorded in Selling, general and administrative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summarizes capitalized software, net as of March 31, 2026 and December 31, 2025 (in thousands): </w:t>
      </w:r>
    </w:p>
    <w:p>
      <w:pPr>
        <w:pStyle w:val="TextBody"/>
        <w:bidi w:val="0"/>
        <w:spacing w:before="120" w:after="283"/>
        <w:jc w:val="left"/>
        <w:rPr/>
      </w:pPr>
      <w:r>
        <w:rPr/>
        <w:t> </w:t>
      </w:r>
    </w:p>
    <w:tbl>
      <w:tblPr>
        <w:tblW w:w="6330" w:type="dxa"/>
        <w:jc w:val="left"/>
        <w:tblInd w:w="0" w:type="dxa"/>
        <w:tblLayout w:type="fixed"/>
        <w:tblCellMar>
          <w:top w:w="28" w:type="dxa"/>
          <w:left w:w="28" w:type="dxa"/>
          <w:bottom w:w="28" w:type="dxa"/>
          <w:right w:w="28" w:type="dxa"/>
        </w:tblCellMar>
      </w:tblPr>
      <w:tblGrid>
        <w:gridCol w:w="2701"/>
        <w:gridCol w:w="146"/>
        <w:gridCol w:w="340"/>
        <w:gridCol w:w="920"/>
        <w:gridCol w:w="166"/>
        <w:gridCol w:w="146"/>
        <w:gridCol w:w="403"/>
        <w:gridCol w:w="1097"/>
        <w:gridCol w:w="41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software,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impairment charges recognized related to capitalized software during the three months ended March 31, 2026 and 2025, respectively.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JOINT VENTURE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SB Tempus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18, 2024, the Company entered into a Joint Venture Agreement (the "Joint Venture Agreement") with SoftBank Group Corporation ("SoftBank") to form SB Tempus Corp. (the "Joint Venture" or "SB Tempus"). The Joint Venture closed on July 18, 2024, at which time the Company and SoftBank each contributed ¥15 billion ($95.2 million). Each party received 50% of SB Tempus's outstanding capital stock and board seats. SB Tempus will engage in certain business activities in Japan similar to those conducted by the Company in the United States, including performing clinical sequencing, organizing patient data, and building a real world data business in Japan.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SB Tempus is considered a VIE as the Company does not have sufficient equity at risk and is entitled to receive residual returns of SB Tempus through its equity stake. Decisions that significantly impact the economic performance of SB Tempus require the consent of both the Company and SoftBank. Therefore, the Company concluded that neither party is deemed to have predominant control over SB Tempus, and the Company is not considered to be the primary beneficiary.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maximum exposure to loss from SB Tempus is equal to the carrying value of the Company's investment. As of March 31, 2026, the carrying value of the investment in SB Tempus was $81.7 million. The Company's share of losses from SB Tempus are recorded in Losses from equity method investments.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entering into the Joint Venture Agreement, the Company entered into a Data License Agreement (the "Data License Agreement"), under which the Company granted SB Tempus a limited, non-exclusive, transferable license with a limited right to sublicense certain de-identified data for certain specified uses solely in Japan. Under the Data License Agreement, SB Tempus paid the Company ¥7.5 billion ($47.9 million) in exchange for the license to an initial records batch, which is recorded in deferred revenue and will be recognized into Data and applications revenue over the term of the license subscription which ended on March 31, 2026. For each of the three months ended March 31, 2026 and 2025, the Company recognized $6.2 million in Data and applications revenue related to the Data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on July 18, 2024, the Company and SB Tempus entered into an Intellectual Property Agreement (the "IP License Agreement") under which SB Tempus paid the Company an additional ¥7.5 billion ($47.9 million) in exchange for a non-exclusive license to certain of the Company's technologies for certain specified uses solely in Japan. The payment is recorded in deferred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and will be amortized into Other expense, net over three years, based on the estimated time for SB Tempus' systems and technologies to diverge from the Company's. For each of the three months ended March 31, 2026 and 2025, the Company recognized $4.0 million related to the IP License Agreement.</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sz w:val="20"/>
        </w:rPr>
      </w:pPr>
      <w:r>
        <w:rPr>
          <w:rFonts w:ascii="Times New Roman" w:hAnsi="Times New Roman"/>
          <w:b/>
          <w:color w:val="000000"/>
          <w:sz w:val="20"/>
        </w:rPr>
        <w:t>Purchase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three months ended March 31, 2026 and 2025, the Company recognized data licensing and cloud computing expenses of $12.0 million and $14.2 million, respectively, related to non-cancelable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future payments under these contractual obligations were as follows (in thousands): </w:t>
      </w:r>
    </w:p>
    <w:p>
      <w:pPr>
        <w:pStyle w:val="TextBody"/>
        <w:bidi w:val="0"/>
        <w:jc w:val="left"/>
        <w:rPr/>
      </w:pPr>
      <w:r>
        <w:rPr/>
        <w:t> </w:t>
      </w:r>
    </w:p>
    <w:tbl>
      <w:tblPr>
        <w:tblW w:w="5279" w:type="dxa"/>
        <w:jc w:val="left"/>
        <w:tblInd w:w="0" w:type="dxa"/>
        <w:tblLayout w:type="fixed"/>
        <w:tblCellMar>
          <w:top w:w="28" w:type="dxa"/>
          <w:left w:w="28" w:type="dxa"/>
          <w:bottom w:w="28" w:type="dxa"/>
          <w:right w:w="28" w:type="dxa"/>
        </w:tblCellMar>
      </w:tblPr>
      <w:tblGrid>
        <w:gridCol w:w="4096"/>
        <w:gridCol w:w="211"/>
        <w:gridCol w:w="781"/>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4/1/2026 - 12/31/2026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purchase obligations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Current portion of purchase obligations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purchase obligations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Legal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There were no material such matters as of and for the three months ended March 31, 2026 and 2025.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various non-cancelable operating lease agreements, primarily for the rent of office and lab space, with expirations at various dates through 2036. Lease cost is recognized on a straight-line basis over the lease term. Variable lease costs, which include items such as real estate taxes, common area maintenance, utilities and storage are not included in the calculation of the right-of-use assets and are recognized as incurred.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total lease costs for the three months ended March 31, 2026 and 2025 are as follows (in thousands): </w:t>
      </w:r>
    </w:p>
    <w:p>
      <w:pPr>
        <w:pStyle w:val="TextBody"/>
        <w:bidi w:val="0"/>
        <w:jc w:val="left"/>
        <w:rPr/>
      </w:pPr>
      <w:r>
        <w:rPr/>
        <w:t> </w:t>
      </w:r>
    </w:p>
    <w:tbl>
      <w:tblPr>
        <w:tblW w:w="4485" w:type="dxa"/>
        <w:jc w:val="left"/>
        <w:tblInd w:w="0" w:type="dxa"/>
        <w:tblLayout w:type="fixed"/>
        <w:tblCellMar>
          <w:top w:w="28" w:type="dxa"/>
          <w:left w:w="28" w:type="dxa"/>
          <w:bottom w:w="28" w:type="dxa"/>
          <w:right w:w="28" w:type="dxa"/>
        </w:tblCellMar>
      </w:tblPr>
      <w:tblGrid>
        <w:gridCol w:w="1876"/>
        <w:gridCol w:w="270"/>
        <w:gridCol w:w="730"/>
        <w:gridCol w:w="212"/>
        <w:gridCol w:w="186"/>
        <w:gridCol w:w="270"/>
        <w:gridCol w:w="730"/>
        <w:gridCol w:w="211"/>
      </w:tblGrid>
      <w:tr>
        <w:trPr/>
        <w:tc>
          <w:tcPr>
            <w:tcW w:w="18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Sublease income</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Lease term and discount rate as of March 31, 2026 and December 31, 2025 are as follows: </w:t>
      </w:r>
    </w:p>
    <w:tbl>
      <w:tblPr>
        <w:tblW w:w="7619" w:type="dxa"/>
        <w:jc w:val="left"/>
        <w:tblInd w:w="0" w:type="dxa"/>
        <w:tblLayout w:type="fixed"/>
        <w:tblCellMar>
          <w:top w:w="28" w:type="dxa"/>
          <w:left w:w="28" w:type="dxa"/>
          <w:bottom w:w="28" w:type="dxa"/>
          <w:right w:w="28" w:type="dxa"/>
        </w:tblCellMar>
      </w:tblPr>
      <w:tblGrid>
        <w:gridCol w:w="4126"/>
        <w:gridCol w:w="361"/>
        <w:gridCol w:w="899"/>
        <w:gridCol w:w="271"/>
        <w:gridCol w:w="146"/>
        <w:gridCol w:w="430"/>
        <w:gridCol w:w="1070"/>
        <w:gridCol w:w="316"/>
      </w:tblGrid>
      <w:tr>
        <w:trPr/>
        <w:tc>
          <w:tcPr>
            <w:tcW w:w="41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31, 2026, the future payments under operating leases for each of the next five years and thereafter are as follows (in thousands): </w:t>
      </w:r>
    </w:p>
    <w:tbl>
      <w:tblPr>
        <w:tblW w:w="5467" w:type="dxa"/>
        <w:jc w:val="left"/>
        <w:tblInd w:w="0" w:type="dxa"/>
        <w:tblLayout w:type="fixed"/>
        <w:tblCellMar>
          <w:top w:w="28" w:type="dxa"/>
          <w:left w:w="28" w:type="dxa"/>
          <w:bottom w:w="28" w:type="dxa"/>
          <w:right w:w="28" w:type="dxa"/>
        </w:tblCellMar>
      </w:tblPr>
      <w:tblGrid>
        <w:gridCol w:w="3811"/>
        <w:gridCol w:w="290"/>
        <w:gridCol w:w="1075"/>
        <w:gridCol w:w="291"/>
      </w:tblGrid>
      <w:tr>
        <w:trPr/>
        <w:tc>
          <w:tcPr>
            <w:tcW w:w="381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4/1/2026 - 12/31/2026</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106,508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representing interest</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net minimum lease payments</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85,362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lease liabilities</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lease liabilities</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the initial public offering of the Company’s Class A common stock (“IPO”), the Company had authorized two classes of common stock, voting and non-voting. In March 2021, the Company amended its certificate of incorporation to bifurcate the voting common stock into two classes, Class A common stock and Class B common stock. In connection with the IPO, a further amendment to the Company's certificate of incorporation became effective, which authorized 1,000,000,000 shares of Class A common stock, 5,500,000 shares of Class B common stock, and 20,000,000 shares of preferred stock. In connection with the Company's reincorporation from Delaware to Nevada, the Company adopted amended and restated articles of incorporation under Nevada law (the "Articles of Incorporation"), pursuant to which the Company's authorized capital stock remained unchanged.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Class A common stock and Class B common stock are collectively referred to as “Common Stock” throughout the notes to these unaudited interim condensed consolidated financial statements unless otherwise noted.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rights of the holders of Class A common stock and Class B common stock are identical, except with respect to voting. Each share of Class A common stock is entitled to one vote per share and each share of Class B common stock is entitled to thirty votes per share. No shares of non-voting common stock are authorized or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share of Class B common stock is convertible at any time at the option of the holder into one share of Class A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Articles of Incorporation, 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June 17, 2024;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transferred and converted into Class A common stock, the Class B common stock may not be reissued.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issues stock-based awards to its employees in the form of stock options, restricted stock units, performance stock units and restricted stock, all of which have the potential to increase the outstanding shares of common stock in the future (see Note 11, Stock-Based Compensation).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any liquidation, dissolution, or winding-up, the holders of Class A common stock and Class B common stock will be entitled to 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Paige will pay approximately $3.2 million to fulfill employee tax obligations related to the issuance, of which $3.0 million was paid in December 2025. The equivalent was withheld from those employees in the Company's Class A common stock. These shares were accounted for as treasury stock. The Company records treasury stock at cost.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the Company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(the “Sales Agreement”) with Morgan Stanley &amp; Co., LLC, Cantor Fitzgerald &amp; Co., TD Securities (USA), LLC and Allen &amp; Company LLC, as sales agents (collectively, the “Sales Agents”), pursuant to which the Company may offer and sell from time to time, at its option, shares of Class A common stock through the Sales Agents (the "ATM"). The issuance and sale, if any, of shares of Class A Common Stock under the Sales Agreement will be made pursuant to an automatically effective registration statement on Form S-3 and the related prospectus included therein (the “ATM Prospectus”), which was filed with the SEC on August 8, 2025. In accordance with the terms of the Sales Agreement, under the ATM Prospectus, the Company may offer and sell shares of Class A common stock having an aggregate offering price of up to $500.0 million from time to time through the Sales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 Company sold no shares under the ATM. In connection with the entry of the Sales Agreement and filing of the ATM Prospectus, the Company incurred $1.0 million of deferred offering costs to date, of which $0.8 million was reclassified as a reduction of paid-in-capital upon completion of the sales that occurred in 2025. The remaining deferred offering costs, which were incurred in anticipation of future ATM sales, are recorded in Prepaid and other assets on the consolidated balance sheet. As of March 31, 2026, approximately $300.0 million remained available for sale pursuant to the Sales Agreement and ATM Prospectus.</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STOCK-BASED COMPENSATION </w:t>
      </w:r>
    </w:p>
    <w:p>
      <w:pPr>
        <w:pStyle w:val="TextBody"/>
        <w:bidi w:val="0"/>
        <w:spacing w:before="120" w:after="283"/>
        <w:jc w:val="left"/>
        <w:rPr>
          <w:rFonts w:ascii="Times New Roman" w:hAnsi="Times New Roman"/>
          <w:sz w:val="20"/>
        </w:rPr>
      </w:pPr>
      <w:r>
        <w:rPr>
          <w:rFonts w:ascii="Times New Roman" w:hAnsi="Times New Roman"/>
          <w:b/>
          <w:color w:val="000000"/>
          <w:sz w:val="20"/>
        </w:rPr>
        <w:t>2015 Stock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2015, the Company adopted the Tempus AI, Inc. 2015 Stock Plan (the “2015 Plan”), which has been amended and restated numerous times to increase the aggregate shares authorized to be issued to employees, consultants, and directors of the Company. As of December 31, 2023, there were 28,115,750 shares authorized under the 2015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IPO, no further grants will be made under the 2015 Plan.</w:t>
      </w:r>
    </w:p>
    <w:p>
      <w:pPr>
        <w:pStyle w:val="TextBody"/>
        <w:bidi w:val="0"/>
        <w:spacing w:before="360" w:after="283"/>
        <w:jc w:val="left"/>
        <w:rPr>
          <w:rFonts w:ascii="Times New Roman" w:hAnsi="Times New Roman"/>
          <w:sz w:val="20"/>
        </w:rPr>
      </w:pPr>
      <w:r>
        <w:rPr>
          <w:rFonts w:ascii="Times New Roman" w:hAnsi="Times New Roman"/>
          <w:b/>
          <w:color w:val="000000"/>
          <w:sz w:val="20"/>
        </w:rPr>
        <w:t>2024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Company’s board of directors adopted, and in April 2024, the Company’s stockholders approved, the 2024 Equity Incentive Plan (the “2024 Plan”), which became effective in connection with the IPO in June 2024. The 2024 Plan provides for the grant of incentive stock options, (“ISOs”) nonstatutory stock options, stock appreciation rights, RSUs, restricted stock unit awards (“RSAs”), performance-based restricted stock awards (“PSUs”) and other awards. The original maximum number of shares of Class A common stock that may be issued under the 2024 Plan was 7,430,000 shares of the Company’s Class A common stock and automatically increases on January 1 of each year, beginning on January 1, 2025 and continuing through and including January 1, 2034 in an amount equal to either (i) a number of shares of the Company’s Class A common stock (the “Evergreen Increase”), such that the sum of (x) the remaining number of shares available under the 2024 Plan and (y) the Evergreen Increase is equal to 5% of the total number of shares of common stock (both Class A and Class B) outstanding on December 31 of the preceding calendar year, or (ii) a lesser number of shares determined by the Company’s board of directors prior to the applicable January 1. The maximum number of shares that may be issued upon the exercise of ISOs under the 2024 Plan is 22,290,000 shares. As of March 31, 2026, there were 8,405,137 shares of the Company's Class A common stock that may be issued under the 2024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granted 490,801 RSUs during the three months ended March 31, 2026. The Company granted 175,000 PSUs to a non-employee during the three months ended March 31, 2026. Refer to Note 16 for further detail regarding the PSU grant.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Stock-based compensation is classified as follows in the accompanying condensed consolidated statements of operations for the three months ended March 31, 2026 and 2025 (in thousands): </w:t>
      </w:r>
    </w:p>
    <w:p>
      <w:pPr>
        <w:pStyle w:val="TextBody"/>
        <w:bidi w:val="0"/>
        <w:spacing w:before="40" w:after="283"/>
        <w:jc w:val="left"/>
        <w:rPr/>
      </w:pPr>
      <w:r>
        <w:rPr/>
        <w:t> </w:t>
      </w:r>
    </w:p>
    <w:tbl>
      <w:tblPr>
        <w:tblW w:w="6036" w:type="dxa"/>
        <w:jc w:val="left"/>
        <w:tblInd w:w="0" w:type="dxa"/>
        <w:tblLayout w:type="fixed"/>
        <w:tblCellMar>
          <w:top w:w="28" w:type="dxa"/>
          <w:left w:w="28" w:type="dxa"/>
          <w:bottom w:w="28" w:type="dxa"/>
          <w:right w:w="28" w:type="dxa"/>
        </w:tblCellMar>
      </w:tblPr>
      <w:tblGrid>
        <w:gridCol w:w="3301"/>
        <w:gridCol w:w="146"/>
        <w:gridCol w:w="245"/>
        <w:gridCol w:w="785"/>
        <w:gridCol w:w="169"/>
        <w:gridCol w:w="169"/>
        <w:gridCol w:w="245"/>
        <w:gridCol w:w="785"/>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9,506</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DEBT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the Company completed a private offering (the "Offering") of $750.0 million aggregate principal amount of 0.75% Convertible Senior Notes due 2030 (the "Notes"). The Company's net proceeds from the Offering were $725.7 million, after deducting the initial purchasers' discount and commissions and offering expenses payable by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general unsecured obligations of the Company and will mature on July 15, 2030. Interest on the Notes will accrue at a rate of 0.75% per year from July 3, 2025 and will be payable semiannually in arrears on January 15 and July 15 of each year, beginning on January 15, 2026. The Notes are convertible at the option of the noteholders prior to April 15, 2030, only upon satisfaction of one or more of the following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color w:val="000000"/>
          <w:sz w:val="20"/>
        </w:rPr>
        <w:t>During any calendar quarter, commencing after the fiscal quarter ending on September 30, 2025, if the last reported sale price of the Company’s Class A common stock, for at least 20</w:t>
      </w:r>
      <w:r>
        <w:rPr>
          <w:color w:val="000000"/>
        </w:rPr>
        <w:t xml:space="preserve"> </w:t>
      </w:r>
      <w:r>
        <w:rPr>
          <w:rFonts w:ascii="Times New Roman" w:hAnsi="Times New Roman"/>
          <w:color w:val="000000"/>
          <w:sz w:val="20"/>
        </w:rPr>
        <w:t>trading days (whether or not consecutive) during a period of 30</w:t>
      </w:r>
      <w:r>
        <w:rPr>
          <w:color w:val="000000"/>
        </w:rPr>
        <w:t xml:space="preserve"> </w:t>
      </w:r>
      <w:r>
        <w:rPr>
          <w:rFonts w:ascii="Times New Roman" w:hAnsi="Times New Roman"/>
          <w:color w:val="000000"/>
          <w:sz w:val="20"/>
        </w:rPr>
        <w:t xml:space="preserve">consecutive trading days ending on the last trading day of the immediately preceding calendar quarter is greater than or equal to 130% of the conversion price for the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During the five</w:t>
      </w:r>
      <w:r>
        <w:rPr>
          <w:color w:val="000000"/>
        </w:rPr>
        <w:t xml:space="preserve"> </w:t>
      </w:r>
      <w:r>
        <w:rPr>
          <w:rFonts w:ascii="Times New Roman" w:hAnsi="Times New Roman"/>
          <w:color w:val="000000"/>
          <w:sz w:val="20"/>
        </w:rPr>
        <w:t>business day period after any ten</w:t>
      </w:r>
      <w:r>
        <w:rPr>
          <w:color w:val="000000"/>
        </w:rPr>
        <w:t xml:space="preserve"> </w:t>
      </w:r>
      <w:r>
        <w:rPr>
          <w:rFonts w:ascii="Times New Roman" w:hAnsi="Times New Roman"/>
          <w:color w:val="000000"/>
          <w:sz w:val="20"/>
        </w:rPr>
        <w:t>consecutive trading day period (the “measurement period”) in which the trading price per $1,000</w:t>
      </w:r>
      <w:r>
        <w:rPr>
          <w:color w:val="000000"/>
        </w:rPr>
        <w:t xml:space="preserve"> </w:t>
      </w:r>
      <w:r>
        <w:rPr>
          <w:rFonts w:ascii="Times New Roman" w:hAnsi="Times New Roman"/>
          <w:color w:val="000000"/>
          <w:sz w:val="20"/>
        </w:rPr>
        <w:t xml:space="preserve">principal amount of the Notes for each trading day of the measurement period was less than 98% of the product of the last reported sale price of the Company's Class A common stock and the conversion rate for the Notes on each such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Company calls the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April 15, 2030, until the close of business on the second scheduled trading day immediately preceding the maturity date, holders may convert all or any portion of their Notes at their option at any time, regardless of the foregoing conditions. Upon conversion, the Company will pay or deliver cash, shares of the Company's Class A common stock or a combination of cash and shares of the Company's Class A common stock, at the Company’s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Notes is 11.8778 shares of the Company's Class A common stock per $1,000 principal amount of Notes, which is equivalent to an initial conversion price of approximately $84.19 per share of the Company's Class A common stock. The conversion rate is subject to adjustment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July 20, 2028, the Company may redeem for cash all or any portion of the Notes if the last reported sale price of the Company's Class A common stock has been at least 130% of the conversion price for the Notes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If the Company redeems less than all the outstanding Notes, at least $100.0 million aggregate principal amount of Notes must be outstanding and not subject to redemption. No sinking fund is provided for the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Company undergoes a fundamental change (as defined in the indenture governing the Notes), then, subject to certain conditions and exceptions, noteholders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purchasers' discount of $23.5 million and deferred financing fees of $0.8 million on the Notes are amortized over the term of the underlying debt and unamortized amounts have been offset against the Notes, net in the condensed consolidated balance sheets. As of March 31, 2026, the unamortized initial purchasers' discount and deferred financing fees on the Notes was $20.0 million and $0.7 million, respectively. As of December 31, 2025, the unamortized initial purchasers' discount and deferred financing fees on the Notes was $21.2 million and $0.7 million, respectively. Amortization of the initial purchasers' discount and deferred financing fees are reflected in interest expense on the condensed consolidated statements of operations. Amortization of the initial purchasers' discount totaled $1.2 million for the three months ended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made $3.0 million in interest payments on the Notes. The Company recognized interest expense of $1.4 million related to the Notes during the three months ended March 31, 2026, which represented an effective interest rate of 0.7%. Accrued interest on the Notes is recorded within Accrued expenses on the condensed consolidated balance sheet.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Capped Call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Notes on June 30, 2025, and the exercise in full by the initial purchasers of their option to purchase additional Notes on July 1, 2025, the Company entered into capped call transactions (the "Capped Call"), effective as of July 3, 2025, with one of the initial purchasers and certain other financial institutions. The Capped Call is expected generally to reduce the potential dilution to the Company's Class A common stock upon any conversion of the Notes and/or offset any cash payments the Company is required to make in excess of the principal amount of converted Notes, with such reduction and/or offset subject to a cap based on a cap price initially equal to $111.1950 per share, which is subject to certain adjustments under the terms of the Capped Call. The Capped Calls have an initial strike price of approximately $84.19 per share, subject to certain adjustments, which corresponds to the initial conversion price of the Notes. The Capped Calls cover, subject to anti-dilution adjustments, approximately 8,908,350 shares of the Company's Class A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Capped Call qualifies for a scope exception from derivative accounting for instruments that are both indexed to the issuer's own stock and classified in stockholders' equity. The $41.8 million incurred to purchase the Capped Call was recorded as a reduction to additional paid-in capital in the condensed consolidated balance sheets, and will not be remeasured as long as they continue to meet the conditions for equity classification.</w:t>
      </w:r>
    </w:p>
    <w:p>
      <w:pPr>
        <w:pStyle w:val="TextBody"/>
        <w:bidi w:val="0"/>
        <w:spacing w:before="360" w:after="283"/>
        <w:jc w:val="left"/>
        <w:rPr>
          <w:rFonts w:ascii="Times New Roman" w:hAnsi="Times New Roman"/>
          <w:sz w:val="20"/>
        </w:rPr>
      </w:pPr>
      <w:r>
        <w:rPr>
          <w:rFonts w:ascii="Times New Roman" w:hAnsi="Times New Roman"/>
          <w:i/>
          <w:color w:val="000000"/>
          <w:sz w:val="20"/>
        </w:rPr>
        <w:t>Credit Facilities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22, 2022, the Company entered into a Credit Agreement (the “Original Credit Agreement”) with Ares Capital Corporation (“Ares”) for a senior secured loan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3, 2025, the Company entered into a Third Amendment Agreement (the "Third Amendment Agreement") which, among other things, provided for an additional $200.0 million tranche of senior secured term loans (the “Additional Term Loan Facility”, and together with the Term Loan Facility, the “Term Loans”) and $100.0 million in priority revolving loan commitments (the “Revolving Credit Facility”, and loans thereunder, the “Revolving Loans”). The Company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30, 2025, in conjunction with the Offering, the Company entered into a Fourth Amendment to the Credit Agreement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2025, the Company repaid in full the principal amount of the Term Loan Facility for $276.9 million, leaving only the Additional Term Loan Facility and Revolving Credit Facility as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 Loans and Revolving Credit Facility (together with the Term Loan Facilities, the “Credit Facilities”) are subject to quarterly interest payments for Base Rate loans and at the end of the applicable interest rate period for Term Secured Overnight Financing Rate (“SOFR”) loans.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Term Loans are subject to quarterly interest payments, which bears interest based on Term SOFR. Additionally, the Company may make either a paid-in-kind ("PIK") election or a Cash election. Pursuant to the Original Credit Agreement, as amended by the Fourth Amendment Agreement, or the Credit Agreement, interest </w:t>
      </w:r>
      <w:r>
        <w:rPr>
          <w:rFonts w:ascii="Times New Roman" w:hAnsi="Times New Roman"/>
          <w:color w:val="231F20"/>
          <w:sz w:val="20"/>
        </w:rPr>
        <w:t xml:space="preserve">on the Term Loans accrues at a per annum rate as follows: (i) for any interest period for which the Company elects to pay interest in cash, the cash interest rate for Term SOFR borrowings will be Term SOFR </w:t>
      </w:r>
      <w:r>
        <w:rPr>
          <w:rFonts w:ascii="Times New Roman" w:hAnsi="Times New Roman"/>
          <w:i/>
          <w:color w:val="231F20"/>
          <w:sz w:val="20"/>
        </w:rPr>
        <w:t>plus</w:t>
      </w:r>
      <w:r>
        <w:rPr>
          <w:rFonts w:ascii="Times New Roman" w:hAnsi="Times New Roman"/>
          <w:color w:val="231F20"/>
          <w:sz w:val="20"/>
        </w:rPr>
        <w:t xml:space="preserve"> a margin ranging from 6.75% to 7.75%, respectively, and (ii) for any interest period for which the Company elects to pay interest in kind, the cash interest rate for Term SOFR borrowings will be Term SOFR </w:t>
      </w:r>
      <w:r>
        <w:rPr>
          <w:rFonts w:ascii="Times New Roman" w:hAnsi="Times New Roman"/>
          <w:i/>
          <w:color w:val="231F20"/>
          <w:sz w:val="20"/>
        </w:rPr>
        <w:t>plus</w:t>
      </w:r>
      <w:r>
        <w:rPr>
          <w:rFonts w:ascii="Times New Roman" w:hAnsi="Times New Roman"/>
          <w:color w:val="231F20"/>
          <w:sz w:val="20"/>
        </w:rPr>
        <w:t xml:space="preserve"> a margin of 5%, respectively, and the PIK interest rate will be 3.25%. The applicable margin for any interest period for which the Company elects to pay interest in cash will be based on a consolidated first lien leverage ratio.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Interest on the Revolving Loans accrues interest at a per annum rate equal to Term SOFR </w:t>
      </w:r>
      <w:r>
        <w:rPr>
          <w:rFonts w:ascii="Times New Roman" w:hAnsi="Times New Roman"/>
          <w:i/>
          <w:color w:val="000000"/>
          <w:sz w:val="20"/>
        </w:rPr>
        <w:t>plus</w:t>
      </w:r>
      <w:r>
        <w:rPr>
          <w:rFonts w:ascii="Times New Roman" w:hAnsi="Times New Roman"/>
          <w:color w:val="000000"/>
          <w:sz w:val="20"/>
        </w:rPr>
        <w:t xml:space="preserve">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(the “Minimum Revolving Interest Amount”). A commitment fee will accrue on the unused amount of the Revolving Credit Facility at a per annum rate of 0.50%; provided, however, that no such fee shall accrue to the extent the Company is being charged the Minimum Revolving Interest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 month period ending on the last day of each fiscal quarter. Minimum consolidated revenues shall equal $1.1 billion for the fiscal quarters ending March 31, 2026 through December 31, 2026. The Credit Agreement also contains a maximum first lien leverage from and after the fiscal quarter ending March 31, 2027. The Company was in compliance with all covenants in the Credit Agreement as of March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 Credit Agreement are guaranteed by certain of its subsidiaries and secured by substantially all of the Company’s and such subsidiaries’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original issue discount of $10.5 million and deferred financing fees of $2.6 million on the Term Loans are amortized over the term of the underlying debt and unamortized amounts have been offset against long-term debt in the condensed consolidated balance sheets. As of March 31, 2026 and December 31, 2025, the unamortized original issue discount was $3.1 million and $3.3 million, respectively. As a result of the repayment of the principal amount of the Term Loan Facility in July 2025, the deferred financing fees is $0 as of March 31, 2026 and December 31, 2025. The original issue discount of $2.0 million and deferred financing fees of $1.0 million on the Revolving Credit Facility are amortized over the term of the underlying debt and unamortized amounts are recorded in Investments and other assets in the condensed consolidated balance sheets. As of March 31, 2026, the unamortized original issue discount and deferred financing fees on the Revolving Credit Facility was $1.5 million and $0.7 million, respectively. As of December 31, 2025, the unamortized original issue discount and deferred financing fees on the Revolving Credit Facility was $1.6 million and $0.8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2026, the Company made $6.3 million in interest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expense and the effective interest rate for the three months ended March 31, 2026 and 2025 are as follows (in thousands): </w:t>
      </w:r>
    </w:p>
    <w:p>
      <w:pPr>
        <w:pStyle w:val="TextBody"/>
        <w:bidi w:val="0"/>
        <w:spacing w:before="40" w:after="283"/>
        <w:jc w:val="left"/>
        <w:rPr/>
      </w:pPr>
      <w:r>
        <w:rPr/>
        <w:t> </w:t>
      </w:r>
    </w:p>
    <w:tbl>
      <w:tblPr>
        <w:tblW w:w="5381" w:type="dxa"/>
        <w:jc w:val="left"/>
        <w:tblInd w:w="0" w:type="dxa"/>
        <w:tblLayout w:type="fixed"/>
        <w:tblCellMar>
          <w:top w:w="28" w:type="dxa"/>
          <w:left w:w="28" w:type="dxa"/>
          <w:bottom w:w="28" w:type="dxa"/>
          <w:right w:w="28" w:type="dxa"/>
        </w:tblCellMar>
      </w:tblPr>
      <w:tblGrid>
        <w:gridCol w:w="2321"/>
        <w:gridCol w:w="246"/>
        <w:gridCol w:w="242"/>
        <w:gridCol w:w="657"/>
        <w:gridCol w:w="311"/>
        <w:gridCol w:w="168"/>
        <w:gridCol w:w="242"/>
        <w:gridCol w:w="778"/>
        <w:gridCol w:w="416"/>
      </w:tblGrid>
      <w:tr>
        <w:trPr/>
        <w:tc>
          <w:tcPr>
            <w:tcW w:w="2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12,527</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Credit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 Loans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Credit Facility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the Company amended its convertible promissory note (the "Second Amended Note") with Google LLC ("Google"), originally entered into on June 22, 2020 (the "Initial Note"), and subsequently amended on November 19, 2020 (the "Amended Note"). The amendment extended the maturity date of the Second Amended Note from March 22, 2026 to December 31, 2030. In addition, the amendment provides the Company the option upon maturity to repay up to 50% of the outstanding principal and accrued interest balance (the "Outstanding Amount") in shares of the Company's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amendment was accounted for as a modification. 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interest expense of $3.5 million during both the three months ended March 31, 2026 and 2025. Accrued interest on the Second Amended Note is recorded as Interest Payable within noncurrent liabilities on the condensed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outstanding shares of Common Stock each period. The Company’s Class A common stock and Class B common stock share equally in distributed and undistributed earnings; therefore, no allocation to participating securities or dilutive securities is performed. Diluted net loss per share is calculated by giving effect to all potential dilutive Common Stock equivalents, which includes stock options, RSUs, RSAs, PSUs, and preferred stock. The Company used the if-converted method to calculate diluted EPS. The Company excluded any potentially dilutive common stock equivalents from the calculation of diluted net loss per share if their effect is anti-dilutive. The Company had net losses in the three months ended March 31, 2026 and 2025. As disclosed in Note 15, the Company held back shares in connection with certain acquisitions. The holdback liability resulted in a dilutive impact to net loss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calculation for basic and diluted net loss per share (in thousands, except share and per share data): </w:t>
      </w:r>
    </w:p>
    <w:p>
      <w:pPr>
        <w:pStyle w:val="TextBody"/>
        <w:bidi w:val="0"/>
        <w:jc w:val="left"/>
        <w:rPr/>
      </w:pPr>
      <w:r>
        <w:rPr/>
        <w:t> </w:t>
      </w:r>
    </w:p>
    <w:tbl>
      <w:tblPr>
        <w:tblW w:w="8442" w:type="dxa"/>
        <w:jc w:val="left"/>
        <w:tblInd w:w="0" w:type="dxa"/>
        <w:tblLayout w:type="fixed"/>
        <w:tblCellMar>
          <w:top w:w="28" w:type="dxa"/>
          <w:left w:w="28" w:type="dxa"/>
          <w:bottom w:w="28" w:type="dxa"/>
          <w:right w:w="28" w:type="dxa"/>
        </w:tblCellMar>
      </w:tblPr>
      <w:tblGrid>
        <w:gridCol w:w="5386"/>
        <w:gridCol w:w="146"/>
        <w:gridCol w:w="215"/>
        <w:gridCol w:w="857"/>
        <w:gridCol w:w="169"/>
        <w:gridCol w:w="148"/>
        <w:gridCol w:w="215"/>
        <w:gridCol w:w="795"/>
        <w:gridCol w:w="51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Plus: Gain due to a change in fair value for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(127,086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178,880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Plus: Dilutive effect of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178,964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170,506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outstanding shares of common stock equivalents were excluded from the calculation of diluted net loss per share for each period, as the impact of including them would have been anti-dilutive.</w:t>
      </w:r>
    </w:p>
    <w:p>
      <w:pPr>
        <w:pStyle w:val="TextBody"/>
        <w:bidi w:val="0"/>
        <w:jc w:val="left"/>
        <w:rPr/>
      </w:pPr>
      <w:r>
        <w:rPr/>
        <w:t> </w:t>
      </w:r>
    </w:p>
    <w:tbl>
      <w:tblPr>
        <w:tblW w:w="6534" w:type="dxa"/>
        <w:jc w:val="left"/>
        <w:tblInd w:w="0" w:type="dxa"/>
        <w:tblLayout w:type="fixed"/>
        <w:tblCellMar>
          <w:top w:w="28" w:type="dxa"/>
          <w:left w:w="28" w:type="dxa"/>
          <w:bottom w:w="28" w:type="dxa"/>
          <w:right w:w="28" w:type="dxa"/>
        </w:tblCellMar>
      </w:tblPr>
      <w:tblGrid>
        <w:gridCol w:w="3646"/>
        <w:gridCol w:w="146"/>
        <w:gridCol w:w="146"/>
        <w:gridCol w:w="1036"/>
        <w:gridCol w:w="146"/>
        <w:gridCol w:w="146"/>
        <w:gridCol w:w="146"/>
        <w:gridCol w:w="931"/>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Deep 6 holdback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5,761,861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Shares issuable upon conversion of Notes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8,908,350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potentially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17,072,264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5,805,292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As disclosed in Note 12, the Company entered into the Capped Call in connection with the pricing of the Notes. The Capped Call is generally expected to reduce the potential dilution to the Company’s Class A common stock upon conversion of the Notes. As such, the impact of the Capped Calls was excluded from the calculation as the effect of the Capped Calls if issued upon conversion of the Notes, would have been anti-dilutive.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disclosed in Note 12, the Second Amended Note may be fully converted to shares upon maturity at the holder’s option, or up to 50% may be converted to shares upon maturity at the Company's option. The number of shares to be issued is based on the amount outstanding at the maturity date, which is subject to reduction based on services used by us prior to the maturity date. As such, these are treated as contingently issuable shares and will be excluded from potential dilutive impact. </w:t>
      </w:r>
      <w:r>
        <w:rPr>
          <w:rFonts w:ascii="Times New Roman" w:hAnsi="Times New Roman"/>
          <w:color w:val="000000"/>
          <w:sz w:val="24"/>
        </w:rPr>
        <w:br/>
      </w:r>
      <w:r>
        <w:rPr>
          <w:rFonts w:ascii="Times New Roman" w:hAnsi="Times New Roman"/>
          <w:color w:val="000000"/>
          <w:sz w:val="20"/>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2026, the Company recorded an income tax benefit of $0.1 million. The effective tax rate for the three months ended March 31, 2026 differs from the statutory federal income tax rate primarily due to the Company's full valuation allowance position in the US which prevents the Company from benefiting current year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Company’s history of losses in the United States, a full valuation allowance on all other deferred tax assets, including net operating loss carryforwards and other book versus tax differences, was maintained.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continue to evaluate the realizability of its deferred tax assets on a quarterly basis and adjust the valuation allowance as necessary based on the weight of available evidence.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March 31, 2025, the Company recorded an income tax benefit of $46.2 million. This benefit was the result of a discrete tax benefit of $46.2 million recorded from the release of a portion of the valuation allowance attributable to a preliminary estimate of $46.2 million net deferred tax liabilities recorded on Ambry's opening balance sheet which offset certain net deferred tax assets of the Company. The effective tax rate for the three months ended March 31, 2025 differs from the statutory federal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rate primarily due to the discrete tax benefit recognized from the reduction of the valuation allowance as a result of the Ambry Acquisition during the quarter.</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 AND MARKETABLE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financial instruments, including cash and cash equivalents, accounts receivable, minimum royalties, accounts payable, and accrued expenses approximate fair value due to the short maturity of these instruments. The carrying amounts of the related party receivable and minimum royalties approximate fair value because the interest rates used fluctuate with market interest rates or the fixed rates are based on current rates offered to the Company for debt with similar terms and maturities.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valuation methodologies used for the Company’s assets and liabilities measured at fair value and their classification in the valuation hierarchy are summarized below: </w:t>
      </w:r>
    </w:p>
    <w:p>
      <w:pPr>
        <w:pStyle w:val="TextBody"/>
        <w:bidi w:val="0"/>
        <w:spacing w:before="240" w:after="283"/>
        <w:jc w:val="left"/>
        <w:rPr>
          <w:rFonts w:ascii="Times New Roman" w:hAnsi="Times New Roman"/>
          <w:sz w:val="20"/>
        </w:rPr>
      </w:pPr>
      <w:r>
        <w:rPr>
          <w:rFonts w:ascii="Times New Roman" w:hAnsi="Times New Roman"/>
          <w:i/>
          <w:color w:val="000000"/>
          <w:sz w:val="20"/>
        </w:rPr>
        <w:t>Marketable equity securities</w:t>
      </w:r>
      <w:r>
        <w:rPr>
          <w:rFonts w:ascii="Times New Roman" w:hAnsi="Times New Roman"/>
          <w:color w:val="000000"/>
          <w:sz w:val="20"/>
        </w:rPr>
        <w:t xml:space="preserve">—The Company holds marketable equity securities, all of which are publicly traded shares of common stock, which have quoted prices in active markets and are classified as short-term. The securities are measured at fair value each reporting period. The Company classifies the marketable equity securities as Level 1 as they are valued using quoted market prices at each reporting period. </w:t>
      </w:r>
    </w:p>
    <w:p>
      <w:pPr>
        <w:pStyle w:val="TextBody"/>
        <w:bidi w:val="0"/>
        <w:spacing w:before="240" w:after="283"/>
        <w:jc w:val="left"/>
        <w:rPr>
          <w:rFonts w:ascii="Times New Roman" w:hAnsi="Times New Roman"/>
          <w:sz w:val="20"/>
        </w:rPr>
      </w:pPr>
      <w:r>
        <w:rPr>
          <w:rFonts w:ascii="Times New Roman" w:hAnsi="Times New Roman"/>
          <w:i/>
          <w:color w:val="000000"/>
          <w:sz w:val="20"/>
        </w:rPr>
        <w:t>Holdback liability</w:t>
      </w:r>
      <w:r>
        <w:rPr>
          <w:rFonts w:ascii="Times New Roman" w:hAnsi="Times New Roman"/>
          <w:color w:val="000000"/>
          <w:sz w:val="20"/>
        </w:rPr>
        <w:t>—The Company held back 13,614 shares in connection with the Deep 6 acquisition and 70,792 shares in connection with the Paige acquisition. See Note 4, Business Combinations for further discussion of those acquisitions. For all holdback liabilities, the number of shares are fixed at the acquisition price as of the date of the acquisition.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Holdback liabilities are measured at fair value each reporting period, with the acquisition date fair value included as part of the consideration transferred in the related business combination and subsequent changes in fair value recorded in earnings within operating expense on the condensed consolidated statements of operations and comprehensive loss. The Company classified the holdback liability as Level 1 as the shares are valued using a quoted market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Credit Facilities, the Second Amended Note, and the Notes were not recorded at fair value. The fair values of the Credit Facilities, the Second Amended Note, and the Notes approximated their carrying values as of March 31, 2026 and December 31, 2025. Estimates of the fair values of the Credit Facilities, the Second Amended Note, and the Notes are classified as Level 3 due to the lack of relevant observable market data over fair value inputs.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summarize assets and liabilities that are measured at fair value on a recurring basis as of March 31, 2026 and December 31, 2025 (in thousands): </w:t>
      </w:r>
    </w:p>
    <w:p>
      <w:pPr>
        <w:pStyle w:val="TextBody"/>
        <w:bidi w:val="0"/>
        <w:jc w:val="left"/>
        <w:rPr/>
      </w:pPr>
      <w:r>
        <w:rPr/>
        <w:t> </w:t>
      </w:r>
    </w:p>
    <w:tbl>
      <w:tblPr>
        <w:tblW w:w="8922" w:type="dxa"/>
        <w:jc w:val="left"/>
        <w:tblInd w:w="0" w:type="dxa"/>
        <w:tblLayout w:type="fixed"/>
        <w:tblCellMar>
          <w:top w:w="28" w:type="dxa"/>
          <w:left w:w="28" w:type="dxa"/>
          <w:bottom w:w="28" w:type="dxa"/>
          <w:right w:w="28" w:type="dxa"/>
        </w:tblCellMar>
      </w:tblPr>
      <w:tblGrid>
        <w:gridCol w:w="2631"/>
        <w:gridCol w:w="146"/>
        <w:gridCol w:w="268"/>
        <w:gridCol w:w="992"/>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117,902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162" w:type="dxa"/>
        <w:jc w:val="left"/>
        <w:tblInd w:w="0" w:type="dxa"/>
        <w:tblLayout w:type="fixed"/>
        <w:tblCellMar>
          <w:top w:w="28" w:type="dxa"/>
          <w:left w:w="28" w:type="dxa"/>
          <w:bottom w:w="28" w:type="dxa"/>
          <w:right w:w="28" w:type="dxa"/>
        </w:tblCellMar>
      </w:tblPr>
      <w:tblGrid>
        <w:gridCol w:w="2631"/>
        <w:gridCol w:w="146"/>
        <w:gridCol w:w="319"/>
        <w:gridCol w:w="1181"/>
        <w:gridCol w:w="146"/>
        <w:gridCol w:w="146"/>
        <w:gridCol w:w="291"/>
        <w:gridCol w:w="1080"/>
        <w:gridCol w:w="201"/>
        <w:gridCol w:w="201"/>
        <w:gridCol w:w="352"/>
        <w:gridCol w:w="579"/>
        <w:gridCol w:w="201"/>
        <w:gridCol w:w="201"/>
        <w:gridCol w:w="415"/>
        <w:gridCol w:w="681"/>
        <w:gridCol w:w="3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 at Reporting Date Using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w:t>
              <w:br/>
              <w:t>in Active</w:t>
              <w:br/>
              <w:t>Market for</w:t>
              <w:br/>
              <w:t>Identical</w:t>
              <w:br/>
              <w:t>Assets</w:t>
              <w:br/>
              <w:t>(Level 1)</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150,211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Holdback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March 31, 2026 and 2025, the Company did not recognize any gain or loss due to a change in fair value for assets and liabilities measured at fair value using significant unobservable inputs (Level 3).</w:t>
      </w:r>
    </w:p>
    <w:p>
      <w:pPr>
        <w:pStyle w:val="TextBody"/>
        <w:bidi w:val="0"/>
        <w:spacing w:before="360" w:after="283"/>
        <w:jc w:val="left"/>
        <w:rPr>
          <w:rFonts w:ascii="Times New Roman" w:hAnsi="Times New Roman"/>
          <w:sz w:val="20"/>
        </w:rPr>
      </w:pPr>
      <w:r>
        <w:rPr>
          <w:rFonts w:ascii="Times New Roman" w:hAnsi="Times New Roman"/>
          <w:b/>
          <w:color w:val="000000"/>
          <w:sz w:val="20"/>
        </w:rPr>
        <w:t>Marketable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holds marketable equity securities, which are all publicly traded shares of Recursion Pharmaceuticals, Inc. ("Recursion") Class A common stock and Personalis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Recursion shares of Class A common stock were received as payment of accounts receivable. During the three months ended March 31, 2026, the Company did not sell any shares of Recursion Class A common stock. During the three months ended March 31, 2025, the Company sold 737,466 shares of Recursion Class A common stock at a weighted average price of $11.28 per share for aggregate proceeds of $8.3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Company's obligations to Personalis under the Commercialization and Reference Laboratory Agreement entered into with Personalis in November 2023, Personalis issued warrants to the Company to purchase up to an aggregate of 9,218,800 shares of Personalis' common stock, up to 4,609,400 of which were exercisable for cash at any time prior to December 31, 2024 at an exercise price of $1.50 per share, and up to 4,609,400 of which were exercisable for cash at any time prior to December 31, 2025 at an exercise price of $2.50 per share. In August 2024, the Company exercised the warrants in full at their respective exercise prices for an aggregate of 9,218,800 shares of Personalis common stock at an aggregate purchase price of $18.4 million. Concurrently, the Company entered into an Investment Agreement with Personalis, pursuant to which the Company purchased an additional 3,500,000 shares of Personalis common stock for $17.7 million. The Company owns less than 20% of Personalis' outstanding common stock and has no significant influence or control over Personalis.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fair value of marketable equity securities are recorded in earnings within Other expense, net on the condensed consolidated statement of operations and comprehensive loss. The following summarizes the portion of unrealized gains and losses recorded during the three months ended March 31, 2026 and 2025 that relate to marketable equity securities held as of March 31, 2026 and 2025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9"/>
        <w:gridCol w:w="346"/>
        <w:gridCol w:w="236"/>
        <w:gridCol w:w="758"/>
        <w:gridCol w:w="163"/>
        <w:gridCol w:w="163"/>
        <w:gridCol w:w="236"/>
        <w:gridCol w:w="758"/>
        <w:gridCol w:w="416"/>
      </w:tblGrid>
      <w:tr>
        <w:trPr/>
        <w:tc>
          <w:tcPr>
            <w:tcW w:w="71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7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during the period on marketable equity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31,805</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gain recognized during the period on marketable equity securities sold during the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recognized during the period on marketable equity securities still held at the reporting date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32,309</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35,069</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left"/>
        <w:rPr>
          <w:rFonts w:ascii="Times New Roman" w:hAnsi="Times New Roman"/>
          <w:sz w:val="20"/>
        </w:rPr>
      </w:pPr>
      <w:r>
        <w:rPr>
          <w:rFonts w:ascii="Times New Roman" w:hAnsi="Times New Roman"/>
          <w:i/>
          <w:color w:val="000000"/>
          <w:sz w:val="20"/>
        </w:rPr>
        <w:t>Strategic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Founder and Chief Executive Officer is a co-founder and serves as Executive Chairman of the board of Pathos AI, Inc. ("Pathos"). On August 19, 2021, the Company entered into a Master Agreement with Pathos, which was subsequently amended on February 12, 2024 (as amended, the "Amended and Restated Master Agreement"), for the purpose of furthering the commercialization efforts of drug development. In connection therewith, the Company received a warrant to purchase 23,456,790 shares, or approximately 15% of the current outstanding equity in Pathos, for $0.0125 per share. The warrant will automatically exercise upon a change of control (as defined therein) or upon an IPO of Pathos’ securities. The Company also has an optional exercise election window during the last 10 days of the 20 year term of the warrant agreement. The Amended and Restated Master Agreement provides for an initial term of five years, measured from February 2024, with a subsequent five-year renewal provision unless the agreement is terminated. Either party may terminate the agreement after the initial five-year term by prior written notice to the other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17, 2025, the Company entered into an Order Form (the "Order Form") regarding both the development of a foundation large multimodal model in the field of oncology (the “Foundation Model”) and the licensing of certain de-identified multi-modal data to assist in the development of the Foundation Model, with Pathos under the Amended and Restated Master Agreement (the Amended and Restated Master Agreement and the Order Form collectively referred to herein as the “Pathos Master Agreement”). Pursuant to the Pathos Master Agreement, (i) Pathos will be responsible for Foundation Model development activities under the Statement of Work with AstraZeneca under the Master Services Agreement, dated November 17, 2021 between the Company and AstraZeneca, as amended form time to time (the Master Services Agreement and the Statement of Work are collectively referred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herein as the “MSA”), (ii) the Company will license Pathos a comprehensive de-identified multi-modal dataset for the sole purpose of assisting in the development and training of the Foundation Model under the MSA, (iii) Pathos will pay the Company data license fees of $200 million over a three-year period, including an upfront payment of $50 million paid as of April 2025, (iv) the Company will provide a secure cloud environment to host the Foundation Model, for which Pathos will pay the Company the first $60 million of cloud compute costs, (v) the Company will receive a license to use the Foundation Model upon its completion (with certain field restrictions and the right of sublicense to AstraZeneca), and (vi) in consideration of Pathos’ commitments under the Pathos Master Agreement, the Company will pay Pathos $35 million, of which $25 million has been paid to date. Pathos, in its sole discretion, may pay up to 50% of the data license fees owed to the Company in shares of Pathos’ Series D Preferred Stock.</w:t>
      </w:r>
    </w:p>
    <w:p>
      <w:pPr>
        <w:pStyle w:val="TextBody"/>
        <w:bidi w:val="0"/>
        <w:spacing w:before="360" w:after="283"/>
        <w:jc w:val="left"/>
        <w:rPr>
          <w:rFonts w:ascii="Times New Roman" w:hAnsi="Times New Roman"/>
          <w:sz w:val="20"/>
        </w:rPr>
      </w:pPr>
      <w:r>
        <w:rPr>
          <w:rFonts w:ascii="Times New Roman" w:hAnsi="Times New Roman"/>
          <w:i/>
          <w:color w:val="000000"/>
          <w:sz w:val="20"/>
        </w:rPr>
        <w:t>Consulting Arrangement and Equity Grant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16, 2026, the Company entered into an Independent Contractor Agreement (the “Huerga Contractor Agreement”) with Iker Huerga, Chief Executive Officer of Pathos, pursuant to which Mr. Huerga agreed to assist the Company in negotiating, managing, and expanding a new commercial agreement (the "Commercial Agreement"). Compensation under the Huerga Contractor Agreement consists solely of RSUs and PSUs. Mr. Huerga will earn 25,000 RSUs for services rendered in 2025 and expected to be rendered in 2026. Mr. Huerga has the potential to earn an additional 175,000 PSUs based on milestones that include certain minimum purchase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entered into various agreements with our related parties, which primarily encompasses the development of the Foundation Model, access to the Company's Lens product, sequencing, clinical research organization and other data services. The Company has recognized $21.8 million and $0.6 million of revenue from related parties for the three months ended March 31,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and December 31, 2025, there was no amount due to related parties. As of March 31, 2026 and December 31, 2025, the amount due from related parties was $15.7 million and $6.4 million,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related party asset and related party asset, less current portion were $11.9 million and $13.1 million, respectively. As of December 31, 2025, the related party asset and related party asset, less current portion were $8.8 million and $16.2 million, respectively. The related party asset represents future services to be provided by Pathos under the Pathos Master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deferred revenue includes $0.4 million of related party deferred revenue. As of December 31, 2025, deferred revenue includes $3.9 million of related party deferred revenue.</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 looking statements contained in this Quarterly Report on Form 10-Q include, but are not limited to, statements concerning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evolving treatment paradigm for cancer, including physicians’ use of molecular data and targeted oncology therapeutics and the market size for our current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business beyond oncology into new disease areas;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of our addressable market and our expectations regarding our revenue, expenses, capital requirements and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develop new products and services, including our goals and strategy regarding development and commercialization of our Application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and grow our datasets, including in new disease areas and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the growth of our datasets will improve the quality of our products and services and accelerate their adoption;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capture, aggregate, analyze or otherwise utilize genomic data in new ways and in additional diagnostic modalities;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expectation that we will continue to commercialize de-identified records and license them to multiple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acceptance of our publications in peer-reviewed journals or of our presentations at scientific and medical conference presentations;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business model and strategic plans for our products, technologies and businesses;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competitive companies and technologies and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of Intelligent Diagnostics to be disruptive across a broad set of disease areas and the clinical trial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and grow our business by expanding our sales to existing customers or introducing our products to new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macroeconomic conditions, including new and potential tariffs, on us and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payer reimbursement and coverage decisions, including our strategy to increase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intellectual property protection for our products or avoid claims of infringement;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effects of evolving and/or extensive government regulation;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hire and retain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internationally, including through our joint venture, SB Tempus Corp., in Japan;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acquire businesses, form joint ventures or make investments in companies or technologies, including our ability to realize the expected benefits of our acquisitions of Paige.AI, Inc., Ambry Genetics Corporation and Deep 6 AI, Inc;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protect and enforce our intellectual property rights, including our trade secret protected proprietary rights in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service or pay down existing or future debt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pending or threatened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cash needs and our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trends and challenges in our business and the markets in which we operate.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mda"/>
      <w:bookmarkEnd w:id="9"/>
      <w:r>
        <w:rPr>
          <w:rFonts w:ascii="Times New Roman" w:hAnsi="Times New Roman"/>
          <w:b/>
          <w:color w:val="000000"/>
          <w:sz w:val="20"/>
        </w:rPr>
        <w:t>MANAGEMENT’S DISCUSSION AND ANALYSIS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the unaudited condensed consolidated financial statements and related notes included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year ended December 31, 2025 .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“Note Regarding Forward-Looking Statements” and “Risk Factors” in this Quarterly Report on Form 10-Q and in our Annual Report on Form 10-K for the year ended December 31, 2025 for a discussion of forward- looking statements and important factors that could cause actual results to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currently offer two product lines: Diagnostics and Data and applications. Each product line is designed to enable and enhance the other, thereby creating network effects in each of the markets in which we operate. We are able to commercialize records multiple times, both at the time a test is run and thereafter. Our Diagnostics product line leverages our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 The data generated in our lab or ingested into our platform as part of the Diagnostics product line is structured and de-identified, prior to commercialization. This de-identified database is then commercialized to our pharmaceutical and biotechnology partners to facilitate drug discovery and development through our products, including, among other things, Insights, Trials, Next and Algos. Our Applications product line is focused on developing and providing diagnostics that are algorithmic in nature, implementing new software as a medical device, and building and deploying clinical decision support tools.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primarily operate in the United States and generated total revenue of $348.1 million and $255.7 million in the three months ended March 31, 2026 and 2025, respectively. We also incurred net losses of $125.9 million and $68.0 million in the three months ended March 31, 2026 and 2025, respectively. We generated adjusted EBITDA of $(2.8) million and $(16.2) million in the three months ended March 31, 2026 and 2025,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a non-GAAP financial measure, see "—Non-GAAP Financial Measure."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Strategic Collaborations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AstraZeneca and Pathos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we entered into a series of agreements with AstraZeneca AB, or AstraZeneca, and Pathos regarding both the development of a foundation large multimodal model in the field of oncology, or the Foundation Model, and the licensing of certain de-identified multi-modal data to assist in the development of the Foundation Model.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Specifically, we entered into a Statement of Work with AstraZeneca under the previously disclosed Master Services Agreement, dated November 17, 2021, as amended in October 2022, February 2023 and December 2023 (and as further amended from time to time, together with the Statement of Work, collectively referred to herein as the MSA). Pursuant to the MSA, (i) we will ensure that Pathos develops, and we provide AstraZeneca with, a Foundation Model which has been developed, validated, and maintained using de-identified datasets contributed by us, (ii) the Foundation Model will be developed, validated, and maintained by Pathos, (iii) AstraZeneca will pay us a fee of $35 million, and (iv) a syndicate of investors including AstraZeneca will contemporaneously execute a Stock Purchase Agreement with Pathos, or the SPA, as part of a preferred stock financing round of sufficient size given the obligations described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entered into an Order Form with Pathos under the previously disclosed Amended and Restated Master Agreement, restated effective February 12, 2024, (the Amended and Restated Master Agreement and the Order Form collectively referred to herein as the “Pathos Master Agreement”). Pursuant to the Pathos Master Agreement, (i) Pathos will be responsible for Foundation Model development activities under the MSA, (ii) we will license Pathos a comprehensive de-identified multi-modal dataset for the sole purpose of assisting in the development and training of the Foundation Model under the MSA, (iii) Pathos will pay us data license fees of $200 million over a three-year period, including an upfront payment of $50 million that has been paid as of April 2025 (iv) we will receive a license to use the Foundation Model upon its completion (with certain field restrictions and the right of sublicense to AstraZeneca), and (v) in consideration of Pathos’ commitments under the Pathos Master Agreement, we will pay Pathos $35 million, of which $25 million has been paid to date. Pathos, in its sole discretion, may pay up to 50% of the data license fees owed to us in shares of Pathos’ Series D Preferred Stock.</w:t>
      </w:r>
    </w:p>
    <w:p>
      <w:pPr>
        <w:pStyle w:val="TextBody"/>
        <w:bidi w:val="0"/>
        <w:spacing w:before="360" w:after="283"/>
        <w:jc w:val="left"/>
        <w:rPr>
          <w:rFonts w:ascii="Times New Roman" w:hAnsi="Times New Roman"/>
          <w:sz w:val="20"/>
        </w:rPr>
      </w:pPr>
      <w:r>
        <w:rPr>
          <w:rFonts w:ascii="Times New Roman" w:hAnsi="Times New Roman"/>
          <w:i/>
          <w:color w:val="000000"/>
          <w:sz w:val="20"/>
        </w:rPr>
        <w:t>AstraZeneca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November 2021, we entered into the MSA with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2026, unless terminated sooner. The minimum commitment may increase from $220 million to $320 million through December 2028 at AstraZeneca's election.</w:t>
      </w:r>
    </w:p>
    <w:p>
      <w:pPr>
        <w:pStyle w:val="TextBody"/>
        <w:bidi w:val="0"/>
        <w:spacing w:before="360" w:after="283"/>
        <w:jc w:val="left"/>
        <w:rPr>
          <w:rFonts w:ascii="Times New Roman" w:hAnsi="Times New Roman"/>
          <w:sz w:val="20"/>
        </w:rPr>
      </w:pPr>
      <w:r>
        <w:rPr>
          <w:rFonts w:ascii="Times New Roman" w:hAnsi="Times New Roman"/>
          <w:i/>
          <w:color w:val="000000"/>
          <w:sz w:val="20"/>
        </w:rPr>
        <w:t>GlaxoSmithKline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2022, we entered into a Strategic Collaboration Agreement, or, as amended in May 2024,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2027, unless terminated sooner. An additional commitment of up to $120 million may be triggered at GSK’s election for the years 2028, 2029 and 2030. </w:t>
      </w:r>
    </w:p>
    <w:p>
      <w:pPr>
        <w:pStyle w:val="TextBody"/>
        <w:bidi w:val="0"/>
        <w:spacing w:before="360" w:after="283"/>
        <w:jc w:val="left"/>
        <w:rPr>
          <w:rFonts w:ascii="Times New Roman" w:hAnsi="Times New Roman"/>
          <w:sz w:val="20"/>
        </w:rPr>
      </w:pPr>
      <w:r>
        <w:rPr>
          <w:rFonts w:ascii="Times New Roman" w:hAnsi="Times New Roman"/>
          <w:i/>
          <w:color w:val="000000"/>
          <w:sz w:val="20"/>
        </w:rPr>
        <w:t>Recursion Master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uncured breach of the Recursion Agreement, Recursion may terminate the agreement for convenience after three years upon 90 days prior notice, subject to payment by Recursion of an early termination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pStyle w:val="TextBody"/>
        <w:bidi w:val="0"/>
        <w:spacing w:before="360" w:after="283"/>
        <w:jc w:val="left"/>
        <w:rPr>
          <w:rFonts w:ascii="Times New Roman" w:hAnsi="Times New Roman"/>
          <w:sz w:val="20"/>
        </w:rPr>
      </w:pPr>
      <w:r>
        <w:rPr>
          <w:rFonts w:ascii="Times New Roman" w:hAnsi="Times New Roman"/>
          <w:b/>
          <w:color w:val="000000"/>
          <w:sz w:val="20"/>
        </w:rPr>
        <w:t>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and New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$48.2 million and $35.9 million during the three months ended March 31, 2026 and 2025 respectively, in research and development. Our ability to develop new products, obtain regulatory approvals when required, launch them into the market, and drive adoption of these products by our customers will continue to play a key role in our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Customer Acquisition and Expansion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grow our business requires both identifying new customers and expanding our partnerships with existing ones across each of our product lines. For Diagnostics, this entails our field salesforce developing relationships with individual physicians, genetic counselors, and hospital systems, demonstrating the power our Platform has in enabling them to provide personalized care to their patients. For Data and applications, this entails our pharmaceutical business development teams demonstrating the power our Platform and database have in enabling drug discovery, development and clinical trial matching for our pharmaceutical partners and demonstrating the utility of these algorithms in a clinical setting. Since our inception, our offerings have been used by more than 8,500 physicians and we have worked with over 250 biotech companies, as well as 19 of the 20 largest public pharmaceutical companies based on 2025 revenue, albeit with many we are still at an early stage of adoption. Our financial performance relies heavily on our ability to add customers to our Platform and expand the relationships with our current customers through adoption of our new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Investments in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$45.9 million and $33.4 million, in the three months ended March 31, 2026 and 2025,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 In addition, the announcement of substantial new tariffs and other restrictive trade policies, to the extent such current and future tariffs apply to hardware, networking infrastructure or other technology infrastructure used by us or our third-party vendors, could raise costs, constrain supply or affect service reliability.</w:t>
      </w:r>
    </w:p>
    <w:p>
      <w:pPr>
        <w:pStyle w:val="TextBody"/>
        <w:bidi w:val="0"/>
        <w:spacing w:before="360" w:after="283"/>
        <w:jc w:val="left"/>
        <w:rPr>
          <w:rFonts w:ascii="Times New Roman" w:hAnsi="Times New Roman"/>
          <w:sz w:val="20"/>
        </w:rPr>
      </w:pPr>
      <w:r>
        <w:rPr>
          <w:rFonts w:ascii="Times New Roman" w:hAnsi="Times New Roman"/>
          <w:b/>
          <w:i/>
          <w:color w:val="000000"/>
          <w:sz w:val="20"/>
        </w:rPr>
        <w:t>Payer 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relies heavily on our ability to secure reimbursement from payers and government health benefits programs. A substantial majority of the genomic testing we perform is clinical in 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about the patient. As of December 31, 2025, we had received payment on approximately 55% of our clinical oncology NGS tests and 50% of our hereditary tests across all payers performed from January 1, 2023 through December 31, 2024. We calculated this metric on a trailing basis based on payer adjudication timing. However, we continued to perform our NGS tests through December 31, 2025. For the years ended December 31, 2025, 2024 and 2023, our average reimbursement for NGS tests in oncology (i.e., excluding hereditary testing) was approximately $1,600, $1,510 and $1,450, respectively. For the year ended December 31, 2025 and 2024, our average reimbursement for NGS tests in hereditary testing was approximately $770 and $760, on a pro forma basis, for which pro forma amounts have been calculated after applying our accounting policies.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current Data and applications products sales are to customers in the life sciences industry, in particular the pharmaceutical and biotechnology industry. Demand for our Data and applications products could be affected by factors that adversely affect the life sciences industry, including macroeconomic and market conditions that may adversely impact earlier stage biotechnology companies such as substantial new tariffs and other restrictive trade policies.</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primarily derive our revenue from our two product lines: (1) Diagnostics and (2) Data and applications.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Diagnostics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Diagnostics primarily includes revenue from Oncology testing (legacy Tempus) and Hereditary testing (legacy Ambry Genetics). Oncology testing includes revenue from diagnostics, PCR profiling, and other anatomic and molecular pathology testing to oncologists, pharmaceutical companies, biotechnology companies, researchers, and other third parties. Hereditary testing includes revenue from inherited cancer risk, whole exome and genome profiling for rare conditions, and all other inherited screening testing primarily to genetic counselors.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Data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and applications primarily includes revenue from de-identified data generated through our Diagnostics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incur costs to generate revenue for each of our two product lines. Cost of revenues for our Diagnostics product line is a higher percentage of the Diagnostics revenue than cost of revenues for Data and applications is as a percentage of Data and applications revenue. As revenue shifts between these product lines, total cost of revenue as a percentage of revenue will be impacted. </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Diagnostics primarily includes personnel lab expenses, including salaries, bonuses, employee benefits and stock-based compensation expenses (which we refer to as “personnel costs”), and amortization of intangible assets, cost of laboratory supplies and consumables, laboratory rent expense, depreciation of laboratory equipment and shipping costs. Costs associated with performing our tests are recorded as the tests are processed at the time of report delivery. We expect these costs will increase in absolute dollars as our Diagnostics revenue continues to grow.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 Data and applications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revenues for Data and applications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applications revenue continues to grow.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 primarily includes costs incurred to develop new assays and products, including validation costs, research and development and allocated lab personnel costs, salaries and benefits of our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selling, general and administrative expense primarily includes personnel costs, inclusive of stock-based compensation expense, for our sales, executive, accounting and finance, legal and human resources functions, commissions, and other general corporate expenses, including software and tools, professional services, real estate costs, and travel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and cash equivalents.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interest from our Second Amended Note, Credit Facilities, and Notes (each as defined in “—Liquidity and Capital Resources”). Interest expense related to our Second Amended Note will continue, but should decrease over time as the principal amount decreases. Interest expense related to the Credit Facilities will continue, but decreased as a result of the prepayment of the Term Loan Facility in July 2025.</w:t>
      </w:r>
    </w:p>
    <w:p>
      <w:pPr>
        <w:pStyle w:val="TextBody"/>
        <w:bidi w:val="0"/>
        <w:spacing w:before="360" w:after="283"/>
        <w:jc w:val="left"/>
        <w:rPr>
          <w:rFonts w:ascii="Times New Roman" w:hAnsi="Times New Roman"/>
          <w:sz w:val="20"/>
        </w:rPr>
      </w:pPr>
      <w:r>
        <w:rPr>
          <w:rFonts w:ascii="Times New Roman" w:hAnsi="Times New Roman"/>
          <w:b/>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Other expense, net </w:t>
      </w:r>
      <w:r>
        <w:rPr>
          <w:rFonts w:ascii="Times New Roman" w:hAnsi="Times New Roman"/>
          <w:color w:val="231F20"/>
          <w:sz w:val="20"/>
        </w:rPr>
        <w:t>consists of foreign currency exchange gains and losses, gains and losses on marketable equity securities, income from the Intellectual Property Agreement, or the IP License Agreement, with SB Tempus Corp., or SB Tempus.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and Personalis, Inc., or Personalis, which are recorded within marketable equity securities. These shares are marked to market each reporting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 </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from equity method investments consist of earnings from our joint venture, SB Tempus. See Note 7 to our unaudited condensed consolidated financial statements included elsewhere in this Quarterly Report on Form 10-Q for additional information regarding SB Tempus.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significant components of our results of operations for the periods presented (in thousands). </w:t>
      </w:r>
    </w:p>
    <w:p>
      <w:pPr>
        <w:pStyle w:val="TextBody"/>
        <w:bidi w:val="0"/>
        <w:jc w:val="left"/>
        <w:rPr/>
      </w:pPr>
      <w:r>
        <w:rPr/>
        <w:t> </w:t>
      </w:r>
    </w:p>
    <w:tbl>
      <w:tblPr>
        <w:tblW w:w="6684" w:type="dxa"/>
        <w:jc w:val="left"/>
        <w:tblInd w:w="0" w:type="dxa"/>
        <w:tblLayout w:type="fixed"/>
        <w:tblCellMar>
          <w:top w:w="28" w:type="dxa"/>
          <w:left w:w="28" w:type="dxa"/>
          <w:bottom w:w="28" w:type="dxa"/>
          <w:right w:w="28" w:type="dxa"/>
        </w:tblCellMar>
      </w:tblPr>
      <w:tblGrid>
        <w:gridCol w:w="3531"/>
        <w:gridCol w:w="146"/>
        <w:gridCol w:w="211"/>
        <w:gridCol w:w="841"/>
        <w:gridCol w:w="166"/>
        <w:gridCol w:w="146"/>
        <w:gridCol w:w="211"/>
        <w:gridCol w:w="841"/>
        <w:gridCol w:w="5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324,426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before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Comparison of the Three Months Ended March 31,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tbl>
      <w:tblPr>
        <w:tblW w:w="7093" w:type="dxa"/>
        <w:jc w:val="left"/>
        <w:tblInd w:w="0" w:type="dxa"/>
        <w:tblLayout w:type="fixed"/>
        <w:tblCellMar>
          <w:top w:w="28" w:type="dxa"/>
          <w:left w:w="28" w:type="dxa"/>
          <w:bottom w:w="28" w:type="dxa"/>
          <w:right w:w="28" w:type="dxa"/>
        </w:tblCellMar>
      </w:tblPr>
      <w:tblGrid>
        <w:gridCol w:w="1891"/>
        <w:gridCol w:w="146"/>
        <w:gridCol w:w="222"/>
        <w:gridCol w:w="823"/>
        <w:gridCol w:w="154"/>
        <w:gridCol w:w="154"/>
        <w:gridCol w:w="222"/>
        <w:gridCol w:w="823"/>
        <w:gridCol w:w="146"/>
        <w:gridCol w:w="146"/>
        <w:gridCol w:w="211"/>
        <w:gridCol w:w="676"/>
        <w:gridCol w:w="146"/>
        <w:gridCol w:w="146"/>
        <w:gridCol w:w="275"/>
        <w:gridCol w:w="596"/>
        <w:gridCol w:w="316"/>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261,098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87,018</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348,116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revenue for the three months ended March 31, 2026, compared to the same period in 2025, was due to increased volume of clinical oncology and hereditary tests performed in Diagnostics and increased data deliveries in our Data and applications product line. Beginning in 2026, xG (hereditary testing sold to oncologists) volumes and associated revenues are reported within Hereditary, which was applied to 2025 volumes and associated revenues. For comparative purposes, xG volumes were 10,500, 10,500 and 11,000 for three months ended June 30, 2025, September 30, 2025 and December 31, 2025, respectively. </w:t>
      </w:r>
    </w:p>
    <w:p>
      <w:pPr>
        <w:pStyle w:val="TextBody"/>
        <w:bidi w:val="0"/>
        <w:spacing w:before="360" w:after="283"/>
        <w:jc w:val="left"/>
        <w:rPr>
          <w:rFonts w:ascii="Times New Roman" w:hAnsi="Times New Roman"/>
          <w:sz w:val="20"/>
        </w:rPr>
      </w:pPr>
      <w:r>
        <w:rPr>
          <w:rFonts w:ascii="Times New Roman" w:hAnsi="Times New Roman"/>
          <w:i/>
          <w:color w:val="000000"/>
          <w:sz w:val="20"/>
        </w:rPr>
        <w:t>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Diagnostics revenue for the three months ended March 31, 2026, compared to the same period in 2025, was primarily due to an increase in the number of Oncology tests and the addition of Hereditary tests through the acquisition of Ambry in February 2025. Volume of tests increased from approximately 153,000 tests for the three months ended March 31, 2025 to approximately 218,000 tests for the three months ended March 31, 2026, of which 132,500 tests related to Hereditary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Oncology tests increased from approximately 67,000 tests for the three months ended March 31, 2025 to approximately 85,500 tests for the three months ended March 31, 2026. Oncology revenue increased $34.0 million, primarily due to the increase in the volume of clinical oncology tests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Hereditary tests increased from approximately 86,000 tests for the three months ended March 31, 2025 to approximately 132,500 tests for the three months ended March 31, 2026 due to the acquisition of Ambry in February 2025. The increase is primarily due to the inclusion of Ambry for the full quarter and resulted in an increase of $33.3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increase in Data and applications revenue for the three months ended March 31, 2026, compared to the same period in 2025, was driven primarily by an increase of $21.8 million and $3.0 million from increased demand for our Insights and Next products, respectively. Across all Data and applications products, the increase in revenue in the three months ended March 31, 2026 is primarily attributable to continued growth from within our existing customer base, specifically the Pathos Foundation Model agreement, as well as adoption of our services by new customers that did not purchase services in the three months ended March 31, 2025. </w:t>
      </w:r>
    </w:p>
    <w:p>
      <w:pPr>
        <w:pStyle w:val="TextBody"/>
        <w:bidi w:val="0"/>
        <w:spacing w:before="360" w:after="283"/>
        <w:jc w:val="left"/>
        <w:rPr>
          <w:rFonts w:ascii="Times New Roman" w:hAnsi="Times New Roman"/>
          <w:sz w:val="20"/>
        </w:rPr>
      </w:pPr>
      <w:r>
        <w:rPr>
          <w:rFonts w:ascii="Times New Roman" w:hAnsi="Times New Roman"/>
          <w:b/>
          <w:i/>
          <w:color w:val="000000"/>
          <w:sz w:val="20"/>
        </w:rPr>
        <w:t>Cost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Revenues</w:t>
      </w:r>
      <w:r>
        <w:rPr>
          <w:rFonts w:ascii="Times New Roman" w:hAnsi="Times New Roman"/>
          <w:color w:val="000000"/>
          <w:sz w:val="20"/>
        </w:rPr>
        <w:t xml:space="preserve"> </w:t>
      </w:r>
    </w:p>
    <w:p>
      <w:pPr>
        <w:pStyle w:val="TextBody"/>
        <w:bidi w:val="0"/>
        <w:jc w:val="left"/>
        <w:rPr/>
      </w:pPr>
      <w:r>
        <w:rPr/>
        <w:t> </w:t>
      </w:r>
    </w:p>
    <w:tbl>
      <w:tblPr>
        <w:tblW w:w="8503" w:type="dxa"/>
        <w:jc w:val="left"/>
        <w:tblInd w:w="0" w:type="dxa"/>
        <w:tblLayout w:type="fixed"/>
        <w:tblCellMar>
          <w:top w:w="28" w:type="dxa"/>
          <w:left w:w="28" w:type="dxa"/>
          <w:bottom w:w="28" w:type="dxa"/>
          <w:right w:w="28" w:type="dxa"/>
        </w:tblCellMar>
      </w:tblPr>
      <w:tblGrid>
        <w:gridCol w:w="3301"/>
        <w:gridCol w:w="146"/>
        <w:gridCol w:w="222"/>
        <w:gridCol w:w="823"/>
        <w:gridCol w:w="154"/>
        <w:gridCol w:w="154"/>
        <w:gridCol w:w="222"/>
        <w:gridCol w:w="823"/>
        <w:gridCol w:w="146"/>
        <w:gridCol w:w="146"/>
        <w:gridCol w:w="211"/>
        <w:gridCol w:w="676"/>
        <w:gridCol w:w="146"/>
        <w:gridCol w:w="146"/>
        <w:gridCol w:w="275"/>
        <w:gridCol w:w="596"/>
        <w:gridCol w:w="316"/>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diagnostics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revenues, data and applications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126,075</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Cost of revenues for the three months ended March 31, 2026, compared to the same period in 2025, was primarily due to increases of $8.1 million in personnel-related costs, of which $4.5 million is due to the Ambry Acquisition that occurred in February 2025, $5.9 million in cloud costs, $5.7 million in material and service costs, of which $6.6 million is due to the Ambry Acquisition that occurred in February 2025, $2.0 million of stock-based compensation expenses, and $1.1 million in royalty fees.</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Diagnostics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Diagnostics for the three months ended March 31, 2026, compared to the same period in 2025, was primarily due to increases of $8.0 million in personnel-related costs, of which $4.5 million is due to the Ambry Acquisition that occurred in February 2025, $5.7 million in material and service costs, of which $6.6 million is due to the Ambry Acquisition that occurred in February 2025, and $1.1 million of stock-based compensation expense.</w:t>
      </w:r>
    </w:p>
    <w:p>
      <w:pPr>
        <w:pStyle w:val="TextBody"/>
        <w:bidi w:val="0"/>
        <w:spacing w:before="360" w:after="283"/>
        <w:jc w:val="left"/>
        <w:rPr>
          <w:rFonts w:ascii="Times New Roman" w:hAnsi="Times New Roman"/>
          <w:sz w:val="20"/>
        </w:rPr>
      </w:pPr>
      <w:r>
        <w:rPr>
          <w:rFonts w:ascii="Times New Roman" w:hAnsi="Times New Roman"/>
          <w:i/>
          <w:color w:val="000000"/>
          <w:sz w:val="20"/>
        </w:rPr>
        <w:t>Cost of Revenues, Data and applications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increase in Cost of revenues, Data and applications for the three months ended March 31, 2026, compared to the same period in 2025, was primarily due to an increase of $5.9 million in cloud costs, $1.1 million in royalty fees, and $0.9 million in stock-based compensation.</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Technology Research and Development</w:t>
      </w:r>
      <w:r>
        <w:rPr>
          <w:rFonts w:ascii="Times New Roman" w:hAnsi="Times New Roman"/>
          <w:color w:val="000000"/>
          <w:sz w:val="20"/>
        </w:rPr>
        <w:t xml:space="preserve"> </w:t>
      </w:r>
    </w:p>
    <w:p>
      <w:pPr>
        <w:pStyle w:val="TextBody"/>
        <w:bidi w:val="0"/>
        <w:jc w:val="left"/>
        <w:rPr/>
      </w:pPr>
      <w:r>
        <w:rPr/>
        <w:t> </w:t>
      </w:r>
    </w:p>
    <w:tbl>
      <w:tblPr>
        <w:tblW w:w="8473" w:type="dxa"/>
        <w:jc w:val="left"/>
        <w:tblInd w:w="0" w:type="dxa"/>
        <w:tblLayout w:type="fixed"/>
        <w:tblCellMar>
          <w:top w:w="28" w:type="dxa"/>
          <w:left w:w="28" w:type="dxa"/>
          <w:bottom w:w="28" w:type="dxa"/>
          <w:right w:w="28" w:type="dxa"/>
        </w:tblCellMar>
      </w:tblPr>
      <w:tblGrid>
        <w:gridCol w:w="3271"/>
        <w:gridCol w:w="146"/>
        <w:gridCol w:w="245"/>
        <w:gridCol w:w="785"/>
        <w:gridCol w:w="169"/>
        <w:gridCol w:w="169"/>
        <w:gridCol w:w="245"/>
        <w:gridCol w:w="785"/>
        <w:gridCol w:w="146"/>
        <w:gridCol w:w="146"/>
        <w:gridCol w:w="211"/>
        <w:gridCol w:w="676"/>
        <w:gridCol w:w="146"/>
        <w:gridCol w:w="146"/>
        <w:gridCol w:w="275"/>
        <w:gridCol w:w="596"/>
        <w:gridCol w:w="316"/>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Technology research and development expenses for the three months ended March 31, 2026, compared to the same period in 2025, was primarily due to an increase of $6.2 million of stock-based compensation expenses and increase of $5.5 million in personnel-related costs associated with the investment in our cloud infrastructure and new lines of business, of which $2.6 million is due to the Ambry Acquisition that occurred in February 2025.</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513" w:type="dxa"/>
        <w:jc w:val="left"/>
        <w:tblInd w:w="0" w:type="dxa"/>
        <w:tblLayout w:type="fixed"/>
        <w:tblCellMar>
          <w:top w:w="28" w:type="dxa"/>
          <w:left w:w="28" w:type="dxa"/>
          <w:bottom w:w="28" w:type="dxa"/>
          <w:right w:w="28" w:type="dxa"/>
        </w:tblCellMar>
      </w:tblPr>
      <w:tblGrid>
        <w:gridCol w:w="2311"/>
        <w:gridCol w:w="146"/>
        <w:gridCol w:w="245"/>
        <w:gridCol w:w="785"/>
        <w:gridCol w:w="169"/>
        <w:gridCol w:w="169"/>
        <w:gridCol w:w="245"/>
        <w:gridCol w:w="785"/>
        <w:gridCol w:w="146"/>
        <w:gridCol w:w="146"/>
        <w:gridCol w:w="211"/>
        <w:gridCol w:w="676"/>
        <w:gridCol w:w="146"/>
        <w:gridCol w:w="146"/>
        <w:gridCol w:w="275"/>
        <w:gridCol w:w="596"/>
        <w:gridCol w:w="31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48,237</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Research and development expenses for the three months ended March 31, 2026, compared to the same period in 2025, was primarily due to an increase of $6.6 million in personnel-related costs for employees in our research and development group, of which $4.3 million is due to the Ambry Acquisition that occurred in February 2025, $2.6 million of stock-based compensation expense, and $1.6 million of cloud costs, of which $0.9 million is due to the Ambry Acquisition that occurred in February 2025.</w:t>
      </w:r>
    </w:p>
    <w:p>
      <w:pPr>
        <w:pStyle w:val="TextBody"/>
        <w:bidi w:val="0"/>
        <w:spacing w:before="360" w:after="283"/>
        <w:jc w:val="left"/>
        <w:rPr>
          <w:rFonts w:ascii="Times New Roman" w:hAnsi="Times New Roman"/>
          <w:sz w:val="20"/>
        </w:rPr>
      </w:pPr>
      <w:r>
        <w:rPr>
          <w:rFonts w:ascii="Times New Roman" w:hAnsi="Times New Roman"/>
          <w:i/>
          <w:color w:val="000000"/>
          <w:sz w:val="20"/>
        </w:rPr>
        <w:t>Selling, General and Administrative</w:t>
      </w:r>
      <w:r>
        <w:rPr>
          <w:rFonts w:ascii="Times New Roman" w:hAnsi="Times New Roman"/>
          <w:color w:val="000000"/>
          <w:sz w:val="20"/>
        </w:rPr>
        <w:t xml:space="preserve"> </w:t>
      </w:r>
    </w:p>
    <w:p>
      <w:pPr>
        <w:pStyle w:val="TextBody"/>
        <w:bidi w:val="0"/>
        <w:jc w:val="left"/>
        <w:rPr/>
      </w:pPr>
      <w:r>
        <w:rPr/>
        <w:t> </w:t>
      </w:r>
    </w:p>
    <w:tbl>
      <w:tblPr>
        <w:tblW w:w="8158" w:type="dxa"/>
        <w:jc w:val="left"/>
        <w:tblInd w:w="0" w:type="dxa"/>
        <w:tblLayout w:type="fixed"/>
        <w:tblCellMar>
          <w:top w:w="28" w:type="dxa"/>
          <w:left w:w="28" w:type="dxa"/>
          <w:bottom w:w="28" w:type="dxa"/>
          <w:right w:w="28" w:type="dxa"/>
        </w:tblCellMar>
      </w:tblPr>
      <w:tblGrid>
        <w:gridCol w:w="2956"/>
        <w:gridCol w:w="146"/>
        <w:gridCol w:w="222"/>
        <w:gridCol w:w="823"/>
        <w:gridCol w:w="154"/>
        <w:gridCol w:w="154"/>
        <w:gridCol w:w="222"/>
        <w:gridCol w:w="823"/>
        <w:gridCol w:w="146"/>
        <w:gridCol w:w="146"/>
        <w:gridCol w:w="211"/>
        <w:gridCol w:w="676"/>
        <w:gridCol w:w="146"/>
        <w:gridCol w:w="146"/>
        <w:gridCol w:w="275"/>
        <w:gridCol w:w="596"/>
        <w:gridCol w:w="31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4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212,594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Selling, general and administrative expenses for the three months ended March 31, 2026, compared to the same period in 2025, was primarily due to an increase of $18.9 million of stock-based compensation expenses, $18.0 million in personnel-related costs, of which $10.3 million is due to the Ambry Acquisition that occurred in February 2025, $5.7 million in amortization of intangibles acquired from the Ambry Acquisition, $7.0 million in software and tools costs, of which $1.6 million is due to the Ambry Acquisition that occurred in February 2025, $5.2 million in cloud storage costs, $2.2 million due to the inclusion of other Ambry costs for the full quarter, and $2.1 million in legal costs. The increase is offset by a decrease in $3.5 million in acquisition costs and $3.0 million in taxes related to the settlement of RSUs.</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jc w:val="left"/>
        <w:rPr/>
      </w:pPr>
      <w:r>
        <w:rPr/>
        <w:t> </w:t>
      </w:r>
    </w:p>
    <w:tbl>
      <w:tblPr>
        <w:tblW w:w="6475" w:type="dxa"/>
        <w:jc w:val="left"/>
        <w:tblInd w:w="0" w:type="dxa"/>
        <w:tblLayout w:type="fixed"/>
        <w:tblCellMar>
          <w:top w:w="28" w:type="dxa"/>
          <w:left w:w="28" w:type="dxa"/>
          <w:bottom w:w="28" w:type="dxa"/>
          <w:right w:w="28" w:type="dxa"/>
        </w:tblCellMar>
      </w:tblPr>
      <w:tblGrid>
        <w:gridCol w:w="1366"/>
        <w:gridCol w:w="146"/>
        <w:gridCol w:w="272"/>
        <w:gridCol w:w="738"/>
        <w:gridCol w:w="188"/>
        <w:gridCol w:w="188"/>
        <w:gridCol w:w="272"/>
        <w:gridCol w:w="738"/>
        <w:gridCol w:w="146"/>
        <w:gridCol w:w="146"/>
        <w:gridCol w:w="214"/>
        <w:gridCol w:w="582"/>
        <w:gridCol w:w="146"/>
        <w:gridCol w:w="146"/>
        <w:gridCol w:w="224"/>
        <w:gridCol w:w="647"/>
        <w:gridCol w:w="31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47"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increase in Interest income for the three months ended March 31, 2026, compared to the same period in 2025, increased primarily due to higher cash on hand as of March 31, 2026 compared to March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jc w:val="left"/>
        <w:rPr/>
      </w:pPr>
      <w:r>
        <w:rPr/>
        <w:t> </w:t>
      </w:r>
    </w:p>
    <w:tbl>
      <w:tblPr>
        <w:tblW w:w="6557" w:type="dxa"/>
        <w:jc w:val="left"/>
        <w:tblInd w:w="0" w:type="dxa"/>
        <w:tblLayout w:type="fixed"/>
        <w:tblCellMar>
          <w:top w:w="28" w:type="dxa"/>
          <w:left w:w="28" w:type="dxa"/>
          <w:bottom w:w="28" w:type="dxa"/>
          <w:right w:w="28" w:type="dxa"/>
        </w:tblCellMar>
      </w:tblPr>
      <w:tblGrid>
        <w:gridCol w:w="1426"/>
        <w:gridCol w:w="146"/>
        <w:gridCol w:w="229"/>
        <w:gridCol w:w="801"/>
        <w:gridCol w:w="180"/>
        <w:gridCol w:w="158"/>
        <w:gridCol w:w="229"/>
        <w:gridCol w:w="801"/>
        <w:gridCol w:w="166"/>
        <w:gridCol w:w="146"/>
        <w:gridCol w:w="214"/>
        <w:gridCol w:w="582"/>
        <w:gridCol w:w="146"/>
        <w:gridCol w:w="146"/>
        <w:gridCol w:w="243"/>
        <w:gridCol w:w="628"/>
        <w:gridCol w:w="31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Interest expense for the three months ended March 31, 2026, compared to the same period in 2025, is due to a decrease of $6.2 million as a result of the prepayment of the Term Loan Facility in July 2025, leaving only the Additional Term Loan Facility and Revolving Credit Facility outstanding after the prepayment. The decrease is offset by additional interest expense from the Notes, which resulted in an increase of $2.5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Other Expense, net</w:t>
      </w:r>
      <w:r>
        <w:rPr>
          <w:rFonts w:ascii="Times New Roman" w:hAnsi="Times New Roman"/>
          <w:color w:val="000000"/>
          <w:sz w:val="20"/>
        </w:rPr>
        <w:t xml:space="preserve"> </w:t>
      </w:r>
    </w:p>
    <w:p>
      <w:pPr>
        <w:pStyle w:val="TextBody"/>
        <w:bidi w:val="0"/>
        <w:jc w:val="left"/>
        <w:rPr/>
      </w:pPr>
      <w:r>
        <w:rPr/>
        <w:t> </w:t>
      </w:r>
    </w:p>
    <w:tbl>
      <w:tblPr>
        <w:tblW w:w="6772" w:type="dxa"/>
        <w:jc w:val="left"/>
        <w:tblInd w:w="0" w:type="dxa"/>
        <w:tblLayout w:type="fixed"/>
        <w:tblCellMar>
          <w:top w:w="28" w:type="dxa"/>
          <w:left w:w="28" w:type="dxa"/>
          <w:bottom w:w="28" w:type="dxa"/>
          <w:right w:w="28" w:type="dxa"/>
        </w:tblCellMar>
      </w:tblPr>
      <w:tblGrid>
        <w:gridCol w:w="1621"/>
        <w:gridCol w:w="146"/>
        <w:gridCol w:w="229"/>
        <w:gridCol w:w="801"/>
        <w:gridCol w:w="180"/>
        <w:gridCol w:w="158"/>
        <w:gridCol w:w="229"/>
        <w:gridCol w:w="801"/>
        <w:gridCol w:w="166"/>
        <w:gridCol w:w="146"/>
        <w:gridCol w:w="242"/>
        <w:gridCol w:w="554"/>
        <w:gridCol w:w="166"/>
        <w:gridCol w:w="146"/>
        <w:gridCol w:w="356"/>
        <w:gridCol w:w="515"/>
        <w:gridCol w:w="31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Other expense, net for the three months ended March 31, 2026, compared to the same period in 2025, was not material.</w:t>
      </w:r>
    </w:p>
    <w:p>
      <w:pPr>
        <w:pStyle w:val="TextBody"/>
        <w:bidi w:val="0"/>
        <w:spacing w:before="360" w:after="283"/>
        <w:jc w:val="left"/>
        <w:rPr>
          <w:rFonts w:ascii="Times New Roman" w:hAnsi="Times New Roman"/>
          <w:sz w:val="20"/>
        </w:rPr>
      </w:pPr>
      <w:r>
        <w:rPr>
          <w:rFonts w:ascii="Times New Roman" w:hAnsi="Times New Roman"/>
          <w:b/>
          <w:i/>
          <w:color w:val="000000"/>
          <w:sz w:val="20"/>
        </w:rPr>
        <w:t>Benefit from Income Taxes</w:t>
      </w:r>
      <w:r>
        <w:rPr>
          <w:rFonts w:ascii="Times New Roman" w:hAnsi="Times New Roman"/>
          <w:color w:val="000000"/>
          <w:sz w:val="20"/>
        </w:rPr>
        <w:t xml:space="preserve"> </w:t>
      </w:r>
    </w:p>
    <w:p>
      <w:pPr>
        <w:pStyle w:val="TextBody"/>
        <w:bidi w:val="0"/>
        <w:jc w:val="left"/>
        <w:rPr/>
      </w:pPr>
      <w:r>
        <w:rPr/>
        <w:t> </w:t>
      </w:r>
    </w:p>
    <w:tbl>
      <w:tblPr>
        <w:tblW w:w="7532" w:type="dxa"/>
        <w:jc w:val="left"/>
        <w:tblInd w:w="0" w:type="dxa"/>
        <w:tblLayout w:type="fixed"/>
        <w:tblCellMar>
          <w:top w:w="28" w:type="dxa"/>
          <w:left w:w="28" w:type="dxa"/>
          <w:bottom w:w="28" w:type="dxa"/>
          <w:right w:w="28" w:type="dxa"/>
        </w:tblCellMar>
      </w:tblPr>
      <w:tblGrid>
        <w:gridCol w:w="2251"/>
        <w:gridCol w:w="146"/>
        <w:gridCol w:w="296"/>
        <w:gridCol w:w="444"/>
        <w:gridCol w:w="205"/>
        <w:gridCol w:w="205"/>
        <w:gridCol w:w="296"/>
        <w:gridCol w:w="951"/>
        <w:gridCol w:w="146"/>
        <w:gridCol w:w="146"/>
        <w:gridCol w:w="211"/>
        <w:gridCol w:w="736"/>
        <w:gridCol w:w="166"/>
        <w:gridCol w:w="146"/>
        <w:gridCol w:w="202"/>
        <w:gridCol w:w="669"/>
        <w:gridCol w:w="316"/>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1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change in provision for income tax benefit for the three months ended March 31, 2026, compared to the same period in 2025, was due to a $46.2 million discrete tax benefit recorded in the prior period from the release of a portion of the valuation allowance attributable to net deferred tax liabilities related to the acquisition of Ambry which offset certain of our net deferred tax assets.</w:t>
      </w:r>
    </w:p>
    <w:p>
      <w:pPr>
        <w:pStyle w:val="TextBody"/>
        <w:bidi w:val="0"/>
        <w:spacing w:before="360" w:after="283"/>
        <w:jc w:val="left"/>
        <w:rPr>
          <w:rFonts w:ascii="Times New Roman" w:hAnsi="Times New Roman"/>
          <w:sz w:val="20"/>
        </w:rPr>
      </w:pPr>
      <w:r>
        <w:rPr>
          <w:rFonts w:ascii="Times New Roman" w:hAnsi="Times New Roman"/>
          <w:b/>
          <w:i/>
          <w:color w:val="000000"/>
          <w:sz w:val="20"/>
        </w:rPr>
        <w:t>Losses from Equity Method Investments</w:t>
      </w:r>
      <w:r>
        <w:rPr>
          <w:rFonts w:ascii="Times New Roman" w:hAnsi="Times New Roman"/>
          <w:color w:val="000000"/>
          <w:sz w:val="20"/>
        </w:rPr>
        <w:t xml:space="preserve"> </w:t>
      </w:r>
    </w:p>
    <w:p>
      <w:pPr>
        <w:pStyle w:val="TextBody"/>
        <w:bidi w:val="0"/>
        <w:jc w:val="left"/>
        <w:rPr/>
      </w:pPr>
      <w:r>
        <w:rPr/>
        <w:t> </w:t>
      </w:r>
    </w:p>
    <w:tbl>
      <w:tblPr>
        <w:tblW w:w="8528" w:type="dxa"/>
        <w:jc w:val="left"/>
        <w:tblInd w:w="0" w:type="dxa"/>
        <w:tblLayout w:type="fixed"/>
        <w:tblCellMar>
          <w:top w:w="28" w:type="dxa"/>
          <w:left w:w="28" w:type="dxa"/>
          <w:bottom w:w="28" w:type="dxa"/>
          <w:right w:w="28" w:type="dxa"/>
        </w:tblCellMar>
      </w:tblPr>
      <w:tblGrid>
        <w:gridCol w:w="3331"/>
        <w:gridCol w:w="146"/>
        <w:gridCol w:w="253"/>
        <w:gridCol w:w="759"/>
        <w:gridCol w:w="199"/>
        <w:gridCol w:w="175"/>
        <w:gridCol w:w="253"/>
        <w:gridCol w:w="759"/>
        <w:gridCol w:w="166"/>
        <w:gridCol w:w="146"/>
        <w:gridCol w:w="211"/>
        <w:gridCol w:w="631"/>
        <w:gridCol w:w="166"/>
        <w:gridCol w:w="146"/>
        <w:gridCol w:w="275"/>
        <w:gridCol w:w="596"/>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5"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3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increase in losses from equity method investments for the three months ended March 31, 2026, compared to the same period in 2025, was due to the losses from SB Tempus. </w:t>
      </w:r>
    </w:p>
    <w:p>
      <w:pPr>
        <w:pStyle w:val="TextBody"/>
        <w:bidi w:val="0"/>
        <w:spacing w:before="360" w:after="283"/>
        <w:jc w:val="left"/>
        <w:rPr>
          <w:rFonts w:ascii="Times New Roman" w:hAnsi="Times New Roman"/>
          <w:sz w:val="20"/>
        </w:rPr>
      </w:pPr>
      <w:r>
        <w:rPr>
          <w:rFonts w:ascii="Times New Roman" w:hAnsi="Times New Roman"/>
          <w:b/>
          <w:color w:val="000000"/>
          <w:sz w:val="20"/>
        </w:rPr>
        <w:t>Non-GAAP Financial Measure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supplement our condensed consolidated financial statements prepared and presented in accordance with accounting principles generally accepted in the United States of America, or GAAP, we use adjusted EBITDA to facilitate analysis of our financial and business trends and for internal planning and forecasting purposes.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EBITDA is defined as earnings before interest, taxes, depreciation and amortization. We define adjusted EBITDA as net income (loss), adjusted to exclude (i) interest income, (ii) interest expense, (iii) depreciation and amortization, (iv) benefit from income taxes, (v) losses from equity method investments, (vi) changes in fair value of our marketable equity securities and indemnity-related holdback liabilities, (vii) stock-based compensation expense, (viii) employer payroll tax related to stock-based compensation expense, (ix) </w:t>
      </w:r>
      <w:r>
        <w:rPr>
          <w:rFonts w:ascii="Times New Roman" w:hAnsi="Times New Roman"/>
          <w:color w:val="231F20"/>
          <w:sz w:val="20"/>
        </w:rPr>
        <w:t>acquisition-related expenses</w:t>
      </w:r>
      <w:r>
        <w:rPr>
          <w:rFonts w:ascii="Times New Roman" w:hAnsi="Times New Roman"/>
          <w:color w:val="000000"/>
          <w:sz w:val="20"/>
        </w:rPr>
        <w:t xml:space="preserve">, and (x) amortization of deferred other income from our IP License Agreement with SB Tempus.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provides a useful measure for period-to-period comparisons of our business performance. Moreover, adjusted EBITDA is a key measurement used by our management internally to make operating decisions, including those related to analyzing operating expenses, evaluating performance, and performing strategic planning and annual budgeting.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has limitations as a financial measure, should be considered as supplemental in nature, and is not meant as a substitute for, or superior to, the related financial information prepared in accordance with GAAP. Some of these limitations are that adjusted EBITDA: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interest income which increases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depreciation and amortization expense, and although these are non-cash expenses, the asset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does not reflect provision for or benefit from income taxes that reduces cash available to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excludes change in fair value of marketable equity securities and indemnity-related holdback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adjusted EBITDA, along with net loss, the most directly comparable GAAP measure, for each period presented below: </w:t>
      </w:r>
    </w:p>
    <w:p>
      <w:pPr>
        <w:pStyle w:val="TextBody"/>
        <w:bidi w:val="0"/>
        <w:jc w:val="left"/>
        <w:rPr/>
      </w:pPr>
      <w:r>
        <w:rPr/>
        <w:t> </w:t>
      </w:r>
    </w:p>
    <w:tbl>
      <w:tblPr>
        <w:tblW w:w="8001" w:type="dxa"/>
        <w:jc w:val="left"/>
        <w:tblInd w:w="0" w:type="dxa"/>
        <w:tblLayout w:type="fixed"/>
        <w:tblCellMar>
          <w:top w:w="28" w:type="dxa"/>
          <w:left w:w="28" w:type="dxa"/>
          <w:bottom w:w="28" w:type="dxa"/>
          <w:right w:w="28" w:type="dxa"/>
        </w:tblCellMar>
      </w:tblPr>
      <w:tblGrid>
        <w:gridCol w:w="5046"/>
        <w:gridCol w:w="146"/>
        <w:gridCol w:w="219"/>
        <w:gridCol w:w="873"/>
        <w:gridCol w:w="172"/>
        <w:gridCol w:w="151"/>
        <w:gridCol w:w="219"/>
        <w:gridCol w:w="764"/>
        <w:gridCol w:w="4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(125,919</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(89,331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Losses from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Fair value changes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52,706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Employer payroll tax related to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Acquisition related expenses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technology license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Fair value changes include gains and losses related to quarterly fair value adjustments of our marketable equity securities and indemnity-related holdback liabilities.</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(2)</w:t>
      </w:r>
    </w:p>
    <w:p>
      <w:pPr>
        <w:pStyle w:val="TextBody"/>
        <w:bidi w:val="0"/>
        <w:jc w:val="left"/>
        <w:rPr>
          <w:rFonts w:ascii="Times New Roman" w:hAnsi="Times New Roman"/>
          <w:color w:val="231F20"/>
          <w:sz w:val="20"/>
        </w:rPr>
      </w:pPr>
      <w:r>
        <w:rPr>
          <w:rFonts w:ascii="Times New Roman" w:hAnsi="Times New Roman"/>
          <w:color w:val="231F20"/>
          <w:sz w:val="20"/>
        </w:rPr>
        <w:t>Acquisition related expenses consist of legal, diligence, accounting, and financing costs incurred for acquisitions during the three months ended March 31, 2026 and 2025.</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and negative cash flows from operations since our inception, and as of March 31, 2026, we had an accumulated deficit of $2.5 billion.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funded our operations to date principally from the sale of stock, convertible debt, term debt, the Revolving Credit Facility, and sales of our products. As of March 31, 2026, we had cash, cash equivalents and restricted cash of $525.9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our current business plan, we believe our current cash and cash equivalents, marketable equity securities and anticipated cash flows from operations, will be sufficient to meet our anticipated cash requirements for more than twelve months from the date of this Quarterly Report on Form 10-Q. We may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Quarterly Report on Form 10-Q and in our Form 10-K for the year ended December 31, 2025, we may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July 3, 2025, we completed the Offering of $750.0 million aggregate principal amount of 0.75% Convertible Senior Notes due 2030, or the Notes. Our net proceeds from the Offering were $725.7 million, after deducting the initial purchasers' discount and commissions and offering expenses payable by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Notes are general unsecured obligations of ours and will mature on July 15, 2030. Interest on the Notes will accrue at a rate of 0.75% per year from July 3, 2025 and will be payable semiannually in arrears on January 15 and July 15 of each year, beginning on January 15, 2026. The Notes are convertible at the option of the holders prior to April 15, 2030, upon satisfaction of one or more of the following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any calendar quarter, commencing after the fiscal quarter ending on September 30, 2025, if the last reported sale price of our Class A common stock, for at least 20 trading days (whether or not consecutive) during a period of 30 consecutive trading days ending on the last trading day of the immediately preceding calendar quarter is greater than or equal to 130% of the conversion price for the Notes on each applicable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five business day period after any ten consecutive trading day period, or the measurement period, in which the trading price per $1,000 principal amount of the Notes for each trading day of the measurement period was less than 98% of the product of the last reported sale price of our Class A common stock and the conversion rate for the Notes on each such trading day;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call the Notes for redemption, at any time prior to the close of business on the second scheduled trading day immediately preceding the redemption date; 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occurrence of specified corporate events.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or after April 15, 2030, until the close of business on the second scheduled trading day immediately preceding the maturity date, holders may convert all or any portion of their Notes at their option at any time, regardless of the foregoing conditions. Upon conversion, we will pay or deliver cash, shares of our Class A common stock or a combination of cash and shares of our Class A common stock, at our election.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conversion rate for the Notes is 11.8778 shares of Class A common stock per $1,000 principal amount of Notes, which is equivalent to an initial conversion price of approximately $84.19 per share of Class A common stock. The conversion rate is subject to adjustment under certain circumstances.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or after July 20, 2028, we may redeem for cash all or any portion of the Notes if the last reported sale price of our Class A common stock has been at least 130% of the conversion price for the Notes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 of the Notes to be redeemed, plus accrued and unpaid interest. If we redeem less than all the outstanding Notes, at least $100.0 million aggregate principal amount of Notes must be outstanding and not subject to redemption. No sinking fund is provided for the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undergo a fundamental change (as defined in the indenture governing the Notes), then, subject to certain conditions and exceptions, noteholders may require us to repurchase for cash all or any portion of their Notes at a fundamental change repurchase price equal to 100% of the principal amount of the Notes to be repurchased, plus accrued and unpaid interest, to, but excluding, the fundamental change repurchase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pricing of the Notes on June 30, 2025, and in connection with the exercise in full by the initial purchasers of their option to purchase additional Notes on July 1, 2025, we entered into capped call transactions, or the Capped Call, effective as of July 3, 2025, with one of the initial purchasers and certain other financial institutions. The Capped Call is expected generally to reduce the potential dilution to our Class A common stock upon any conversion of the Notes and/or offset any cash payments we are required to make in excess of the principal amount of converted Notes, with such reduction and/or offset subject to a cap based on a cap price initially equal to $111.1950 per share, which is subject to certain adjustments under the terms of the Capped Call. The Capped Calls have an initial strike price of approximately $84.19 per share, subject to certain adjustments, which corresponds to the initial conversion price of the Notes. The Capped Calls cover, subject to anti-dilution adjustments, approximately 8,908,350 shares of our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paid approximately $41.8 million cost of the Capped Call from the proceeds of the Offering. We expect to use the remaining net proceeds from the Offering for general corporate purposes, which may include acquisitions or strategic investments in complementary businesses or technologies, working capital, operating expenses, capital expenditures and repayment of additional indebtedness.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Credit Facilities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On September 22, 2022, we entered into a Credit Agreement, or the Original Credit Agreement, with Ares Capital Corporation, or Ares, for a senior secured loan, or the Term Loan Facility that matures in September 2027, in an original principal amount of $175.0 million, less original issue discount of $4.4 million and deferred financing fees of $2.6 million. The Original Credit Agreement was amended on April 25, 2023 and October 11, 2023, to, among other things, increase the original principal amount of the Term Loan Facility by $85.0 million in the aggregate, less original issue discount of $2.2 million in the aggregate.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On February 3, 2025, we entered into a Third Amendment Agreement, or the Third Amendment Agreement which, among other things, provided for an additional $200.0 million tranche of senior secured term loans, or the Additional Term Loan Facility, and together with the Term Loan Facility, the Term Loans, and $100.0 million in priority revolving loan commitments, or the Revolving Credit Facility, and loans thereunder, the Revolving Loans. We received $194.0 million under the Additional Term Loan Facility, which is the aggregate principal amount of $200.0 million, less original issue discount of $4.0 million and $2.0 million in legal fees paid to third parties, and $97.1 million in revolving loans under the Revolving Credit Facility, which is the aggregate amount of $100.0 million, less original issue discount of $2.0 million and $0.9 million in legal fees paid to third parties, the proceeds of which were used to fund the cash consideration for the Ambry Acquisition and to pay related fees. The Third Amendment Agreement was accounted for as a debt modification. The Additional Term Loan Facility and the Revolving Credit Facility mature on February 3, 2030.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June 30, 2025, in conjunction with the Offering, we entered into a Fourth Amendment to the Credit Agreement, or the Fourth Amendment Agreement. The Fourth Amendment Agreement amended the terms of the Credit Agreement to (i) permit the Offering and the related derivative transactions and (ii) provide that the Offering satisfies the junior capital raise requirement set forth in the Credit Agreement. Except as noted above, the material terms of the Credit Agreement were not amended. The Fourth Amendment Agreement was accounted for as a debt modification.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Term Loans and Revolving Credit Facility, or together with the Term Loan Facilities, the Credit Facilities, are subject to quarterly interest payments for Base Rate loans and at the end of the applicable interest rate period for Term Secured Overnight Financing Rate, or SOFR, loans.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The Term Loans are subject to quarterly interest payments, which bears interest based on Term SOFR. Additionally, we may make either a paid-in-kind, or PIK, election or a Cash election. Pursuant to the Original Credit Agreement, as amended by the Fourth Amendment Agreement, or the Credit Agreement, interest on the Term Loans accrues at a per annum rate as follows: (i) for any interest period for which we elect to pay interest in cash, the cash interest rate for Term SOFR borrowings will be Term SOFR plus a margin ranging from 6.75% to 7.75%, respectively, and (ii) for any interest period for which we elect to pay interest in kind, the cash interest rate for Term SOFR borrowings will be Term SOFR plus a margin of 5%, respectively, and the PIK interest rate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3.25%. The applicable margin for any interest period for which we elect to pay interest in cash will be based on a consolidated first lien leverage ratio.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Interest on the Revolving Loans accrues interest at a per annum rate equal to Term SOFR plus 3.75%. At all times prior to the termination of the Revolving Credit Facility, to the extent that, on any date, the outstanding aggregate principal amount of Revolving Credit Facility is less than the greater of (x) 50.0% of the revolving commitments and (y) $50.0 million, the amount of interest payable on the Revolving Loans shall be equal to the amount of interest that would be payable had the outstanding principal amount of Revolving Loans equaled the greater of (x) 50.0% of the revolving commitments and (y) $50.0 million, or the Minimum Revolving Interest Amount. A commitment fee will accrue on the unused amount of the Revolving Credit Facility at a per annum rate of 0.50%; provided, however, that no such fee shall accrue to the extent we are being charged the Minimum Revolving Interest Amount.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addition, the Credit Agreement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 month period ending on the last day of each fiscal quarter. Minimum consolidated revenues shall equal $1.1 billion for the fiscal quarters ending March 31, 2026 through December 31, 2026. The Credit Agreement also contains a maximum first lien leverage from and after the fiscal quarter ending March 31, 2027. We are in compliance with all covenants in the Credit Agreement as of March 31, 2026.</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In July 2025, we repaid in full the principal amount of the Term Loan Facility for $276.9 million, leaving only the Additional Term Loan Facility and Revolving Credit Facility as outstanding.</w:t>
      </w:r>
    </w:p>
    <w:p>
      <w:pPr>
        <w:pStyle w:val="TextBody"/>
        <w:bidi w:val="0"/>
        <w:spacing w:before="200" w:after="283"/>
        <w:jc w:val="left"/>
        <w:rPr>
          <w:rFonts w:ascii="Times New Roman" w:hAnsi="Times New Roman"/>
          <w:sz w:val="20"/>
        </w:rPr>
      </w:pPr>
      <w:r>
        <w:rPr>
          <w:rFonts w:ascii="Times New Roman" w:hAnsi="Times New Roman"/>
          <w:b/>
          <w:i/>
          <w:color w:val="000000"/>
          <w:sz w:val="20"/>
        </w:rPr>
        <w:t>Convertible Promissory Note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22, 2025, we amended our convertible promissory note, or the Second Amended Note, with Google LLC, or Google, originally entered into on June 22, 2020, or the Initial Note, and subsequently amended on November 19, 2020, or the Amended Note. The amendment extended the maturity date of the Second Amended Note from March 22, 2026 to December 31, 2030. In addition, the amendment provides us the option upon maturity to repay up to 50% of the outstanding principal and accrued interest balance, or the Outstanding Amount, in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balance of the Second Amended Note was reset to $238.8 million, which is the total of the then-outstanding principal and accrued interest. Consistent with the terms of the Amended Note, the Second Amended Note bears interest at a rate of 6.0% per annum, compounded annually. The principal amount is automatically reduced each year based on a formula taking into account the aggregate value of the Google Cloud Platform services used by us. We account for the principal reductions as an offset to its cloud and compute spend within selling, general and administrative in its condensed consolidated statements of operations and comprehensive loss. The Outstanding Amount under the Second Amended Note is due and payable on the earlier of (1) December 31, 2030, which is the maturity date of the Amended Note, (2) upon the occurrence and during the continuance of an event of default, and (3) upon the occurrence of an acceleration event, which includes any termination by us of the Google Cloud Platform agreement. We generally may not prepay the Outstanding Amount, except that we may, at our option, prepay the Outstanding Amount in an amount such that the principal amount remaining outstanding after such repayment is $150.0 million.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 the Market Sales Agreement</w:t>
      </w:r>
    </w:p>
    <w:p>
      <w:pPr>
        <w:pStyle w:val="TextBody"/>
        <w:bidi w:val="0"/>
        <w:spacing w:before="120" w:after="283"/>
        <w:jc w:val="left"/>
        <w:rPr>
          <w:rFonts w:ascii="Times New Roman" w:hAnsi="Times New Roman"/>
          <w:sz w:val="20"/>
        </w:rPr>
      </w:pPr>
      <w:r>
        <w:rPr>
          <w:rFonts w:ascii="Times New Roman" w:hAnsi="Times New Roman"/>
          <w:color w:val="000000"/>
          <w:sz w:val="20"/>
        </w:rPr>
        <w:t>On August 8, 2025, we entered into a Controlled Equity Offering</w:t>
      </w:r>
      <w:r>
        <w:rPr>
          <w:rFonts w:ascii="Times New Roman" w:hAnsi="Times New Roman"/>
          <w:color w:val="000000"/>
          <w:sz w:val="16"/>
        </w:rPr>
        <w:t>SM</w:t>
      </w:r>
      <w:r>
        <w:rPr>
          <w:rFonts w:ascii="Times New Roman" w:hAnsi="Times New Roman"/>
          <w:color w:val="000000"/>
          <w:sz w:val="20"/>
        </w:rPr>
        <w:t xml:space="preserve"> Sales Agreement, or the Sales Agreement, with Morgan Stanley &amp; Co., LLC, Cantor Fitzgerald &amp; Co., TD Securities (USA), LLC and Allen &amp; Company LLC, as sales agents, or collectively, the Sales Agents, pursuant to which we may offer and sell from time to time, at our option, shares of Class A common stock through the Sales Agents, or the ATM. The issuance and sale, if any, of shares of Class A Common Stock under the Sales Agreement will be made pursuant to an automatically effective registration statement on Form S-3 and the related prospectus included therein, or the ATM Prospectus, which was filed with the SEC on August 8, 2025. In accordance with the terms of the Sales Agreement, under the ATM Prospectus, we may offer and sell shares of Class A common stock having an aggregate offering price of up to $500.0 million from time to time through the Sales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sell any shares under the ATM during the three months ended March 31, 2026. In connection with the entry of the Sales Agreement and filing of the ATM Prospectus, we incurred $1.0 million of deferred offering costs to date, of which $0.8 million was reclassified as a reduction of paid-in-capital upon completion of the sales that occurred in 2025. The remaining deferred offering costs, which were incurred in anticipation of future ATM sales, are recorded in Prepaid and other assets on the consolidated balance sheet. As of March 31, 2026, approximately $300.0 million remained available for sale pursuant to the Sales Agreement and ATM Prospectus.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6971" w:type="dxa"/>
        <w:jc w:val="left"/>
        <w:tblInd w:w="0" w:type="dxa"/>
        <w:tblLayout w:type="fixed"/>
        <w:tblCellMar>
          <w:top w:w="28" w:type="dxa"/>
          <w:left w:w="28" w:type="dxa"/>
          <w:bottom w:w="28" w:type="dxa"/>
          <w:right w:w="28" w:type="dxa"/>
        </w:tblCellMar>
      </w:tblPr>
      <w:tblGrid>
        <w:gridCol w:w="4216"/>
        <w:gridCol w:w="146"/>
        <w:gridCol w:w="219"/>
        <w:gridCol w:w="764"/>
        <w:gridCol w:w="172"/>
        <w:gridCol w:w="151"/>
        <w:gridCol w:w="219"/>
        <w:gridCol w:w="873"/>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during the three months ended March 31, 2026 was $73.3 million, which resulted from a net loss of $125.9 million and a net change in our operating assets and liabilities of $68.4 million, offset by non-cash charges of $121.1 million. Non-cash charges primarily consisted of $52.7 million of stock-based compensation, $32.3 million of loss on marketable equity securities, $26.2 million of depreciation and amortization, $3.5 million of non-cash operating lease costs, $3.1 million of losses from equity method investments, and $1.7 million of PIK interest added to principal. The net change in our operating assets and liabilities was primarily the result of a decrease of $50.6 million in accounts payable and due to timing of payments, a decrease of $19.3 million of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operating activities during the three months ended March 31, 2025 was $105.7 million, which resulted from a net loss of $68.0 million and a net change in our operating assets and liabilities of $75.1 million, offset by non-cash charges of $37.5 million. Non-cash charges primarily consisted of $31.8 million of loss on marketable equity securities, $23.0 million of stock-based compensation, and $20.4 million of depreciation and amortization, offset by deferred income taxes of $46.2 million. The net change in our operating assets and liabilities was primarily the result of a $45.2 million increase in accounts receivable due to increased sales and timing of customer payments, a $27.6 million decrease in accrued expenses and other, primarily due to decreased payroll taxes from RSU settlements, a $12.4 million decrease in deferred revenue, offset by an increase in accounts payable of $23.6 million due to timing of payments.</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three months ended March 31, 2026 was $10.1 million, which was the result of purchases of property and equipment of $8.2 million and purchases of capitalized software of $1.9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three months ended March 31, 2025 was $375.8 million, which was the result of $380.8 million cash paid related to the Ambry and Deep 6 acquisitions, purchases of property and equipment of $2.1 million, and $1.3 million of purchases of capitalized software from the Ambry Acquisition, offset by proceeds from the sale of marketable equity securities of $8.3 million.</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during the three months ended March 31, 2026 was $0.3 million, which was primarily due to payment of deferred financing fees of $0.2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provided by financing activities during the three months ended March 31, 2025 was $293.0 million, which was the result of net proceeds from the Additional Term Loan Facility of $196.0 million, and net proceeds from the Revolving Credit Facility of $98.0 million, offset by $1.0 million of payment of deferred financing fees.</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prepared our condensed consolidated financial statements in accordance with generally accepted accounting principles in the United States, or GAAP. Our preparation of these condensed consolidated financial statements requires us to make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assumptions and judgments that affect the reported amounts of assets, liabilities, expenses and related disclosures at the date of the condensed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three months ended March 31, 2026 as described in the Form 10-K for the year ended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section titled “Summary of Significant Accounting Policies” in Note 2 to our condensed consolidated financial statements included elsewhere in this Quarterly Report on Form 10-Q for more information. </w:t>
      </w:r>
    </w:p>
    <w:p>
      <w:pPr>
        <w:pStyle w:val="TextBody"/>
        <w:bidi w:val="0"/>
        <w:spacing w:before="360" w:after="283"/>
        <w:jc w:val="left"/>
        <w:rPr>
          <w:rFonts w:ascii="Times New Roman" w:hAnsi="Times New Roman"/>
          <w:b/>
          <w:color w:val="000000"/>
          <w:sz w:val="20"/>
        </w:rPr>
      </w:pPr>
      <w:bookmarkStart w:id="10" w:name="item_3"/>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 for changes in interest rates related primarily to our cash, cash equivalents and restricted cash, and our indebtedness. As of March 31, 2026, we had cash, cash equivalents and restricted cash of $525.9 million held primarily in cash deposits and money market funds. As of March 31, 2026, we had $307.7 million outstanding under our Term Loan Facilities and Revolving Credit Facility, which are subject to quarterly interest payments. A hypothetical 100 basis point increase or decrease in interest rates under our Term Loan Facilities and Revolving Credit Facility would not be material to our financial condition or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revenue is generated in the United States. Through March 31, 2026,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March 31, 2026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 </w:t>
      </w:r>
    </w:p>
    <w:p>
      <w:pPr>
        <w:pStyle w:val="TextBody"/>
        <w:bidi w:val="0"/>
        <w:spacing w:before="36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w:t>
      </w:r>
    </w:p>
    <w:p>
      <w:pPr>
        <w:pStyle w:val="TextBody"/>
        <w:bidi w:val="0"/>
        <w:spacing w:before="360" w:after="283"/>
        <w:jc w:val="left"/>
        <w:rPr>
          <w:rFonts w:ascii="Times New Roman" w:hAnsi="Times New Roman"/>
          <w:sz w:val="20"/>
        </w:rPr>
      </w:pPr>
      <w:bookmarkStart w:id="11" w:name="item_4"/>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 Based on such evaluation, our Chief Executive Officer and Chief Financial Officer have concluded that these disclosure controls and procedures were effective at a reasonable assurance level as of March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change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the effectiveness of any internal control over financial reporting is subject to inherent limitations, including the exercise of judgment in designing, implementing, operating, and evaluating the controls and procedures, and the inability to eliminate misconduct completely.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
      <w:bookmarkEnd w:id="12"/>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From time to time, we may be involved in various legal proceedings, including commercial claims from customers and vendors, potential lawsuits seeking damages and/or injunctive relief, employment disputes, subpoenas, government investigations, regulatory or administrative proceedings, and other types of matters arising from the normal course of business activities. We may also initiate such proceedings against various third parties. Defending against and pursuing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Except as described below, we believe there are currently no pending legal proceedings to which we or our property are subject that could have a material adverse effect on our financial position, results of operations or cash flows.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On June 11, 2024, Guardant Health Inc., or Guardant, filed a complaint against us in the U.S. District Court for the District of Delaware. The complaint alleges that the Tempus xF, Tempus xF+, Tempus xM Monitor and Tempus xM MRD products use liquid biopsy technology that infringes five Guardant U.S. patents. The complaint seeks injunctive relief, unspecified monetary damages (including enhanced damages), a future mandatory royalty, costs and attorneys fees. On January 17, 2025, Guardant separately sought a Declaratory Judgment against Tempus in the U.S. District Court for the District of Delaware regarding the veracity of certain advertisements Guardant has published regarding the companies’ respective products. On March 14, 2025, Tempus filed multiple counterclaims against Guardant under the Lanham Act and related states statutes alleging, among other things, that Guardant’s advertisements were false and misleading. Tempus filed a separate patent infringement complaint against Guardant in the U.S. District Court for the Southern District of California alleging that certain Guardant products infringe U.S. Patent Nos. 12,112,839, 11,640,859, 10,957,041, and 10,991,097, which was subsequently dismissed with prejudice following transfer to the U.S. District Court for the Northern District of California. On August 12, 2025, Guardant filed a complaint against us in the U.S. District Court for the District of Delaware alleging that Tempus’s xM tests infringe three Guardant U.S. patents. The xM complaint, which has been consolidated with Guardant’s pending patent infringement case in the District of Delaware, seeks injunctive relief, unspecified monetary damages (including enhanced damages), a future mandatory royalty, costs and attorneys fees.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February 12, 2026, a lawsuit was filed against us in the United States District Court for the Northern District of Illinois. Three companion cases were filed thereafter in the same court. The lawsuits allege violations of the Illinois Genetic Information Privacy Act, other state privacy laws, and certain common law claims, and seek class action status. We believe the lawsuits to be without merit and intend to vigorously defend ourselves.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In other instances, although no formal legal proceeding has been instituted, from time to time, we receive requests from governmental agencies, or third parties working on their behalf, for documents and information related to our products and services. For example, on May 19, 2022, we received a subpoena from the Office of the Ohio Attorney General. The subpoena required production of certain billing and patient records associated with nine Ohio Medicaid patients who received our clinical diagnostic tests between 2019 and 2022. We provided responsive documents in June 2022 and have not received additional inquiry from the Ohio Attorney General’s office since that time. </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Similarly, on March 4, 2024, we received a Civil Investigative Demand, or CID, from the U.S. Attorney’s Office for the Eastern District of New York. The CID requested documents and other information related to our compliance with the False Claims Act, the Anti-Kickback statute, and in particular 42 C.F.R. § 414.510(b), which is commonly referred to as the Medicare 14-Day or Date of Service Rule. We provided an initial production on April 4, 2024, and have produced additional responsive documents on a rolling basis since that time.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While we believe we have complied with all applicable legal rules and regulations, no assurance can be given as to the timing or outcome of the government’s investigations, or that they will not result in a material adverse effect on our business. In addition, we have received requests for medical records and billing information from certain Unified Program Integrity Coordinators or other third parties working on the government’s behalf regarding clinical diagnostic services provided by us to patients enrolled in the Medicare and Medicaid programs. We have responded to all such requests for information.</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 xml:space="preserve">We assess legal contingencies to determine the degree of probability and range of possible loss for potential accrual in our financial statements. When evaluating legal contingencies, we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may be unsupported, exaggerated or unrelated to possible outcomes, and as such are not meaningful indicators of potential liability. Loss contingencies,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 xml:space="preserve">including claims and legal actions arising in the ordinary course of business, are recorded as liabilities when the likelihood of loss is probable and an amount or range of loss can be reasonably estimated. </w:t>
      </w:r>
    </w:p>
    <w:p>
      <w:pPr>
        <w:pStyle w:val="TextBody"/>
        <w:bidi w:val="0"/>
        <w:spacing w:before="20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financial condition and operating results are affected by a number of factors, whether currently known or unknown, including risks specific to us or the healthcare industry as well as risks that affect businesses in general. In addition to the information set forth in this Quarterly Report on Form 10-Q, you should consider carefully the factors discussed in Part I, Item 1A, “Risk Factors” in our Annual Report on Form 10-K for the fiscal year ended December 31, 2025, filed with the SEC on February 24, 2026. The risks and uncertainties disclosed in such Annual Report could materially adversely affect our business, financial condition, cash flows or results of operations and thus our stock price. During the first quarter of fiscal 2026, there were no material changes to our previously disclosed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These risk factors may be important to understanding other statements in this Quarterly Report and should be read in conjunction with the unaudited condensed consolidated financial statements and related notes in Part I, Item 1, “</w:t>
      </w:r>
      <w:r>
        <w:rPr>
          <w:rFonts w:ascii="Times New Roman" w:hAnsi="Times New Roman"/>
          <w:i/>
          <w:color w:val="000000"/>
          <w:sz w:val="20"/>
        </w:rPr>
        <w:t>Financial Statements</w:t>
      </w:r>
      <w:r>
        <w:rPr>
          <w:rFonts w:ascii="Times New Roman" w:hAnsi="Times New Roman"/>
          <w:color w:val="000000"/>
          <w:sz w:val="20"/>
        </w:rPr>
        <w:t>” and Part I, Item 2,“</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of this Quarterly Report. Because of such risk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pStyle w:val="TextBody"/>
        <w:bidi w:val="0"/>
        <w:jc w:val="left"/>
        <w:rPr/>
      </w:pPr>
      <w:r>
        <w:rPr/>
        <w:t> </w:t>
      </w:r>
    </w:p>
    <w:p>
      <w:pPr>
        <w:pStyle w:val="TextBody"/>
        <w:bidi w:val="0"/>
        <w:spacing w:before="360" w:after="283"/>
        <w:jc w:val="left"/>
        <w:rPr>
          <w:rFonts w:ascii="Times New Roman" w:hAnsi="Times New Roman"/>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item_4_mine_safety_disclosures"/>
      <w:bookmarkEnd w:id="17"/>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sz w:val="20"/>
        </w:rPr>
      </w:pPr>
      <w:bookmarkStart w:id="18" w:name="item_5_other_information"/>
      <w:bookmarkEnd w:id="18"/>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Disclosure of Trading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fiscal quarter ended March 31, 2026, none of our directors or officers (as defined in Rule 16a-1(f) under the Exchange Act) adopted or terminated a “Rule 10b5-1 trading arrangement” or a “non-Rule 10b5-1 trading arrangement,” as each term is defined in Item 408 of Regulation S-K, except as set forth in the table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80"/>
        <w:gridCol w:w="146"/>
        <w:gridCol w:w="896"/>
        <w:gridCol w:w="146"/>
        <w:gridCol w:w="961"/>
        <w:gridCol w:w="146"/>
        <w:gridCol w:w="676"/>
        <w:gridCol w:w="146"/>
        <w:gridCol w:w="826"/>
        <w:gridCol w:w="146"/>
        <w:gridCol w:w="1366"/>
        <w:gridCol w:w="146"/>
        <w:gridCol w:w="1224"/>
      </w:tblGrid>
      <w:tr>
        <w:trPr/>
        <w:tc>
          <w:tcPr>
            <w:tcW w:w="33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24" w:type="dxa"/>
            <w:tcBorders/>
            <w:shd w:fill="FFFFFF" w:val="clear"/>
            <w:vAlign w:val="center"/>
          </w:tcPr>
          <w:p>
            <w:pPr>
              <w:pStyle w:val="TableContents"/>
              <w:bidi w:val="0"/>
              <w:spacing w:before="0" w:after="283"/>
              <w:jc w:val="left"/>
              <w:rPr>
                <w:sz w:val="4"/>
                <w:szCs w:val="4"/>
              </w:rPr>
            </w:pPr>
            <w:r>
              <w:rPr>
                <w:sz w:val="4"/>
                <w:szCs w:val="4"/>
              </w:rPr>
            </w:r>
          </w:p>
        </w:tc>
      </w:tr>
      <w:tr>
        <w:trPr/>
        <w:tc>
          <w:tcPr>
            <w:tcW w:w="338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48"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Type of Trading</w:t>
            </w:r>
            <w:r>
              <w:rPr>
                <w:rFonts w:ascii="Times New Roman" w:hAnsi="Times New Roman"/>
                <w:color w:val="000000"/>
                <w:sz w:val="16"/>
              </w:rPr>
              <w:br/>
            </w:r>
            <w:r>
              <w:rPr>
                <w:rFonts w:ascii="Times New Roman" w:hAnsi="Times New Roman"/>
                <w:b/>
                <w:color w:val="000000"/>
                <w:sz w:val="16"/>
              </w:rPr>
              <w:t>Arrangement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8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Action</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Date</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Rule</w:t>
              <w:br/>
              <w:t>10b5-1*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Non-Rule</w:t>
              <w:br/>
              <w:t>10b5-1**</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Total Shares of</w:t>
              <w:br/>
              <w:t>Class A common</w:t>
              <w:br/>
              <w:t>stock to be Sold</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2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Expiration Date</w:t>
            </w:r>
            <w:r>
              <w:rPr>
                <w:rFonts w:ascii="Times New Roman" w:hAnsi="Times New Roman"/>
                <w:color w:val="000000"/>
                <w:sz w:val="16"/>
              </w:rPr>
              <w:t xml:space="preserve"> </w:t>
            </w:r>
          </w:p>
        </w:tc>
      </w:tr>
      <w:tr>
        <w:trPr/>
        <w:tc>
          <w:tcPr>
            <w:tcW w:w="3380" w:type="dxa"/>
            <w:tcBorders/>
            <w:shd w:fill="CFF0FA"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Tom Schoenherr, Chief Executive Officer, Diagnostics</w:t>
            </w:r>
          </w:p>
        </w:tc>
        <w:tc>
          <w:tcPr>
            <w:tcW w:w="146" w:type="dxa"/>
            <w:tcBorders/>
            <w:shd w:fill="CFF0FA" w:val="clear"/>
            <w:tcMar>
              <w:top w:w="0" w:type="dxa"/>
              <w:left w:w="0" w:type="dxa"/>
              <w:bottom w:w="0" w:type="dxa"/>
              <w:right w:w="0" w:type="dxa"/>
            </w:tcMar>
            <w:vAlign w:val="center"/>
          </w:tcPr>
          <w:p>
            <w:pPr>
              <w:pStyle w:val="TableContents"/>
              <w:bidi w:val="0"/>
              <w:spacing w:before="0" w:after="20"/>
              <w:jc w:val="right"/>
              <w:rPr/>
            </w:pPr>
            <w:r>
              <w:rPr/>
              <w:t> </w:t>
            </w:r>
          </w:p>
        </w:tc>
        <w:tc>
          <w:tcPr>
            <w:tcW w:w="896" w:type="dxa"/>
            <w:tcBorders/>
            <w:shd w:fill="CFF0FA" w:val="clear"/>
            <w:tcMar>
              <w:top w:w="0" w:type="dxa"/>
              <w:left w:w="0" w:type="dxa"/>
              <w:bottom w:w="0" w:type="dxa"/>
              <w:right w:w="0" w:type="dxa"/>
            </w:tcMar>
            <w:vAlign w:val="center"/>
          </w:tcPr>
          <w:p>
            <w:pPr>
              <w:pStyle w:val="TableContents"/>
              <w:bidi w:val="0"/>
              <w:spacing w:before="0" w:after="20"/>
              <w:jc w:val="center"/>
              <w:rPr>
                <w:rFonts w:ascii="Times New Roman" w:hAnsi="Times New Roman"/>
                <w:color w:val="000000"/>
                <w:sz w:val="18"/>
              </w:rPr>
            </w:pPr>
            <w:r>
              <w:rPr>
                <w:rFonts w:ascii="Times New Roman" w:hAnsi="Times New Roman"/>
                <w:color w:val="000000"/>
                <w:sz w:val="18"/>
              </w:rPr>
              <w:t>Adoption</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3, 2026</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To Be Determined</w:t>
            </w:r>
            <w:r>
              <w:rPr>
                <w:rFonts w:ascii="Times New Roman" w:hAnsi="Times New Roman"/>
                <w:color w:val="000000"/>
                <w:sz w:val="12"/>
              </w:rPr>
              <w:t>(1)</w:t>
            </w:r>
          </w:p>
        </w:tc>
        <w:tc>
          <w:tcPr>
            <w:tcW w:w="146" w:type="dxa"/>
            <w:tcBorders/>
            <w:shd w:fill="CFF0FA" w:val="clear"/>
            <w:tcMar>
              <w:top w:w="0" w:type="dxa"/>
              <w:left w:w="0" w:type="dxa"/>
              <w:bottom w:w="0" w:type="dxa"/>
              <w:right w:w="0" w:type="dxa"/>
            </w:tcMar>
            <w:vAlign w:val="center"/>
          </w:tcPr>
          <w:p>
            <w:pPr>
              <w:pStyle w:val="TableContents"/>
              <w:bidi w:val="0"/>
              <w:spacing w:before="0" w:after="283"/>
              <w:jc w:val="center"/>
              <w:rPr/>
            </w:pPr>
            <w:r>
              <w:rPr/>
              <w:t> </w:t>
            </w:r>
          </w:p>
        </w:tc>
        <w:tc>
          <w:tcPr>
            <w:tcW w:w="1224" w:type="dxa"/>
            <w:tcBorders/>
            <w:shd w:fill="CFF0FA"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May 31, 2027</w:t>
            </w:r>
          </w:p>
        </w:tc>
      </w:tr>
      <w:tr>
        <w:trPr/>
        <w:tc>
          <w:tcPr>
            <w:tcW w:w="33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Eric Lefkofsky, Chief Executive Officer, Founder and Director</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89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sz w:val="18"/>
              </w:rPr>
            </w:pPr>
            <w:r>
              <w:rPr>
                <w:rFonts w:ascii="Times New Roman" w:hAnsi="Times New Roman"/>
                <w:color w:val="000000"/>
                <w:sz w:val="18"/>
              </w:rPr>
              <w:t>Adoption</w:t>
            </w:r>
            <w:r>
              <w:rPr>
                <w:rFonts w:ascii="Times New Roman" w:hAnsi="Times New Roman"/>
                <w:color w:val="000000"/>
                <w:sz w:val="12"/>
              </w:rPr>
              <w:t>(2)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8, 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color w:val="000000"/>
                <w:sz w:val="18"/>
              </w:rPr>
              <w:t>7,050,000</w:t>
            </w:r>
            <w:r>
              <w:rPr>
                <w:rFonts w:ascii="Times New Roman" w:hAnsi="Times New Roman"/>
                <w:color w:val="000000"/>
                <w:sz w:val="12"/>
              </w:rPr>
              <w:t>(3)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 2027</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Contract, instruction or written plan intended to satisfy the affirmative defense conditions of Rule 10b5-1(c) under the Exchange Act. </w:t>
      </w:r>
    </w:p>
    <w:p>
      <w:pPr>
        <w:pStyle w:val="TextBody"/>
        <w:bidi w:val="0"/>
        <w:jc w:val="left"/>
        <w:rPr>
          <w:rFonts w:ascii="Times New Roman" w:hAnsi="Times New Roman"/>
          <w:color w:val="000000"/>
          <w:sz w:val="20"/>
        </w:rPr>
      </w:pPr>
      <w:r>
        <w:rPr>
          <w:rFonts w:ascii="Times New Roman" w:hAnsi="Times New Roman"/>
          <w:color w:val="000000"/>
          <w:sz w:val="20"/>
        </w:rPr>
        <w:t xml:space="preserve">** “Non-Rule 10b5-1 trading arrangement” as defined in Item 408(c) of Regulation S-K under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Rule 10b5-1 trading plan provides for sales of (i) 20,562 shares of Class A common stock and (ii) up to 100% of the net number of shares received upon vesting of an aggregate of 47,180 RSUs and time-vesting PSUs, after giving effect to the withholding or sale of a portion of such shares to satisfy tax withholding obligations. Accordingly, the aggregate maximum number of shares that may be sold pursuant to this trading arrangement is dependent on the amount of tax withholding required upon the vesting of RSUs and time-vesting PSUs, and, therefore, is indeterminable at this time.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Trading under this Rule 10b5-1 trading plan will not commence until completion of the required cooling off period under Rule 10b5-1 and the conclusion of Mr. Lefkofsky’s prior Rule 10b5-1 trading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adoption of a Rule 10b5-1 trading plan by Blue Media, LLC and Gray Media, LLC, each an entity controlled by Mr. Lefkofsky, and Lefkofsky Family Foundation and Vas.org Foundation, of each of which Mr. Lefkofsky is a trustee, providing for the sale of up to 4,590,000 shares of Class A common stock held by Blue Media, LLC, up to 1,955,000 shares of Class A common stock held by Gray Media, LLC, up to 255,000 shares of Class A common stock held by Lefkofsky Family Foundation, and up to 250,000 shares of Class A common stock held by Vas.org Foundation.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6"/>
        <w:gridCol w:w="282"/>
        <w:gridCol w:w="5317"/>
        <w:gridCol w:w="282"/>
        <w:gridCol w:w="523"/>
        <w:gridCol w:w="146"/>
        <w:gridCol w:w="736"/>
        <w:gridCol w:w="146"/>
        <w:gridCol w:w="643"/>
        <w:gridCol w:w="146"/>
        <w:gridCol w:w="1168"/>
      </w:tblGrid>
      <w:tr>
        <w:trPr/>
        <w:tc>
          <w:tcPr>
            <w:tcW w:w="816"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5317"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52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68" w:type="dxa"/>
            <w:tcBorders/>
            <w:shd w:fill="FFFFFF" w:val="cle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50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Incorporated by Reference</w:t>
            </w:r>
            <w:r>
              <w:rPr>
                <w:rFonts w:ascii="Times New Roman" w:hAnsi="Times New Roman"/>
                <w:color w:val="000000"/>
                <w:sz w:val="16"/>
              </w:rPr>
              <w:t xml:space="preserve"> </w:t>
            </w:r>
          </w:p>
        </w:tc>
      </w:tr>
      <w:tr>
        <w:trPr/>
        <w:tc>
          <w:tcPr>
            <w:tcW w:w="8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2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Form</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File 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Filing Date</w:t>
            </w:r>
            <w:r>
              <w:rPr>
                <w:rFonts w:ascii="Times New Roman" w:hAnsi="Times New Roman"/>
                <w:color w:val="000000"/>
                <w:sz w:val="16"/>
              </w:rPr>
              <w:t xml:space="preserve"> </w:t>
            </w:r>
          </w:p>
        </w:tc>
      </w:tr>
      <w:tr>
        <w:trPr/>
        <w:tc>
          <w:tcPr>
            <w:tcW w:w="8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2.1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2">
              <w:r>
                <w:rPr>
                  <w:rStyle w:val="InternetLink"/>
                  <w:rFonts w:ascii="Times New Roman" w:hAnsi="Times New Roman"/>
                  <w:color w:val="0000FF"/>
                  <w:sz w:val="20"/>
                  <w:u w:val="single"/>
                </w:rPr>
                <w:t>Plan of Conversion.</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816"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3">
              <w:r>
                <w:rPr>
                  <w:rStyle w:val="InternetLink"/>
                  <w:rFonts w:ascii="Times New Roman" w:hAnsi="Times New Roman"/>
                  <w:color w:val="0000FF"/>
                  <w:sz w:val="20"/>
                  <w:u w:val="single"/>
                </w:rPr>
                <w:t>Articles of Incorporation of the Registrant.</w:t>
              </w:r>
            </w:hyperlink>
            <w:hyperlink r:id="rId4">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3.2</w:t>
            </w:r>
          </w:p>
          <w:p>
            <w:pPr>
              <w:pStyle w:val="TableContents"/>
              <w:bidi w:val="0"/>
              <w:spacing w:before="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5">
              <w:r>
                <w:rPr>
                  <w:rStyle w:val="InternetLink"/>
                  <w:rFonts w:ascii="Times New Roman" w:hAnsi="Times New Roman"/>
                  <w:color w:val="0000FF"/>
                  <w:sz w:val="20"/>
                  <w:u w:val="single"/>
                </w:rPr>
                <w:t>Amended and Restated Articles of Incorporation of the Registrant.</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4,2025</w:t>
            </w:r>
          </w:p>
        </w:tc>
      </w:tr>
      <w:tr>
        <w:trPr/>
        <w:tc>
          <w:tcPr>
            <w:tcW w:w="816"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12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3.3</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r:id="rId6">
              <w:r>
                <w:rPr>
                  <w:rStyle w:val="InternetLink"/>
                  <w:rFonts w:ascii="Times New Roman" w:hAnsi="Times New Roman"/>
                  <w:color w:val="0000FF"/>
                  <w:sz w:val="20"/>
                  <w:u w:val="single"/>
                </w:rPr>
                <w:t>Amended and Restated Bylaws of the Registrant.</w:t>
              </w:r>
            </w:hyperlink>
            <w:hyperlink r:id="rId7">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001-42130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8, 2025</w:t>
            </w:r>
          </w:p>
        </w:tc>
      </w:tr>
      <w:tr>
        <w:trPr/>
        <w:tc>
          <w:tcPr>
            <w:tcW w:w="816"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120" w:after="283"/>
              <w:jc w:val="left"/>
              <w:rPr/>
            </w:pPr>
            <w:r>
              <w:rPr/>
              <w:t> </w:t>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1_1.htm">
              <w:r>
                <w:rPr>
                  <w:rStyle w:val="InternetLink"/>
                  <w:rFonts w:ascii="Times New Roman" w:hAnsi="Times New Roman"/>
                  <w:color w:val="0000FF"/>
                  <w:sz w:val="20"/>
                  <w:u w:val="single"/>
                </w:rPr>
                <w:t>Certification of Principal Executive Officer pursuant to Section 302 of the Sarbanes-Oxley Act of 2002.</w:t>
              </w:r>
            </w:hyperlink>
            <w:hyperlink w:anchor="tem-ex31_1.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31.2*</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1_2.htm">
              <w:r>
                <w:rPr>
                  <w:rStyle w:val="InternetLink"/>
                  <w:rFonts w:ascii="Times New Roman" w:hAnsi="Times New Roman"/>
                  <w:color w:val="0000FF"/>
                  <w:sz w:val="20"/>
                  <w:u w:val="single"/>
                </w:rPr>
                <w:t>Certification of Principal Financial Officer pursuant to Section 302 of the Sarbanes-Oxley Act of 2002.</w:t>
              </w:r>
            </w:hyperlink>
            <w:hyperlink w:anchor="tem-ex31_2.htm">
              <w:r>
                <w:rPr>
                  <w:rStyle w:val="InternetLink"/>
                  <w:rFonts w:ascii="Times New Roman" w:hAnsi="Times New Roman"/>
                  <w:color w:val="0000FF"/>
                  <w:sz w:val="20"/>
                </w:rPr>
                <w:t xml:space="preserve"> </w:t>
              </w:r>
            </w:hyperlink>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32.1*+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pPr>
            <w:hyperlink w:anchor="tem-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101.INS*</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101.SCH*</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12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104*</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31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5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Securities Exchange Act of 1934, as amended, and shall not be deemed to be incorporated by reference into any filing under the Securities Act of 1933, as amended, or the Securities Exchange Act of 1934, as amended.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signatures"/>
      <w:bookmarkEnd w:id="20"/>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209" w:type="dxa"/>
        <w:jc w:val="left"/>
        <w:tblInd w:w="0" w:type="dxa"/>
        <w:tblLayout w:type="fixed"/>
        <w:tblCellMar>
          <w:top w:w="28" w:type="dxa"/>
          <w:left w:w="28" w:type="dxa"/>
          <w:bottom w:w="28" w:type="dxa"/>
          <w:right w:w="28" w:type="dxa"/>
        </w:tblCellMar>
      </w:tblPr>
      <w:tblGrid>
        <w:gridCol w:w="1636"/>
        <w:gridCol w:w="146"/>
        <w:gridCol w:w="406"/>
        <w:gridCol w:w="402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TEMPUS AI,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Rogers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bookmarkStart w:id="21" w:name="tem-ex31_1.htm"/>
      <w:bookmarkStart w:id="22" w:name="kstemex31_1"/>
      <w:bookmarkEnd w:id="21"/>
      <w:bookmarkEnd w:id="2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Eric Lefkofsky,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5, 2026</w:t>
      </w:r>
    </w:p>
    <w:p>
      <w:pPr>
        <w:pStyle w:val="TextBody"/>
        <w:bidi w:val="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283"/>
              <w:jc w:val="left"/>
              <w:rPr>
                <w:sz w:val="4"/>
                <w:szCs w:val="4"/>
              </w:rPr>
            </w:pPr>
            <w:r>
              <w:rPr>
                <w:sz w:val="4"/>
                <w:szCs w:val="4"/>
              </w:rPr>
            </w:r>
          </w:p>
        </w:tc>
      </w:tr>
      <w:tr>
        <w:trPr/>
        <w:tc>
          <w:tcPr>
            <w:tcW w:w="40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Eric Lefkofsky </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Founder and Chairman</w:t>
            </w:r>
          </w:p>
        </w:tc>
      </w:tr>
      <w:tr>
        <w:trPr/>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tem-ex31_2.htm"/>
      <w:bookmarkStart w:id="24" w:name="kstemex31_2"/>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u w:val="single"/>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Rogers,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Form 10-Q of Tempus AI,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Date: May 5, 2026 </w:t>
      </w:r>
    </w:p>
    <w:p>
      <w:pPr>
        <w:pStyle w:val="TextBody"/>
        <w:bidi w:val="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spacing w:before="18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em-ex32_1.htm"/>
      <w:bookmarkStart w:id="26" w:name="kstemex32_1"/>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§1350), Eric Lefkofsky, Chief Executive Officer of Tempus AI, Inc. (the “Company”), and James Rogers, Chief Financial Officer of the Company, each hereby certifies that, to the best of his knowledge: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Quarterly Report on Form 10-Q for the period ended March 31, 2026, to which this Certification is attached as Exhibit 32.1 (the “Periodic Report”), fully complies with the requirements of Section 13(a) or Section 15(d) of the Exchange Act; and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Periodic Report fairly presents, in all material respects, the financial condition and results of operations of the Company. </w:t>
      </w:r>
    </w:p>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2476"/>
        <w:gridCol w:w="146"/>
        <w:gridCol w:w="146"/>
        <w:gridCol w:w="252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5,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Eric Lefkofsky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James Rogers </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Eric Lefkofsky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Rogers</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certification accompanies the Form 10-Q to which it relates, is not deemed filed with the Securities and Exchange Commission and is not to be incorporated by reference into any filing of Tempus AI, Inc. under the Securities Act of 1933, as amended, or the Exchange Act, as amended (whether made before or after the date of the Form 10-Q), irrespective of any general incorporation language contained in such filing.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17115/000095017025105449/tem-ex2_1.htm" TargetMode="External"/><Relationship Id="rId3" Type="http://schemas.openxmlformats.org/officeDocument/2006/relationships/hyperlink" Target="https://www.sec.gov/Archives/edgar/data/1717115/000095017025105449/tem-ex3_1.htm" TargetMode="External"/><Relationship Id="rId4" Type="http://schemas.openxmlformats.org/officeDocument/2006/relationships/hyperlink" Target="https://www.sec.gov/Archives/edgar/data/1717115/000095017025105449/tem-ex3_1.htm" TargetMode="External"/><Relationship Id="rId5" Type="http://schemas.openxmlformats.org/officeDocument/2006/relationships/hyperlink" Target="https://www.sec.gov/Archives/edgar/data/1717115/000119312525264652/tem-ex3_2.htm" TargetMode="External"/><Relationship Id="rId6" Type="http://schemas.openxmlformats.org/officeDocument/2006/relationships/hyperlink" Target="https://www.sec.gov/Archives/edgar/data/1717115/000095017025105449/tem-ex3_2.htm" TargetMode="External"/><Relationship Id="rId7" Type="http://schemas.openxmlformats.org/officeDocument/2006/relationships/hyperlink" Target="https://www.sec.gov/Archives/edgar/data/1717115/000095017025105449/tem-ex3_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31151</Words>
  <Characters>171283</Characters>
  <CharactersWithSpaces>203356</CharactersWithSpaces>
  <Paragraphs>5606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