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42303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0060"/>
                    </a:xfrm>
                    <a:prstGeom prst="rect">
                      <a:avLst/>
                    </a:prstGeom>
                    <a:noFill/>
                  </pic:spPr>
                </pic:pic>
              </a:graphicData>
            </a:graphic>
          </wp:anchor>
        </w:drawing>
        <w:t>Christina T. Roupas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croupas@cooley.com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Via EDGAR</w:t>
      </w:r>
    </w:p>
    <w:p>
      <w:pPr>
        <w:spacing w:after="0" w:line="650" w:lineRule="exact"/>
        <w:rPr>
          <w:sz w:val="24"/>
          <w:szCs w:val="24"/>
          <w:color w:val="auto"/>
        </w:rPr>
      </w:pPr>
    </w:p>
    <w:p>
      <w:pPr>
        <w:sectPr>
          <w:pgSz w:w="11900" w:h="16838" w:orient="portrait"/>
          <w:cols w:equalWidth="0" w:num="2">
            <w:col w:w="9384" w:space="720"/>
            <w:col w:w="920"/>
          </w:cols>
          <w:pgMar w:left="436" w:top="1228" w:right="439" w:bottom="1440" w:gutter="0" w:footer="0" w:header="0"/>
        </w:sectPr>
      </w:pPr>
    </w:p>
    <w:p>
      <w:pPr>
        <w:spacing w:after="0" w:line="3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July 26, 2023</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24"/>
          </w:cols>
          <w:pgMar w:left="436" w:top="1228" w:right="439" w:bottom="1440" w:gutter="0" w:footer="0" w:header="0"/>
          <w:type w:val="continuous"/>
        </w:sectPr>
      </w:pP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 Legal Branch Chief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 Staff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Littlepage, Accounting 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Claire DeLabar, Senior Staff Accountant</w:t>
      </w:r>
    </w:p>
    <w:p>
      <w:pPr>
        <w:spacing w:after="0" w:line="200" w:lineRule="exact"/>
        <w:rPr>
          <w:sz w:val="24"/>
          <w:szCs w:val="24"/>
          <w:color w:val="auto"/>
        </w:rPr>
      </w:pPr>
    </w:p>
    <w:p>
      <w:pPr>
        <w:sectPr>
          <w:pgSz w:w="11900" w:h="16838" w:orient="portrait"/>
          <w:cols w:equalWidth="0" w:num="2">
            <w:col w:w="724" w:space="700"/>
            <w:col w:w="9600"/>
          </w:cols>
          <w:pgMar w:left="436" w:top="1228" w:right="439" w:bottom="1440" w:gutter="0" w:footer="0" w:header="0"/>
          <w:type w:val="continuous"/>
        </w:sectPr>
      </w:pPr>
    </w:p>
    <w:p>
      <w:pPr>
        <w:spacing w:after="0" w:line="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Labs,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S-1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Submitted April 28, 2023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CIK: 0001717115</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On behalf of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providing this letter in response to comments (the “</w:t>
      </w:r>
      <w:r>
        <w:rPr>
          <w:rFonts w:ascii="Times New Roman" w:cs="Times New Roman" w:eastAsia="Times New Roman" w:hAnsi="Times New Roman"/>
          <w:sz w:val="18"/>
          <w:szCs w:val="18"/>
          <w:b w:val="1"/>
          <w:bCs w:val="1"/>
          <w:i w:val="1"/>
          <w:iCs w:val="1"/>
          <w:color w:val="auto"/>
        </w:rPr>
        <w:t>Comments</w:t>
      </w:r>
      <w:r>
        <w:rPr>
          <w:rFonts w:ascii="Times New Roman" w:cs="Times New Roman" w:eastAsia="Times New Roman" w:hAnsi="Times New Roman"/>
          <w:sz w:val="18"/>
          <w:szCs w:val="18"/>
          <w:color w:val="auto"/>
        </w:rPr>
        <w:t>”) received from the staff of the U.S. Securities and Exchange Commission’s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by letter dated May 5, 2023 with respect to the Company’s Amendment No. 6 to the Draft Registration Statement on Form S-1, as confidentially submitted to the Staff on April 28, 2023 (as amended from time to time, the “</w:t>
      </w:r>
      <w:r>
        <w:rPr>
          <w:rFonts w:ascii="Times New Roman" w:cs="Times New Roman" w:eastAsia="Times New Roman" w:hAnsi="Times New Roman"/>
          <w:sz w:val="18"/>
          <w:szCs w:val="18"/>
          <w:b w:val="1"/>
          <w:bCs w:val="1"/>
          <w:i w:val="1"/>
          <w:iCs w:val="1"/>
          <w:color w:val="auto"/>
        </w:rPr>
        <w:t>Draft 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Set forth below are the Company’s responses to the Comments. The numbering of the paragraphs below corresponds to the numbering of the Comments, which for your convenience we have incorporated into this response letter in italics.</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Prospectus Summary, page 1</w:t>
      </w:r>
    </w:p>
    <w:p>
      <w:pPr>
        <w:spacing w:after="0" w:line="129" w:lineRule="exact"/>
        <w:rPr>
          <w:sz w:val="24"/>
          <w:szCs w:val="24"/>
          <w:color w:val="auto"/>
        </w:rPr>
      </w:pPr>
    </w:p>
    <w:p>
      <w:pPr>
        <w:ind w:left="424" w:right="380" w:hanging="424"/>
        <w:spacing w:after="0" w:line="284" w:lineRule="auto"/>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that you have established data partnerships with approximately 90% of the largest public pharmaceutical companies based on 2022 revenue. Please discuss the material terms of your data partnerships, including the financial terms of any agreements.</w:t>
      </w:r>
    </w:p>
    <w:p>
      <w:pPr>
        <w:spacing w:after="0" w:line="160" w:lineRule="exact"/>
        <w:rPr>
          <w:sz w:val="24"/>
          <w:szCs w:val="24"/>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will revise the disclosure on page 2 of the Draft Registration Statement to clarify the nature of the arrangements it has with these companies to read as follows:</w:t>
      </w:r>
    </w:p>
    <w:p>
      <w:pPr>
        <w:spacing w:after="0" w:line="54" w:lineRule="exact"/>
        <w:rPr>
          <w:sz w:val="24"/>
          <w:szCs w:val="24"/>
          <w:color w:val="auto"/>
        </w:rPr>
      </w:pPr>
    </w:p>
    <w:p>
      <w:pPr>
        <w:ind w:left="444" w:right="360"/>
        <w:spacing w:after="0" w:line="282" w:lineRule="auto"/>
        <w:rPr>
          <w:sz w:val="20"/>
          <w:szCs w:val="20"/>
          <w:color w:val="auto"/>
        </w:rPr>
      </w:pPr>
      <w:r>
        <w:rPr>
          <w:rFonts w:ascii="Times New Roman" w:cs="Times New Roman" w:eastAsia="Times New Roman" w:hAnsi="Times New Roman"/>
          <w:sz w:val="18"/>
          <w:szCs w:val="18"/>
          <w:color w:val="auto"/>
        </w:rPr>
        <w:t xml:space="preserve">“To date, </w:t>
      </w:r>
      <w:r>
        <w:rPr>
          <w:rFonts w:ascii="Times New Roman" w:cs="Times New Roman" w:eastAsia="Times New Roman" w:hAnsi="Times New Roman"/>
          <w:sz w:val="18"/>
          <w:szCs w:val="18"/>
          <w:u w:val="single" w:color="auto"/>
          <w:color w:val="auto"/>
        </w:rPr>
        <w:t>our offerings have been used by</w:t>
      </w:r>
      <w:r>
        <w:rPr>
          <w:rFonts w:ascii="Times New Roman" w:cs="Times New Roman" w:eastAsia="Times New Roman" w:hAnsi="Times New Roman"/>
          <w:sz w:val="18"/>
          <w:szCs w:val="18"/>
          <w:color w:val="auto"/>
        </w:rPr>
        <w:t xml:space="preserve"> approximately 90% of the largest public pharmaceutical companies based on 2022 revenue, and our clinical NGS volume in oncology rose from approximately 31,000 samples in 2018 to approximately 215,000 samples in 2022.”</w:t>
      </w:r>
    </w:p>
    <w:p>
      <w:pPr>
        <w:spacing w:after="0" w:line="9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24"/>
          </w:cols>
          <w:pgMar w:left="436" w:top="1228"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Company respectfully advises the Staff that material terms of its revenue agreements are disclosed in the summary of significant accounting policies footnote on pages F-13 to F-16, and material terms of its strategic collaborations with AstraZeneca and GlaxoSmithKline are disclosed on page 112. The disclosures in the Draft Registration Statement include all material terms of such agreements.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 page 5</w:t>
      </w:r>
    </w:p>
    <w:p>
      <w:pPr>
        <w:spacing w:after="0" w:line="129" w:lineRule="exact"/>
        <w:rPr>
          <w:sz w:val="20"/>
          <w:szCs w:val="20"/>
          <w:color w:val="auto"/>
        </w:rPr>
      </w:pPr>
    </w:p>
    <w:p>
      <w:pPr>
        <w:ind w:left="424" w:right="20" w:hanging="424"/>
        <w:spacing w:after="0" w:line="261" w:lineRule="auto"/>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your COO is now also the interim CEO for Pathos AI, Inc. We also note your disclosure that you are highly dependent on members of your senior management team. Please revise your risk factor on page 79 to disclose the percentage of time that your COO devotes to the business of the company given his other responsibilities as the interim CEO of Pathos. Additionally, please revise your discussion of your agreements with Pathos on page 216 to include Mr. Fukushima’s new role at Pathos.</w:t>
      </w:r>
    </w:p>
    <w:p>
      <w:pPr>
        <w:spacing w:after="0" w:line="182"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will revise the risk factor on page 79 of the Draft Registration Statement and the disclosure on page 216 of the Draft Registration Statement to disclose the nature of Mr. Fukushima’s new role at Pathos, to read as follows:</w:t>
      </w:r>
    </w:p>
    <w:p>
      <w:pPr>
        <w:spacing w:after="0" w:line="50" w:lineRule="exact"/>
        <w:rPr>
          <w:sz w:val="20"/>
          <w:szCs w:val="20"/>
          <w:color w:val="auto"/>
        </w:rPr>
      </w:pPr>
    </w:p>
    <w:p>
      <w:pPr>
        <w:ind w:left="444"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67" w:lineRule="exact"/>
        <w:rPr>
          <w:sz w:val="20"/>
          <w:szCs w:val="20"/>
          <w:color w:val="auto"/>
        </w:rPr>
      </w:pPr>
    </w:p>
    <w:p>
      <w:pPr>
        <w:ind w:left="444" w:right="80"/>
        <w:spacing w:after="0" w:line="253"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or Pathos, an AI-enabled drug development company that has entered into an agreement with us, is the managing partner and co-founder of Lightbank LLC, a private venture capital firm specializing in investments in technology companies that has invested in us, is a member of the board of directors of Groupon, Inc., which he co-founded,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the public disclosure of such information could have a negative reputational impact on Mr. Lefkofsky and, indirectly as a result, on Tempus.</w:t>
      </w:r>
    </w:p>
    <w:p>
      <w:pPr>
        <w:spacing w:after="0" w:line="82" w:lineRule="exact"/>
        <w:rPr>
          <w:sz w:val="20"/>
          <w:szCs w:val="20"/>
          <w:color w:val="auto"/>
        </w:rPr>
      </w:pPr>
    </w:p>
    <w:p>
      <w:pPr>
        <w:ind w:left="444"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In addition, we depend on the services of our Chief Operating Officer, Ryan Fukushima. Mr. Fukushima is a co-Founder of Pathos and currently serves as its interim Chief Executive Officer. Under the terms of his employment agreement with Tempus, Mr. Fukushima devotes no less than 50% of his professional activities to Tempus.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24"/>
          </w:cols>
          <w:pgMar w:left="436"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ind w:left="440" w:right="80"/>
        <w:spacing w:after="0" w:line="254" w:lineRule="auto"/>
        <w:rPr>
          <w:sz w:val="20"/>
          <w:szCs w:val="20"/>
          <w:color w:val="auto"/>
        </w:rPr>
      </w:pPr>
      <w:r>
        <w:rPr>
          <w:rFonts w:ascii="Times New Roman" w:cs="Times New Roman" w:eastAsia="Times New Roman" w:hAnsi="Times New Roman"/>
          <w:sz w:val="18"/>
          <w:szCs w:val="18"/>
          <w:color w:val="auto"/>
        </w:rPr>
        <w:t xml:space="preserve">The individual and collective efforts of Mr. Lefkofsky, </w:t>
      </w:r>
      <w:r>
        <w:rPr>
          <w:rFonts w:ascii="Times New Roman" w:cs="Times New Roman" w:eastAsia="Times New Roman" w:hAnsi="Times New Roman"/>
          <w:sz w:val="18"/>
          <w:szCs w:val="18"/>
          <w:u w:val="single" w:color="auto"/>
          <w:color w:val="auto"/>
        </w:rPr>
        <w:t>Mr. Fukushima</w:t>
      </w:r>
      <w:r>
        <w:rPr>
          <w:rFonts w:ascii="Times New Roman" w:cs="Times New Roman" w:eastAsia="Times New Roman" w:hAnsi="Times New Roman"/>
          <w:sz w:val="18"/>
          <w:szCs w:val="18"/>
          <w:color w:val="auto"/>
        </w:rPr>
        <w:t xml:space="preserve"> and our other employees will be important as we continue to develop our Platform and additional products, and as we expand our commercial activities. The loss or incapacity of existing members of our executive management team, </w:t>
      </w:r>
      <w:r>
        <w:rPr>
          <w:rFonts w:ascii="Times New Roman" w:cs="Times New Roman" w:eastAsia="Times New Roman" w:hAnsi="Times New Roman"/>
          <w:sz w:val="18"/>
          <w:szCs w:val="18"/>
          <w:u w:val="single" w:color="auto"/>
          <w:color w:val="auto"/>
        </w:rPr>
        <w:t>or the inability of such individuals to devote sufficient time to our endeavors,</w:t>
      </w:r>
      <w:r>
        <w:rPr>
          <w:rFonts w:ascii="Times New Roman" w:cs="Times New Roman" w:eastAsia="Times New Roman" w:hAnsi="Times New Roman"/>
          <w:sz w:val="18"/>
          <w:szCs w:val="18"/>
          <w:color w:val="auto"/>
        </w:rPr>
        <w:t xml:space="preserve">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21"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 written notice to the other party. In March 2022, Pathos paid us its first annual subscription fee of $0.4 million. As of the date of this prospectus, we have not exercised the warrant to purchase shares of Pathos common stock.</w:t>
      </w:r>
    </w:p>
    <w:p>
      <w:pPr>
        <w:spacing w:after="0" w:line="197" w:lineRule="exact"/>
        <w:rPr>
          <w:sz w:val="20"/>
          <w:szCs w:val="20"/>
          <w:color w:val="auto"/>
        </w:rPr>
      </w:pPr>
    </w:p>
    <w:p>
      <w:pPr>
        <w:ind w:left="440" w:right="360"/>
        <w:spacing w:after="0" w:line="282"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62"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0960"/>
          </w:cols>
          <w:pgMar w:left="440" w:top="270" w:right="4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Four</w:t>
      </w:r>
    </w:p>
    <w:p>
      <w:pPr>
        <w:spacing w:after="0" w:line="139" w:lineRule="exact"/>
        <w:rPr>
          <w:sz w:val="20"/>
          <w:szCs w:val="20"/>
          <w:color w:val="auto"/>
        </w:rPr>
      </w:pPr>
    </w:p>
    <w:p>
      <w:pPr>
        <w:ind w:left="444"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In April 2023, Ryan Fukushima, Tempus’s Chief Operating Officer, was appointed as interim Chief Executive Officer of Pathos. In connection with such appointment, our Board of Directors has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16: Subsequent Events, page F-43</w:t>
      </w:r>
    </w:p>
    <w:p>
      <w:pPr>
        <w:spacing w:after="0" w:line="129" w:lineRule="exact"/>
        <w:rPr>
          <w:sz w:val="20"/>
          <w:szCs w:val="20"/>
          <w:color w:val="auto"/>
        </w:rPr>
      </w:pPr>
    </w:p>
    <w:p>
      <w:pPr>
        <w:ind w:left="424" w:right="100" w:hanging="424"/>
        <w:spacing w:after="0" w:line="284" w:lineRule="auto"/>
        <w:tabs>
          <w:tab w:leader="none" w:pos="42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the amended Credit Agreement with Ares on April 25, 2023 included an increase in the interest rate. Please expand the disclosure to include the interest rate in the amended agreement. Please expand the discussion of the Term Loan Facility in MD&amp;A accordingly.</w:t>
      </w:r>
    </w:p>
    <w:p>
      <w:pPr>
        <w:spacing w:after="0" w:line="160"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will revise the disclosures on pages 122 and F-43 of the Draft Registration Statement to reflect the increased interest rate, as follows:</w:t>
      </w:r>
    </w:p>
    <w:p>
      <w:pPr>
        <w:spacing w:after="0" w:line="54" w:lineRule="exact"/>
        <w:rPr>
          <w:sz w:val="20"/>
          <w:szCs w:val="20"/>
          <w:color w:val="auto"/>
        </w:rPr>
      </w:pPr>
    </w:p>
    <w:p>
      <w:pPr>
        <w:ind w:left="444"/>
        <w:spacing w:after="0" w:line="268" w:lineRule="auto"/>
        <w:rPr>
          <w:sz w:val="20"/>
          <w:szCs w:val="20"/>
          <w:color w:val="auto"/>
        </w:rPr>
      </w:pPr>
      <w:r>
        <w:rPr>
          <w:rFonts w:ascii="Times New Roman" w:cs="Times New Roman" w:eastAsia="Times New Roman" w:hAnsi="Times New Roman"/>
          <w:sz w:val="17"/>
          <w:szCs w:val="17"/>
          <w:color w:val="auto"/>
        </w:rPr>
        <w:t>“On September 22, 2022, the Company entered into a Credit Agreement with Ares Capital Corporation, or Ares, for a senior secured loan, or Term Loan Facility, in the amount of $175 million, less original issue discount of $4.4 million and deferred financing fees of $2.5 million. On April 25, 2023, the Company entered into an amendment to the Credit Agreement, which increased the aggregate principal amount of the Term Loan Facility by an additional $50 million, less issuance costs of $1.3 million</w:t>
      </w:r>
      <w:r>
        <w:rPr>
          <w:rFonts w:ascii="Times New Roman" w:cs="Times New Roman" w:eastAsia="Times New Roman" w:hAnsi="Times New Roman"/>
          <w:sz w:val="17"/>
          <w:szCs w:val="17"/>
          <w:u w:val="single" w:color="auto"/>
          <w:color w:val="auto"/>
        </w:rPr>
        <w:t>, and increased the interest rate on the Term Loan Facility by 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basis points. Following the amendment, interest on the Term Loan Facility is payable as follows: (i) for any interest period for which the Company elects to pay interest in cash, the cash interest rate for Base Rate and Term SOFR borrowings will be the Base Rate plus 6.25% and Term SOFR plus 7.25%, respectively, and (ii) for any interest period for which the Company elects to pay interest in kind, the cash interest rate for Base Rate and Term SOFR borrowings will be the Base Rate plus 4% and Term SOFR plus 5%, respectively, and the paid-in-kind interest rate will be</w:t>
      </w:r>
    </w:p>
    <w:p>
      <w:pPr>
        <w:ind w:left="444" w:right="100"/>
        <w:spacing w:after="0" w:line="253" w:lineRule="auto"/>
        <w:rPr>
          <w:sz w:val="20"/>
          <w:szCs w:val="20"/>
          <w:color w:val="auto"/>
        </w:rPr>
      </w:pPr>
      <w:r>
        <w:rPr>
          <w:rFonts w:ascii="Times New Roman" w:cs="Times New Roman" w:eastAsia="Times New Roman" w:hAnsi="Times New Roman"/>
          <w:sz w:val="18"/>
          <w:szCs w:val="18"/>
          <w:u w:val="single" w:color="auto"/>
          <w:color w:val="auto"/>
        </w:rPr>
        <w:t>3.25%.</w:t>
      </w:r>
      <w:r>
        <w:rPr>
          <w:rFonts w:ascii="Times New Roman" w:cs="Times New Roman" w:eastAsia="Times New Roman" w:hAnsi="Times New Roman"/>
          <w:sz w:val="18"/>
          <w:szCs w:val="18"/>
          <w:color w:val="auto"/>
        </w:rPr>
        <w:t xml:space="preserve">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the Company and secured by substantially all of the assets of the Company. We have the right at any time and from time to time to prepay any Term Loan Facility in whole or in part.</w:t>
      </w:r>
    </w:p>
    <w:p>
      <w:pPr>
        <w:spacing w:after="0" w:line="200" w:lineRule="exact"/>
        <w:rPr>
          <w:sz w:val="20"/>
          <w:szCs w:val="20"/>
          <w:color w:val="auto"/>
        </w:rPr>
      </w:pPr>
    </w:p>
    <w:p>
      <w:pPr>
        <w:spacing w:after="0" w:line="23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right="60"/>
        <w:spacing w:after="0" w:line="255" w:lineRule="auto"/>
        <w:rPr>
          <w:sz w:val="20"/>
          <w:szCs w:val="20"/>
          <w:color w:val="auto"/>
        </w:rPr>
      </w:pPr>
      <w:r>
        <w:rPr>
          <w:rFonts w:ascii="Times New Roman" w:cs="Times New Roman" w:eastAsia="Times New Roman" w:hAnsi="Times New Roman"/>
          <w:sz w:val="18"/>
          <w:szCs w:val="18"/>
          <w:color w:val="auto"/>
        </w:rPr>
        <w:t xml:space="preserve">On April 25, 2023, the Company signed an amendment to its Credit Agreement with Ares which provided an additional $50 million in term debt. The Company received $48.7 million in cash, which is the aggregate principal amount of $50 million less debt issuance costs of $1.3 million. The amendment increased the interest rate on both the original $175 million borrowing as well as the additional $50 million. </w:t>
      </w:r>
      <w:r>
        <w:rPr>
          <w:rFonts w:ascii="Times New Roman" w:cs="Times New Roman" w:eastAsia="Times New Roman" w:hAnsi="Times New Roman"/>
          <w:sz w:val="18"/>
          <w:szCs w:val="18"/>
          <w:u w:val="single" w:color="auto"/>
          <w:color w:val="auto"/>
        </w:rPr>
        <w:t>After giving effect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(x) for any interest period for which the Company elects to pay interest in cash, the cash interest rate for Base Rate and Term SOFR borrowings will be the Base Rate plus 6.25% and Term SOFR plus 7.25%, respectively, and (y) for any interest period for which the Company elects to pay interest in kind, the cash interest rate for Base Rate and Term SOFR borrowings will be the Base Rate plus 4% and Term SOFR plus 5%, respectively, and the paid-in-kind interest rate will be 3.25%.</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04"/>
          </w:cols>
          <w:pgMar w:left="436"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Five</w:t>
      </w:r>
    </w:p>
    <w:p>
      <w:pPr>
        <w:spacing w:after="0" w:line="139" w:lineRule="exact"/>
        <w:rPr>
          <w:sz w:val="20"/>
          <w:szCs w:val="20"/>
          <w:color w:val="auto"/>
        </w:rPr>
      </w:pPr>
    </w:p>
    <w:p>
      <w:pPr>
        <w:ind w:left="4984"/>
        <w:spacing w:after="0"/>
        <w:tabs>
          <w:tab w:leader="none" w:pos="5424" w:val="left"/>
          <w:tab w:leader="none" w:pos="592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Please contact me at (312) 881-6670 with any questions or further comments regarding our responses to the Staff’s Comments.</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958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897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32" w:lineRule="exact"/>
        <w:rPr>
          <w:sz w:val="20"/>
          <w:szCs w:val="20"/>
          <w:color w:val="auto"/>
        </w:rPr>
      </w:pPr>
    </w:p>
    <w:p>
      <w:pPr>
        <w:ind w:left="444" w:right="7019" w:hanging="444"/>
        <w:spacing w:after="0" w:line="257"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Eric Lefkofsky,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Jim Rogers,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Erik Phelps,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Ryan Bartolucci,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Eric Jensen,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Tygesson, </w:t>
      </w:r>
      <w:r>
        <w:rPr>
          <w:rFonts w:ascii="Times New Roman" w:cs="Times New Roman" w:eastAsia="Times New Roman" w:hAnsi="Times New Roman"/>
          <w:sz w:val="18"/>
          <w:szCs w:val="18"/>
          <w:i w:val="1"/>
          <w:iCs w:val="1"/>
          <w:color w:val="auto"/>
        </w:rPr>
        <w:t>Cooley LLP</w:t>
      </w:r>
    </w:p>
    <w:p>
      <w:pPr>
        <w:spacing w:after="0" w:line="11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color w:val="auto"/>
        </w:rPr>
        <w:t>t: (312) 881-6500- f: (312) 881-6598 cooley.com</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2024-07-22T23:10:03Z</dcterms:created>
  <dcterms:modified xsi:type="dcterms:W3CDTF">2024-07-22T23:10:03Z</dcterms:modified>
</cp:coreProperties>
</file>