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December 15, 2023.</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ind w:left="972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AI,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AI,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James Rogers</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rPr>
              <w:t>Andrew Polovin</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Tempus AI,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i w:val="1"/>
          <w:iCs w:val="1"/>
          <w:color w:val="DE1A1E"/>
        </w:rPr>
        <w:t>Issued</w:t>
      </w:r>
      <w:r>
        <w:rPr>
          <w:sz w:val="20"/>
          <w:szCs w:val="20"/>
          <w:color w:val="auto"/>
        </w:rPr>
        <w:tab/>
      </w:r>
      <w:r>
        <w:rPr>
          <w:rFonts w:ascii="Times New Roman" w:cs="Times New Roman" w:eastAsia="Times New Roman" w:hAnsi="Times New Roman"/>
          <w:sz w:val="18"/>
          <w:szCs w:val="18"/>
          <w:i w:val="1"/>
          <w:iCs w:val="1"/>
          <w:color w:val="DE1A1E"/>
        </w:rPr>
        <w:t>, 2023</w:t>
      </w:r>
    </w:p>
    <w:p>
      <w:pPr>
        <w:spacing w:after="0" w:line="2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4"/>
          <w:szCs w:val="24"/>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tabs>
          <w:tab w:leader="none" w:pos="7280" w:val="left"/>
        </w:tabs>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AI, Inc. We are offering</w:t>
      </w:r>
      <w:r>
        <w:rPr>
          <w:sz w:val="20"/>
          <w:szCs w:val="20"/>
          <w:color w:val="auto"/>
        </w:rPr>
        <w:tab/>
      </w:r>
      <w:r>
        <w:rPr>
          <w:rFonts w:ascii="Times New Roman" w:cs="Times New Roman" w:eastAsia="Times New Roman" w:hAnsi="Times New Roman"/>
          <w:sz w:val="15"/>
          <w:szCs w:val="15"/>
          <w:b w:val="1"/>
          <w:bCs w:val="1"/>
          <w:i w:val="1"/>
          <w:iCs w:val="1"/>
          <w:color w:val="auto"/>
        </w:rPr>
        <w:t>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Prior to this offering, there has been no public market for our Class A common stock. It is currently estimated that the initial public offering price will be between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and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spacing w:after="0"/>
        <w:tabs>
          <w:tab w:leader="none" w:pos="9000" w:val="left"/>
        </w:tabs>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w:t>
      </w:r>
      <w:r>
        <w:rPr>
          <w:sz w:val="20"/>
          <w:szCs w:val="20"/>
          <w:color w:val="auto"/>
        </w:rPr>
        <w:tab/>
      </w:r>
      <w:r>
        <w:rPr>
          <w:rFonts w:ascii="Times New Roman" w:cs="Times New Roman" w:eastAsia="Times New Roman" w:hAnsi="Times New Roman"/>
          <w:sz w:val="15"/>
          <w:szCs w:val="15"/>
          <w:b w:val="1"/>
          <w:bCs w:val="1"/>
          <w:i w:val="1"/>
          <w:iCs w:val="1"/>
          <w:color w:val="auto"/>
        </w:rPr>
        <w:t>shares of Class A common stock on</w:t>
      </w:r>
    </w:p>
    <w:p>
      <w:pPr>
        <w:spacing w:after="0" w:line="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i w:val="1"/>
          <w:iCs w:val="1"/>
          <w:color w:val="auto"/>
        </w:rPr>
        <w:t>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95250</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on the date that our Chief Executive Officer, Founder and Chairman (i) ceases to serve as an executive officer or member of our Board of Directors or (ii)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104775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AI,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(1)</w:t>
            </w:r>
          </w:p>
        </w:tc>
        <w:tc>
          <w:tcPr>
            <w:tcW w:w="8560" w:type="dxa"/>
            <w:vAlign w:val="bottom"/>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See “Underwriting” for additional information regarding compensation payable to the underwriters.</w:t>
            </w:r>
          </w:p>
        </w:tc>
      </w:tr>
      <w:tr>
        <w:trPr>
          <w:trHeight w:val="185"/>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4"/>
                <w:szCs w:val="14"/>
                <w:i w:val="1"/>
                <w:iCs w:val="1"/>
                <w:color w:val="auto"/>
                <w:w w:val="85"/>
              </w:rPr>
              <w:t>(2)</w:t>
            </w:r>
          </w:p>
        </w:tc>
        <w:tc>
          <w:tcPr>
            <w:tcW w:w="41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Assumes the exercise in full of the underwriters’ option to purchase</w:t>
            </w:r>
          </w:p>
        </w:tc>
        <w:tc>
          <w:tcPr>
            <w:tcW w:w="4400" w:type="dxa"/>
            <w:vAlign w:val="bottom"/>
          </w:tcPr>
          <w:p>
            <w:pPr>
              <w:ind w:left="300"/>
              <w:spacing w:after="0"/>
              <w:rPr>
                <w:sz w:val="20"/>
                <w:szCs w:val="20"/>
                <w:color w:val="auto"/>
              </w:rPr>
            </w:pPr>
            <w:r>
              <w:rPr>
                <w:rFonts w:ascii="Times New Roman" w:cs="Times New Roman" w:eastAsia="Times New Roman" w:hAnsi="Times New Roman"/>
                <w:sz w:val="14"/>
                <w:szCs w:val="14"/>
                <w:i w:val="1"/>
                <w:iCs w:val="1"/>
                <w:color w:val="auto"/>
                <w:w w:val="99"/>
              </w:rPr>
              <w:t>additional shares of Class A common stock from the selling stockholders.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Borders>
              <w:top w:val="single" w:sz="8" w:color="auto"/>
            </w:tcBorders>
          </w:tcPr>
          <w:p>
            <w:pPr>
              <w:jc w:val="right"/>
              <w:ind w:right="421"/>
              <w:spacing w:after="0" w:line="175" w:lineRule="exact"/>
              <w:rPr>
                <w:sz w:val="20"/>
                <w:szCs w:val="20"/>
                <w:color w:val="auto"/>
              </w:rPr>
            </w:pPr>
            <w:r>
              <w:rPr>
                <w:rFonts w:ascii="Times New Roman" w:cs="Times New Roman" w:eastAsia="Times New Roman" w:hAnsi="Times New Roman"/>
                <w:sz w:val="16"/>
                <w:szCs w:val="16"/>
                <w:i w:val="1"/>
                <w:iCs w:val="1"/>
                <w:color w:val="auto"/>
                <w:w w:val="74"/>
              </w:rPr>
              <w:t>$</w:t>
            </w:r>
          </w:p>
        </w:tc>
        <w:tc>
          <w:tcPr>
            <w:tcW w:w="980" w:type="dxa"/>
            <w:vAlign w:val="bottom"/>
          </w:tcPr>
          <w:p>
            <w:pPr>
              <w:spacing w:after="0"/>
              <w:rPr>
                <w:sz w:val="15"/>
                <w:szCs w:val="15"/>
                <w:color w:val="auto"/>
              </w:rPr>
            </w:pPr>
          </w:p>
        </w:tc>
        <w:tc>
          <w:tcPr>
            <w:tcW w:w="300" w:type="dxa"/>
            <w:vAlign w:val="bottom"/>
            <w:tcBorders>
              <w:top w:val="single" w:sz="8" w:color="auto"/>
            </w:tcBorders>
          </w:tcPr>
          <w:p>
            <w:pPr>
              <w:jc w:val="right"/>
              <w:ind w:right="61"/>
              <w:spacing w:after="0" w:line="175" w:lineRule="exact"/>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08"/>
        </w:trPr>
        <w:tc>
          <w:tcPr>
            <w:tcW w:w="580" w:type="dxa"/>
            <w:vAlign w:val="bottom"/>
          </w:tcPr>
          <w:p>
            <w:pPr>
              <w:jc w:val="right"/>
              <w:ind w:right="421"/>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i w:val="1"/>
                <w:iCs w:val="1"/>
                <w:color w:val="auto"/>
              </w:rPr>
              <w:t>$</w:t>
            </w:r>
          </w:p>
        </w:tc>
      </w:tr>
    </w:tbl>
    <w:p>
      <w:pPr>
        <w:spacing w:after="0" w:line="513" w:lineRule="exact"/>
        <w:rPr>
          <w:sz w:val="20"/>
          <w:szCs w:val="20"/>
          <w:color w:val="auto"/>
        </w:rPr>
      </w:pPr>
    </w:p>
    <w:p>
      <w:pPr>
        <w:sectPr>
          <w:pgSz w:w="11900" w:h="16838" w:orient="portrait"/>
          <w:cols w:equalWidth="0" w:num="2">
            <w:col w:w="8800" w:space="62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111125</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4"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TD 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pacing w:after="0" w:line="27" w:lineRule="exact"/>
        <w:rPr>
          <w:sz w:val="20"/>
          <w:szCs w:val="20"/>
          <w:color w:val="auto"/>
        </w:rPr>
      </w:pPr>
    </w:p>
    <w:p>
      <w:pPr>
        <w:ind w:left="4600"/>
        <w:spacing w:after="0"/>
        <w:tabs>
          <w:tab w:leader="none" w:pos="6300" w:val="left"/>
        </w:tabs>
        <w:rPr>
          <w:sz w:val="20"/>
          <w:szCs w:val="20"/>
          <w:color w:val="auto"/>
        </w:rPr>
      </w:pPr>
      <w:r>
        <w:rPr>
          <w:rFonts w:ascii="Times New Roman" w:cs="Times New Roman" w:eastAsia="Times New Roman" w:hAnsi="Times New Roman"/>
          <w:sz w:val="16"/>
          <w:szCs w:val="16"/>
          <w:i w:val="1"/>
          <w:iCs w:val="1"/>
          <w:color w:val="auto"/>
        </w:rPr>
        <w:t>Prospectus dated</w:t>
      </w:r>
      <w:r>
        <w:rPr>
          <w:sz w:val="20"/>
          <w:szCs w:val="20"/>
          <w:color w:val="auto"/>
        </w:rPr>
        <w:tab/>
      </w:r>
      <w:r>
        <w:rPr>
          <w:rFonts w:ascii="Times New Roman" w:cs="Times New Roman" w:eastAsia="Times New Roman" w:hAnsi="Times New Roman"/>
          <w:sz w:val="15"/>
          <w:szCs w:val="15"/>
          <w:i w:val="1"/>
          <w:iCs w:val="1"/>
          <w:color w:val="auto"/>
        </w:rPr>
        <w:t>, 2023.</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102</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110</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135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203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1816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AI,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6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59"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neuropsychology,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914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9149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500 unique data connections, many of which supply us with complex multimodal data in near real time, across approximately 2,000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To date, our offerings have been used by approximately 95% of the largest public pharmaceutical companies based on 2022 revenue, and our clinical NGS volume in oncology rose from approximately 31,000 samples in 2018 to approximately 207,000 samples in 2022. Through September 30, 2023, our offerings have been used by more than 6,000 physicians across hundreds of provider networks, including more than half of all academic medical centers in the United States. Our database of multimodal, de-identified records has grown to be more than 40 times the size of The Cancer Genome Atlas, the largest public genomic dataset that we know of in oncology. We also now have more than 190 petabytes of data in our cloud environment. Between our sequencing and data collection efforts, we are connected in some way to more than 50% of all oncologists practicing in the United States. Our access to broad and diverse data serves as the basis for our ability to train generative AI models, and we believe our relationships with healthcare institutions provide us with proprietary data to deliver on the promise of AI in healthcare.</w:t>
      </w:r>
    </w:p>
    <w:p>
      <w:pPr>
        <w:spacing w:after="0" w:line="191"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revenues. Even though our cancer business was at an early stage, we next expanded into neuropsychology, as we believed our model was extensible across disease areas. Having gained early traction in depression, we then expanded into the radiology and cardiology categories.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which we can leverage as a proprietary training data set for generative AI applications, we expect to deploy our AI and machine learning capabilities to build algorithmic diagnostics at scale across diseases.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190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7190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2,000 employees, including hundreds with diverse expertise across genetics, molecular and computational biology, bioinformatics, regulatory affairs, medical, product and engineering, and data science. Roughly one-third of our team is technical, with approximately 250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We generated total revenue of $257.9 million and $320.7 million in the years ended December 31, 2021 and 2022, respectively, and $220.0 million and $384.1 million in the nine months ended September 30, 2022 and 2023, respectively. Revenue generated from COVID-19 testing was $94.7 million, or 36.7% of our total revenue, and $22.2 million, or 6.9% of our total revenue, for the years ended December 31, 2021 and 2022, respectively, and $17.5 million, or 7.9% of our total revenue, for the nine months ended September 30, 2022. Revenue generated from COVID-19 testing was $2.7 million, or 0.7% of total revenue, for the nine months ended September 30, 2023, as we stopped offering COVID-19 PCR diagnostic tests in the first quarter of 2023. We incurred net losses of $259.2 million and $289.8 million in the years ended December 31, 2021 and 2022, respectively, and $223.5 million and $163.6 million in the nine months ended September 30, 2022 and 2023, respectively.</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065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706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approximately half of all academic medical centers. In addition, we work with numerous industry associations, including the American Society of Clinical Oncology, or ASCO, to structure and distribute the cancer data that they collect as part of CancerLinq, which is their oncology data effort, as well as the National Cancer Care Alliance, or NCCA, the Quality Cancer Care Alliance, or QCCA, and others. We also generate data in our three high-throughput diagnostic testing labs in Chicago, Atlanta, and Raleigh.</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streamline and help secure this process. Once appropriately de-identified, we store the data in our multimodal database.</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981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981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800 million documents, across more than 5.7 million de-identified patient records, including approximately 1.3 billion pages of rich clinical text that we use to train our large language models. The database also includes over 1,000,000 records with imaging data, more than 800,000 with matched clinical records linked with genomic information, and approximately 200,000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will enable us to bring the benefits of generative AI and large language models to healthcare, as our curated, multimodal database can be used as a proprietary training set to build a variety of AI-based applications, which we intend to deploy through our existing network and distribution platform. We also retain the rights to broadly commercialize de-identified data. As our database continues to grow from its current size of more than 190 petabytes, we believe new AI applications and opportunities will emerge that are only possible with scale that will drive further innovations in patient treatment. The graph below shows our historical database growth and its composition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248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62484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and Services business through which we licensed de-identified data, which at scale has allowed us to provide a series of data-related services to our life sciences customers, such as clinical trial matching, or Trials. Over time, we expect these products (Genomics + Data and Services) to facilitate deployment of our AI Applications, or Algos,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96"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describe below our three product lines—Genomics, Data and Services, and AI Applications. Genomics revenue was $151.9 million, $195.0 million and $198.0 million for the years ended December 31, 2020, 2021 and 2022, respectively, and $140.1 million and $270.8 million for the nine months ended September 30, 2022 and 2023, respectively. Data revenue was $36.1 million, $62.8 million and $122.7 million for the years ended December 31, 2020, 2021 and 2022, respectively, and $80.0 million and $113.3 million for the nine months ended September 30, 2022 and 2023, respectively. For the years ended December 31, 2020, 2021 and 2022, Genomics represented 81%, 76% and 62%, respectively, and Data represented 19%, 24% and 38%, respectively, of our total revenue. Revenue generated from AI Applications is reported within Data and services in our Consolidated Statement of Operations and was less than $1.0 million for the years ended December 31, 2020 and 2021, respectively, and was $1.4 million for the year ended December 31, 2022. Revenue generated from AI Applications was less than $1.0 million for the nine months ended September 30, 2022 and 2023.</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 – full transcriptome (RNA)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xT-cdx – 648 gene, tumor/normal FDA approved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 and</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79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77908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are also currently validating xM, a joint methylation signature and variant workflow for minimal residual disease detection.</w:t>
      </w:r>
    </w:p>
    <w:p>
      <w:pPr>
        <w:spacing w:after="0" w:line="21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25%, and 49% for the years ended December 31, 2020, 2021, and 2022, and the nine months ended September 30, 2023,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neuropsychology,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ectPr>
          <w:pgSz w:w="11900" w:h="16838" w:orient="portrait"/>
          <w:cols w:equalWidth="0" w:num="1">
            <w:col w:w="11160"/>
          </w:cols>
          <w:pgMar w:left="320" w:top="4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160"/>
          </w:cols>
          <w:pgMar w:left="320" w:top="448" w:right="4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514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5142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We work with 19 of the 20 largest public pharmaceutical companies based on 2022 revenue, and as of September 30, 2023, we have signed contracts with a remaining total contract value of more than $785.0 million, which includes approximately $300.0 million in additional potential future contractual opt-ins. See “Business” for additional discussion regarding our remaining total contract value.</w:t>
      </w:r>
    </w:p>
    <w:p>
      <w:pPr>
        <w:spacing w:after="0" w:line="18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79" w:lineRule="auto"/>
        <w:rPr>
          <w:sz w:val="20"/>
          <w:szCs w:val="20"/>
          <w:color w:val="auto"/>
        </w:rPr>
      </w:pPr>
      <w:r>
        <w:rPr>
          <w:rFonts w:ascii="Times New Roman" w:cs="Times New Roman" w:eastAsia="Times New Roman" w:hAnsi="Times New Roman"/>
          <w:sz w:val="16"/>
          <w:szCs w:val="16"/>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$11.9 million and $40.2 million for the years ended December 31, 2021 and 2022, respectively. These costs represent 19.0% and 32.8% of data and services revenue for the years ended December 31, 2021 and 2022, respectively.</w:t>
      </w:r>
    </w:p>
    <w:p>
      <w:pPr>
        <w:spacing w:after="0" w:line="374" w:lineRule="exact"/>
        <w:rPr>
          <w:sz w:val="20"/>
          <w:szCs w:val="20"/>
          <w:color w:val="auto"/>
        </w:rPr>
      </w:pPr>
    </w:p>
    <w:p>
      <w:pPr>
        <w:jc w:val="both"/>
        <w:ind w:left="200" w:firstLine="438"/>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September 30, 2023, we generated $64.5 million of combined revenue from sequencing, data licensing of de-identified data derived from those records, analytical services, and clinical trials matching, which is approximately 7.2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2023, the 2018 “Cohort Lifetime Value” was $47.1 million. We experienced similar trends for the 2019, 2020, 2021, and 2022 cohorts. As of September 30, 2023, the 2019 “Cohort Lifetime Value” was $59.5 million, the 2020 “Cohort Lifetime Value” was $62.7 million, the 2021 “Cohort Lifetime Value” was $70.9 million, and the 2022 “Cohort Lifetime Value” was $75.4 million.</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9616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96164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“Cohort Lifetime Value” for the 2018 to 2022 data cohorts is illustrated in the graphs below. Figures shown in “2023 Data Revenue” represent revenue through September 30, 2023.</w:t>
      </w:r>
    </w:p>
    <w:p>
      <w:pPr>
        <w:sectPr>
          <w:pgSz w:w="11900" w:h="16838" w:orient="portrait"/>
          <w:cols w:equalWidth="0" w:num="1">
            <w:col w:w="11160"/>
          </w:cols>
          <w:pgMar w:left="320" w:top="448"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60"/>
          </w:cols>
          <w:pgMar w:left="320" w:top="448" w:right="419"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8199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8199120"/>
                    </a:xfrm>
                    <a:prstGeom prst="rect">
                      <a:avLst/>
                    </a:prstGeom>
                    <a:noFill/>
                  </pic:spPr>
                </pic:pic>
              </a:graphicData>
            </a:graphic>
          </wp:anchor>
        </w:drawing>
      </w:r>
    </w:p>
    <w:p>
      <w:pPr>
        <w:sectPr>
          <w:pgSz w:w="11900" w:h="16838" w:orient="portrait"/>
          <w:cols w:equalWidth="0" w:num="1">
            <w:col w:w="11160"/>
          </w:cols>
          <w:pgMar w:left="320" w:top="44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200" w:firstLine="438"/>
        <w:spacing w:after="0" w:line="280" w:lineRule="auto"/>
        <w:rPr>
          <w:sz w:val="20"/>
          <w:szCs w:val="20"/>
          <w:color w:val="auto"/>
        </w:rPr>
      </w:pPr>
      <w:r>
        <w:rPr>
          <w:rFonts w:ascii="Times New Roman" w:cs="Times New Roman" w:eastAsia="Times New Roman" w:hAnsi="Times New Roman"/>
          <w:sz w:val="16"/>
          <w:szCs w:val="16"/>
          <w:color w:val="auto"/>
        </w:rPr>
        <w:t>Our second focus area within our Data and Services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 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3,000 oncologists fully enrolled, more than 220 clinical trials signed into the network, and more than 25,000 patients were identified for potential enrollment into clinical trials in our network, as of September 30, 2023.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6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w:t>
      </w:r>
    </w:p>
    <w:p>
      <w:pPr>
        <w:sectPr>
          <w:pgSz w:w="11900" w:h="16838" w:orient="portrait"/>
          <w:cols w:equalWidth="0" w:num="1">
            <w:col w:w="11160"/>
          </w:cols>
          <w:pgMar w:left="320" w:top="448" w:right="419" w:bottom="1440" w:gutter="0" w:footer="0" w:header="0"/>
          <w:type w:val="continuous"/>
        </w:sect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48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8483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51" w:lineRule="auto"/>
        <w:rPr>
          <w:sz w:val="20"/>
          <w:szCs w:val="20"/>
          <w:color w:val="auto"/>
        </w:rPr>
      </w:pPr>
      <w:r>
        <w:rPr>
          <w:rFonts w:ascii="Times New Roman" w:cs="Times New Roman" w:eastAsia="Times New Roman" w:hAnsi="Times New Roman"/>
          <w:sz w:val="18"/>
          <w:szCs w:val="18"/>
          <w:color w:val="auto"/>
        </w:rPr>
        <w:t>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Within oncology, we offer a suite of algorithmic tests as complements to our NGS assays, including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likely disease progression. More than 80 hospitals nationwide are currently powered by Tempus Next and more than 35,000 patients are screened per month. We are also developing algorithmic models that aid clinicians in identifying patients at increased risk of developing atrial fibrillation, or AFib, along with a variety of other cardiac conditions. These Algos are trained using de-identified data derived from approximately 3.5 million electrocardiograms, or ECGs, across more than 700,000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9"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48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8483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331" w:lineRule="auto"/>
        <w:rPr>
          <w:sz w:val="20"/>
          <w:szCs w:val="20"/>
          <w:color w:val="auto"/>
        </w:rPr>
      </w:pPr>
      <w:r>
        <w:rPr>
          <w:rFonts w:ascii="Times New Roman" w:cs="Times New Roman" w:eastAsia="Times New Roman" w:hAnsi="Times New Roman"/>
          <w:sz w:val="16"/>
          <w:szCs w:val="16"/>
          <w:color w:val="auto"/>
        </w:rPr>
        <w:t>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23"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generative AI Applications at scale could be a unique differentiator of our Platform. For each AI Application, we use data the same way legacy diagnostic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radiology, in which there is over $3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neuropsychology. Our Data and Services product line operates within a market in which life sciences companies spent an estimated $238 billion in 2022 on research and development according to Evaluate Pharma, and addresses needs within the $42 billion clinical trial services market, the $62 billion market for biomarker discovery, and the $29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and Services product line is powered by dedicated, near real-time data pipelines that we believe are increasingly difficult to replicate; and our proprietary technology has allowed us to scale where others have been unable. As we are now connected to more than 50% of all oncologists practicing in the United States in some way, and a growing number of neuropsychiatric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8154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68154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currently siloed, inaccessible datasets are instantly available through a single, purpose-built Platform to bring generative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98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619823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 and make use of large language models deploying generative AI applications in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and other AI Applications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integration, go to market and commercial infrastructure provide a significant strategic advantage that can be leveraged to accelerate new product launches and realize efficiencies.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radiology,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Series G-4 Financing</w:t>
      </w:r>
    </w:p>
    <w:p>
      <w:pPr>
        <w:spacing w:after="0" w:line="110" w:lineRule="exact"/>
        <w:rPr>
          <w:sz w:val="20"/>
          <w:szCs w:val="20"/>
          <w:color w:val="auto"/>
        </w:rPr>
      </w:pPr>
    </w:p>
    <w:p>
      <w:pPr>
        <w:jc w:val="both"/>
        <w:ind w:left="200" w:firstLine="438"/>
        <w:spacing w:after="0" w:line="277" w:lineRule="auto"/>
        <w:rPr>
          <w:sz w:val="20"/>
          <w:szCs w:val="20"/>
          <w:color w:val="auto"/>
        </w:rPr>
      </w:pPr>
      <w:r>
        <w:rPr>
          <w:rFonts w:ascii="Times New Roman" w:cs="Times New Roman" w:eastAsia="Times New Roman" w:hAnsi="Times New Roman"/>
          <w:sz w:val="16"/>
          <w:szCs w:val="16"/>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w:t>
      </w:r>
    </w:p>
    <w:p>
      <w:pPr>
        <w:ind w:left="820" w:hanging="628"/>
        <w:spacing w:after="0" w:line="130" w:lineRule="auto"/>
        <w:tabs>
          <w:tab w:leader="none" w:pos="820" w:val="left"/>
        </w:tabs>
        <w:numPr>
          <w:ilvl w:val="0"/>
          <w:numId w:val="6"/>
        </w:numPr>
        <w:rPr>
          <w:rFonts w:ascii="Times New Roman" w:cs="Times New Roman" w:eastAsia="Times New Roman" w:hAnsi="Times New Roman"/>
          <w:sz w:val="1"/>
          <w:szCs w:val="1"/>
          <w:color w:val="auto"/>
        </w:rPr>
      </w:pPr>
      <w:r>
        <w:rPr>
          <w:rFonts w:ascii="Times New Roman" w:cs="Times New Roman" w:eastAsia="Times New Roman" w:hAnsi="Times New Roman"/>
          <w:sz w:val="1"/>
          <w:szCs w:val="1"/>
          <w:color w:val="auto"/>
        </w:rPr>
        <w:t>per share, which is the midpoint of the estimated price range set forth on the cover page of this prospectus, all of the shares of Series G-4 preferred</w:t>
      </w:r>
    </w:p>
    <w:p>
      <w:pPr>
        <w:spacing w:after="0" w:line="190" w:lineRule="exact"/>
        <w:rPr>
          <w:sz w:val="20"/>
          <w:szCs w:val="20"/>
          <w:color w:val="auto"/>
        </w:rPr>
      </w:pPr>
    </w:p>
    <w:p>
      <w:pPr>
        <w:jc w:val="both"/>
        <w:ind w:left="200"/>
        <w:spacing w:after="0" w:line="253" w:lineRule="auto"/>
        <w:rPr>
          <w:sz w:val="20"/>
          <w:szCs w:val="20"/>
          <w:color w:val="auto"/>
        </w:rPr>
      </w:pPr>
      <w:r>
        <w:rPr>
          <w:rFonts w:ascii="Times New Roman" w:cs="Times New Roman" w:eastAsia="Times New Roman" w:hAnsi="Times New Roman"/>
          <w:sz w:val="18"/>
          <w:szCs w:val="18"/>
          <w:color w:val="auto"/>
        </w:rPr>
        <w:t>stock will convert into an aggregate of shares of our Class A common stock in connection with this offering. Each $1.00 increase or decrease in the assumed initial public offering price of $ per share, which is the midpoint of the estimated price range set forth on the cover page of this</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prospectus, would increase or decrease, as applicable, the number of shares of Class A common stock into which all shares of Series G-4 preferred stock</w:t>
      </w:r>
    </w:p>
    <w:p>
      <w:pPr>
        <w:spacing w:after="0" w:line="26" w:lineRule="exact"/>
        <w:rPr>
          <w:sz w:val="20"/>
          <w:szCs w:val="20"/>
          <w:color w:val="auto"/>
        </w:rPr>
      </w:pPr>
    </w:p>
    <w:p>
      <w:pPr>
        <w:ind w:left="200"/>
        <w:spacing w:after="0"/>
        <w:tabs>
          <w:tab w:leader="none" w:pos="5480" w:val="left"/>
        </w:tabs>
        <w:rPr>
          <w:sz w:val="20"/>
          <w:szCs w:val="20"/>
          <w:color w:val="auto"/>
        </w:rPr>
      </w:pPr>
      <w:r>
        <w:rPr>
          <w:rFonts w:ascii="Times New Roman" w:cs="Times New Roman" w:eastAsia="Times New Roman" w:hAnsi="Times New Roman"/>
          <w:sz w:val="18"/>
          <w:szCs w:val="18"/>
          <w:color w:val="auto"/>
        </w:rPr>
        <w:t>would convert in connection with this offering by approximately</w:t>
      </w:r>
      <w:r>
        <w:rPr>
          <w:sz w:val="20"/>
          <w:szCs w:val="20"/>
          <w:color w:val="auto"/>
        </w:rPr>
        <w:tab/>
      </w:r>
      <w:r>
        <w:rPr>
          <w:rFonts w:ascii="Times New Roman" w:cs="Times New Roman" w:eastAsia="Times New Roman" w:hAnsi="Times New Roman"/>
          <w:sz w:val="16"/>
          <w:szCs w:val="16"/>
          <w:color w:val="auto"/>
        </w:rPr>
        <w:t>shares.</w:t>
      </w:r>
    </w:p>
    <w:p>
      <w:pPr>
        <w:spacing w:after="0" w:line="19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thirty (30) days following this offering.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90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60902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On October 11, 2023, the Company signed a second amendment to its Credit Agreement with Ares Capital Corporation which provided an additional $35.0 milllion in term debt. The Company received $34.1 million in cash, which is the aggregate principal amount of $35.0 million less debt issuance costs of $0.9 million. Terms of the second amendment are consistent with existing terms of the Credit Agreement.</w:t>
      </w:r>
    </w:p>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6146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561467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20" w:hanging="268"/>
        <w:spacing w:after="0" w:line="255"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to Tempus Labs, Inc. in 2016 and in 2023, we changed our name to Tempus AI,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56"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AI,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642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5,374,899 shares</w:t>
      </w:r>
    </w:p>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shares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stock that we are offering will be approximately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spacing w:after="0"/>
        <w:tabs>
          <w:tab w:leader="none" w:pos="4240" w:val="left"/>
        </w:tabs>
        <w:rPr>
          <w:sz w:val="20"/>
          <w:szCs w:val="20"/>
          <w:color w:val="auto"/>
        </w:rPr>
      </w:pPr>
      <w:r>
        <w:rPr>
          <w:rFonts w:ascii="Times New Roman" w:cs="Times New Roman" w:eastAsia="Times New Roman" w:hAnsi="Times New Roman"/>
          <w:sz w:val="18"/>
          <w:szCs w:val="18"/>
          <w:color w:val="auto"/>
        </w:rPr>
        <w:t>assuming an initial public offering price of $</w:t>
      </w:r>
      <w:r>
        <w:rPr>
          <w:sz w:val="20"/>
          <w:szCs w:val="20"/>
          <w:color w:val="auto"/>
        </w:rPr>
        <w:tab/>
      </w:r>
      <w:r>
        <w:rPr>
          <w:rFonts w:ascii="Times New Roman" w:cs="Times New Roman" w:eastAsia="Times New Roman" w:hAnsi="Times New Roman"/>
          <w:sz w:val="18"/>
          <w:szCs w:val="18"/>
          <w:color w:val="auto"/>
        </w:rPr>
        <w:t>per share, the</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022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022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including on the date that Eric Lefkofsky, our Chief Executive Officer,</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Founder and Chairman (1) ceases to serve as an executive officer or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member of our Board of Directors or (2) ceases to own, together with 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controlled entities, at least 10,000,000 shares of our capital stock (as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adjusted for stock splits, stock dividends, combinations, subdivisions and</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recapitalizations). See the section titled “Description of Capital Stock—</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Class A Common Stock and Class B Common Stock.”</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8"/>
              </w:rPr>
              <w:t>generally vote together as a single class, unless otherwise required by law</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7"/>
              </w:rPr>
              <w:t>Founder and Chairman, Eric Lefkofsky, will beneficially own 100% of our</w:t>
            </w:r>
          </w:p>
        </w:tc>
      </w:tr>
      <w:tr>
        <w:trPr>
          <w:trHeight w:val="210"/>
        </w:trPr>
        <w:tc>
          <w:tcPr>
            <w:tcW w:w="4500" w:type="dxa"/>
            <w:vAlign w:val="bottom"/>
          </w:tcPr>
          <w:p>
            <w:pPr>
              <w:spacing w:after="0"/>
              <w:rPr>
                <w:sz w:val="18"/>
                <w:szCs w:val="18"/>
                <w:color w:val="auto"/>
              </w:rPr>
            </w:pP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outstanding Class B common stock and will hold approximately</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 of</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w w:val="99"/>
              </w:rPr>
              <w:t>outcome of matters submitted to our stockholders for approval, including</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tc>
      </w:tr>
      <w:tr>
        <w:trPr>
          <w:trHeight w:val="228"/>
        </w:trPr>
        <w:tc>
          <w:tcPr>
            <w:tcW w:w="4500" w:type="dxa"/>
            <w:vAlign w:val="bottom"/>
          </w:tcPr>
          <w:p>
            <w:pPr>
              <w:spacing w:after="0"/>
              <w:rPr>
                <w:sz w:val="19"/>
                <w:szCs w:val="19"/>
                <w:color w:val="auto"/>
              </w:rPr>
            </w:pP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tc>
        <w:tc>
          <w:tcPr>
            <w:tcW w:w="500" w:type="dxa"/>
            <w:vAlign w:val="bottom"/>
          </w:tcPr>
          <w:p>
            <w:pPr>
              <w:spacing w:after="0"/>
              <w:rPr>
                <w:sz w:val="19"/>
                <w:szCs w:val="19"/>
                <w:color w:val="auto"/>
              </w:rPr>
            </w:pPr>
          </w:p>
        </w:tc>
      </w:tr>
      <w:tr>
        <w:trPr>
          <w:trHeight w:val="271"/>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You should carefully read the section titled “Risk Factors” beginning on</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page 24 and the other information included in this prospectus for a</w:t>
            </w:r>
          </w:p>
        </w:tc>
      </w:tr>
      <w:tr>
        <w:trPr>
          <w:trHeight w:val="210"/>
        </w:trPr>
        <w:tc>
          <w:tcPr>
            <w:tcW w:w="4500" w:type="dxa"/>
            <w:vAlign w:val="bottom"/>
          </w:tcPr>
          <w:p>
            <w:pPr>
              <w:spacing w:after="0"/>
              <w:rPr>
                <w:sz w:val="18"/>
                <w:szCs w:val="18"/>
                <w:color w:val="auto"/>
              </w:rPr>
            </w:pPr>
          </w:p>
        </w:tc>
        <w:tc>
          <w:tcPr>
            <w:tcW w:w="64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discussion of facts that you should consider before deciding to invest in</w:t>
            </w:r>
          </w:p>
        </w:tc>
      </w:tr>
      <w:tr>
        <w:trPr>
          <w:trHeight w:val="228"/>
        </w:trPr>
        <w:tc>
          <w:tcPr>
            <w:tcW w:w="4500" w:type="dxa"/>
            <w:vAlign w:val="bottom"/>
          </w:tcPr>
          <w:p>
            <w:pPr>
              <w:spacing w:after="0"/>
              <w:rPr>
                <w:sz w:val="19"/>
                <w:szCs w:val="19"/>
                <w:color w:val="auto"/>
              </w:rPr>
            </w:pP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shares of our Class A common stock.</w:t>
            </w:r>
          </w:p>
        </w:tc>
        <w:tc>
          <w:tcPr>
            <w:tcW w:w="500" w:type="dxa"/>
            <w:vAlign w:val="bottom"/>
          </w:tcPr>
          <w:p>
            <w:pPr>
              <w:spacing w:after="0"/>
              <w:rPr>
                <w:sz w:val="19"/>
                <w:szCs w:val="19"/>
                <w:color w:val="auto"/>
              </w:rPr>
            </w:pPr>
          </w:p>
        </w:tc>
      </w:tr>
      <w:tr>
        <w:trPr>
          <w:trHeight w:val="27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Global Select trading symbol</w:t>
            </w:r>
          </w:p>
        </w:tc>
        <w:tc>
          <w:tcPr>
            <w:tcW w:w="59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“TEM”</w:t>
            </w:r>
          </w:p>
        </w:tc>
        <w:tc>
          <w:tcPr>
            <w:tcW w:w="500" w:type="dxa"/>
            <w:vAlign w:val="bottom"/>
          </w:tcPr>
          <w:p>
            <w:pPr>
              <w:spacing w:after="0"/>
              <w:rPr>
                <w:sz w:val="23"/>
                <w:szCs w:val="23"/>
                <w:color w:val="auto"/>
              </w:rPr>
            </w:pP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w:t>
      </w:r>
    </w:p>
    <w:p>
      <w:pPr>
        <w:spacing w:after="0" w:line="44" w:lineRule="exact"/>
        <w:rPr>
          <w:sz w:val="20"/>
          <w:szCs w:val="20"/>
          <w:color w:val="auto"/>
        </w:rPr>
      </w:pPr>
    </w:p>
    <w:p>
      <w:pPr>
        <w:jc w:val="both"/>
        <w:ind w:left="200"/>
        <w:spacing w:after="0" w:line="244" w:lineRule="auto"/>
        <w:rPr>
          <w:sz w:val="20"/>
          <w:szCs w:val="20"/>
          <w:color w:val="auto"/>
        </w:rPr>
      </w:pPr>
      <w:r>
        <w:rPr>
          <w:rFonts w:ascii="Times New Roman" w:cs="Times New Roman" w:eastAsia="Times New Roman" w:hAnsi="Times New Roman"/>
          <w:sz w:val="18"/>
          <w:szCs w:val="18"/>
          <w:color w:val="auto"/>
        </w:rPr>
        <w:t>based on shares of Class A common stock and 5,374,899 shares of Class B common stock outstanding as of September 30, 2023 (after giving effect to the Series G-4 Financing and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9" w:lineRule="exact"/>
        <w:rPr>
          <w:sz w:val="20"/>
          <w:szCs w:val="20"/>
          <w:color w:val="auto"/>
        </w:rPr>
      </w:pPr>
    </w:p>
    <w:p>
      <w:pPr>
        <w:jc w:val="both"/>
        <w:ind w:left="1160" w:hanging="535"/>
        <w:spacing w:after="0" w:line="251" w:lineRule="auto"/>
        <w:tabs>
          <w:tab w:leader="none" w:pos="17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on the vesting and settlement of restricted stock units, or RSUs, and performance-vesting restricted stock units, or PSUs, outstanding as of September 30, 2023 under our Third Amended and Restated 2015 Stock Plan, as amended, or 2015 Plan, for which the performance-based vesting condition will be satisfied in connection with this offering, but for which the service-based vesting condition will not be satisfied on or before September 30, 2023;</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64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606488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20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2024 Equity Incentive Plan, or 2024 Plan, as well as any future increases, including annual automatic evergreen increases, in the number of shares of Class A common stock reserved for issuance under the 2024 Plan;</w:t>
      </w:r>
    </w:p>
    <w:p>
      <w:pPr>
        <w:spacing w:after="0" w:line="88" w:lineRule="exact"/>
        <w:rPr>
          <w:rFonts w:ascii="Times New Roman" w:cs="Times New Roman" w:eastAsia="Times New Roman" w:hAnsi="Times New Roman"/>
          <w:sz w:val="18"/>
          <w:szCs w:val="18"/>
          <w:color w:val="auto"/>
        </w:rPr>
      </w:pPr>
    </w:p>
    <w:p>
      <w:pPr>
        <w:jc w:val="both"/>
        <w:ind w:left="1160" w:right="18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2024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18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right="200" w:hanging="535"/>
        <w:spacing w:after="0" w:line="285" w:lineRule="auto"/>
        <w:tabs>
          <w:tab w:leader="none" w:pos="11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upon conversion of the promissory note we issued to Google LLC, as amended, which note is convertible beginning in March 2026 into a number of shares determined by dividing (i) the then outstanding principal amount of such note</w:t>
      </w:r>
    </w:p>
    <w:tbl>
      <w:tblPr>
        <w:tblLayout w:type="fixed"/>
        <w:tblInd w:w="620" w:type="dxa"/>
        <w:tblCellMar>
          <w:top w:w="0" w:type="dxa"/>
          <w:left w:w="0" w:type="dxa"/>
          <w:bottom w:w="0" w:type="dxa"/>
          <w:right w:w="0" w:type="dxa"/>
        </w:tblCellMar>
      </w:tblPr>
      <w:tr>
        <w:trPr>
          <w:trHeight w:val="193"/>
        </w:trPr>
        <w:tc>
          <w:tcPr>
            <w:tcW w:w="300" w:type="dxa"/>
            <w:vAlign w:val="bottom"/>
          </w:tcPr>
          <w:p>
            <w:pPr>
              <w:spacing w:after="0"/>
              <w:rPr>
                <w:sz w:val="16"/>
                <w:szCs w:val="16"/>
                <w:color w:val="auto"/>
              </w:rPr>
            </w:pPr>
          </w:p>
        </w:tc>
        <w:tc>
          <w:tcPr>
            <w:tcW w:w="14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(which was $</w:t>
            </w:r>
          </w:p>
        </w:tc>
        <w:tc>
          <w:tcPr>
            <w:tcW w:w="88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as of September 30, 2023) plus accrued and unpaid interest by (ii) the average of the last trading price of the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Company’s Class A common stock on each trading day during the twenty day period ending immediately prior to March 22, 2026, as more</w:t>
            </w:r>
          </w:p>
        </w:tc>
      </w:tr>
      <w:tr>
        <w:trPr>
          <w:trHeight w:val="228"/>
        </w:trPr>
        <w:tc>
          <w:tcPr>
            <w:tcW w:w="300" w:type="dxa"/>
            <w:vAlign w:val="bottom"/>
          </w:tcPr>
          <w:p>
            <w:pPr>
              <w:spacing w:after="0"/>
              <w:rPr>
                <w:sz w:val="19"/>
                <w:szCs w:val="19"/>
                <w:color w:val="auto"/>
              </w:rPr>
            </w:pPr>
          </w:p>
        </w:tc>
        <w:tc>
          <w:tcPr>
            <w:tcW w:w="84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fully described in the section of this prospectus titled “Description of Capital Stock—Convertible Promissory Note”;</w:t>
            </w:r>
          </w:p>
        </w:tc>
        <w:tc>
          <w:tcPr>
            <w:tcW w:w="182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7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AB with an exercise price</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equal to the initial public offering price, as more fully described in the section of this prospectus titled “Business—Operations—Our Strategic</w:t>
            </w:r>
          </w:p>
        </w:tc>
      </w:tr>
      <w:tr>
        <w:trPr>
          <w:trHeight w:val="228"/>
        </w:trPr>
        <w:tc>
          <w:tcPr>
            <w:tcW w:w="300" w:type="dxa"/>
            <w:vAlign w:val="bottom"/>
          </w:tcPr>
          <w:p>
            <w:pPr>
              <w:spacing w:after="0"/>
              <w:rPr>
                <w:sz w:val="19"/>
                <w:szCs w:val="19"/>
                <w:color w:val="auto"/>
              </w:rPr>
            </w:pPr>
          </w:p>
        </w:tc>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Collaboration with AstraZeneca”;</w:t>
            </w: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per share, the midpoint of</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8"/>
              </w:rPr>
              <w:t>the estimated price range set forth on the cover page of this prospectus, issuable to one of our stockholders pursuant to a contingent payment</w:t>
            </w:r>
          </w:p>
        </w:tc>
      </w:tr>
      <w:tr>
        <w:trPr>
          <w:trHeight w:val="210"/>
        </w:trPr>
        <w:tc>
          <w:tcPr>
            <w:tcW w:w="300" w:type="dxa"/>
            <w:vAlign w:val="bottom"/>
          </w:tcPr>
          <w:p>
            <w:pPr>
              <w:spacing w:after="0"/>
              <w:rPr>
                <w:sz w:val="18"/>
                <w:szCs w:val="18"/>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right, which payment may be made in cash or shares of Class A common stock, upon mutual agreement of the Company and such</w:t>
            </w:r>
          </w:p>
        </w:tc>
      </w:tr>
      <w:tr>
        <w:trPr>
          <w:trHeight w:val="228"/>
        </w:trPr>
        <w:tc>
          <w:tcPr>
            <w:tcW w:w="300" w:type="dxa"/>
            <w:vAlign w:val="bottom"/>
          </w:tcPr>
          <w:p>
            <w:pPr>
              <w:spacing w:after="0"/>
              <w:rPr>
                <w:sz w:val="19"/>
                <w:szCs w:val="19"/>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stockholder; and</w:t>
            </w:r>
          </w:p>
        </w:tc>
        <w:tc>
          <w:tcPr>
            <w:tcW w:w="5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100" w:lineRule="exact"/>
        <w:rPr>
          <w:sz w:val="20"/>
          <w:szCs w:val="20"/>
          <w:color w:val="auto"/>
        </w:rPr>
      </w:pPr>
    </w:p>
    <w:p>
      <w:pPr>
        <w:jc w:val="both"/>
        <w:ind w:left="1160" w:right="180" w:hanging="535"/>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Inc., or Mpirik, in connection with our purchase of all of the outstanding shares of Mpirik. See Notes 3 and 12 to our consolidated financial statements included elsewhere in this prospectus.</w:t>
      </w:r>
    </w:p>
    <w:p>
      <w:pPr>
        <w:spacing w:after="0" w:line="180" w:lineRule="exact"/>
        <w:rPr>
          <w:sz w:val="20"/>
          <w:szCs w:val="20"/>
          <w:color w:val="auto"/>
        </w:rPr>
      </w:pPr>
    </w:p>
    <w:p>
      <w:pPr>
        <w:ind w:left="200" w:right="18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right="20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w:t>
      </w:r>
    </w:p>
    <w:p>
      <w:pPr>
        <w:spacing w:after="0" w:line="77"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redeemable convertible preferred stock, other than our Series B redeemable convertible preferred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2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into an aggregate of</w:t>
            </w:r>
          </w:p>
        </w:tc>
        <w:tc>
          <w:tcPr>
            <w:tcW w:w="6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per share, the</w:t>
            </w:r>
          </w:p>
        </w:tc>
      </w:tr>
      <w:tr>
        <w:trPr>
          <w:trHeight w:val="228"/>
        </w:trPr>
        <w:tc>
          <w:tcPr>
            <w:tcW w:w="920" w:type="dxa"/>
            <w:vAlign w:val="bottom"/>
          </w:tcPr>
          <w:p>
            <w:pPr>
              <w:spacing w:after="0"/>
              <w:rPr>
                <w:sz w:val="19"/>
                <w:szCs w:val="19"/>
                <w:color w:val="auto"/>
              </w:rPr>
            </w:pPr>
          </w:p>
        </w:tc>
        <w:tc>
          <w:tcPr>
            <w:tcW w:w="104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which will occur upon the closing of this offering;</w:t>
            </w:r>
          </w:p>
        </w:tc>
      </w:tr>
      <w:tr>
        <w:trPr>
          <w:trHeight w:val="310"/>
        </w:trPr>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issuance of</w:t>
            </w:r>
          </w:p>
        </w:tc>
        <w:tc>
          <w:tcPr>
            <w:tcW w:w="87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additional shares of Class A common stock, which we refer to as the Additional Class A Conversion Shares, upon the</w:t>
            </w:r>
          </w:p>
        </w:tc>
      </w:tr>
      <w:tr>
        <w:trPr>
          <w:trHeight w:val="210"/>
        </w:trPr>
        <w:tc>
          <w:tcPr>
            <w:tcW w:w="920" w:type="dxa"/>
            <w:vAlign w:val="bottom"/>
          </w:tcPr>
          <w:p>
            <w:pPr>
              <w:spacing w:after="0"/>
              <w:rPr>
                <w:sz w:val="18"/>
                <w:szCs w:val="18"/>
                <w:color w:val="auto"/>
              </w:rPr>
            </w:pPr>
          </w:p>
        </w:tc>
        <w:tc>
          <w:tcPr>
            <w:tcW w:w="104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conversion of all outstanding shares of our redeemable convertible preferred stock upon the closing of this offering, pursuant to provisions of</w:t>
            </w:r>
          </w:p>
        </w:tc>
      </w:tr>
      <w:tr>
        <w:trPr>
          <w:trHeight w:val="210"/>
        </w:trPr>
        <w:tc>
          <w:tcPr>
            <w:tcW w:w="920" w:type="dxa"/>
            <w:vAlign w:val="bottom"/>
          </w:tcPr>
          <w:p>
            <w:pPr>
              <w:spacing w:after="0"/>
              <w:rPr>
                <w:sz w:val="18"/>
                <w:szCs w:val="18"/>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our certificate of incorporation as currently in effect, assuming an initial public offering price of $</w:t>
            </w:r>
          </w:p>
        </w:tc>
        <w:tc>
          <w:tcPr>
            <w:tcW w:w="268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920" w:type="dxa"/>
            <w:vAlign w:val="bottom"/>
          </w:tcPr>
          <w:p>
            <w:pPr>
              <w:spacing w:after="0"/>
              <w:rPr>
                <w:sz w:val="19"/>
                <w:szCs w:val="19"/>
                <w:color w:val="auto"/>
              </w:rPr>
            </w:pPr>
          </w:p>
        </w:tc>
        <w:tc>
          <w:tcPr>
            <w:tcW w:w="77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1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68"/>
        </w:trPr>
        <w:tc>
          <w:tcPr>
            <w:tcW w:w="9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351"/>
        </w:trPr>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tcPr>
          <w:p>
            <w:pPr>
              <w:jc w:val="right"/>
              <w:ind w:right="2812"/>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1141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41141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right="180" w:hanging="539"/>
        <w:spacing w:after="0" w:line="251" w:lineRule="auto"/>
        <w:tabs>
          <w:tab w:leader="none" w:pos="1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issuance of shares of Class A common stock upon the settlement of RSUs and PSUs outstanding as of September 30, 2023 under our 2015 Plan for which the performance-based vesting condition will be satisfied in connection with this offering and for which any service-based vesting condition was satisfied on or before September 30, 2023, which settlement will be effected upon the expiration of the lock-up period in connection with this offering;</w:t>
      </w:r>
    </w:p>
    <w:p>
      <w:pPr>
        <w:spacing w:after="0" w:line="92" w:lineRule="exact"/>
        <w:rPr>
          <w:sz w:val="20"/>
          <w:szCs w:val="20"/>
          <w:color w:val="auto"/>
        </w:rPr>
      </w:pPr>
    </w:p>
    <w:p>
      <w:pPr>
        <w:ind w:left="1160" w:right="200" w:hanging="535"/>
        <w:spacing w:after="0" w:line="267"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4,917,823 shares of Class A common stock, which will occur upon the closing of this offering;</w:t>
      </w:r>
    </w:p>
    <w:p>
      <w:pPr>
        <w:sectPr>
          <w:pgSz w:w="11900" w:h="16838" w:orient="portrait"/>
          <w:cols w:equalWidth="0" w:num="1">
            <w:col w:w="11340"/>
          </w:cols>
          <w:pgMar w:left="320" w:top="448" w:right="239" w:bottom="1440" w:gutter="0" w:footer="0" w:header="0"/>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3980" w:space="720"/>
            <w:col w:w="5480"/>
          </w:cols>
          <w:pgMar w:left="320" w:top="448" w:right="239" w:bottom="1440" w:gutter="0" w:footer="0" w:header="0"/>
          <w:type w:val="continuous"/>
        </w:sectPr>
      </w:pPr>
    </w:p>
    <w:p>
      <w:pPr>
        <w:ind w:left="1160" w:hanging="535"/>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and PSUs except as described above.</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right="180" w:firstLine="438"/>
        <w:spacing w:after="0" w:line="285" w:lineRule="auto"/>
        <w:rPr>
          <w:sz w:val="20"/>
          <w:szCs w:val="20"/>
          <w:color w:val="auto"/>
        </w:rPr>
      </w:pPr>
      <w:r>
        <w:rPr>
          <w:rFonts w:ascii="Times New Roman" w:cs="Times New Roman" w:eastAsia="Times New Roman" w:hAnsi="Times New Roman"/>
          <w:sz w:val="16"/>
          <w:szCs w:val="16"/>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w:t>
      </w:r>
    </w:p>
    <w:p>
      <w:pPr>
        <w:spacing w:after="0" w:line="1" w:lineRule="exact"/>
        <w:rPr>
          <w:sz w:val="20"/>
          <w:szCs w:val="20"/>
          <w:color w:val="auto"/>
        </w:rPr>
      </w:pPr>
    </w:p>
    <w:p>
      <w:pPr>
        <w:jc w:val="both"/>
        <w:ind w:left="200" w:right="180"/>
        <w:spacing w:after="0" w:line="243" w:lineRule="auto"/>
        <w:rPr>
          <w:sz w:val="20"/>
          <w:szCs w:val="20"/>
          <w:color w:val="auto"/>
        </w:rPr>
      </w:pPr>
      <w:r>
        <w:rPr>
          <w:rFonts w:ascii="Times New Roman" w:cs="Times New Roman" w:eastAsia="Times New Roman" w:hAnsi="Times New Roman"/>
          <w:sz w:val="18"/>
          <w:szCs w:val="18"/>
          <w:color w:val="auto"/>
        </w:rPr>
        <w:t>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w:t>
      </w:r>
    </w:p>
    <w:p>
      <w:pPr>
        <w:spacing w:after="0" w:line="1" w:lineRule="exact"/>
        <w:rPr>
          <w:sz w:val="20"/>
          <w:szCs w:val="20"/>
          <w:color w:val="auto"/>
        </w:rPr>
      </w:pPr>
    </w:p>
    <w:p>
      <w:pPr>
        <w:jc w:val="both"/>
        <w:ind w:left="200" w:right="180"/>
        <w:spacing w:after="0" w:line="245" w:lineRule="auto"/>
        <w:rPr>
          <w:sz w:val="20"/>
          <w:szCs w:val="20"/>
          <w:color w:val="auto"/>
        </w:rPr>
      </w:pPr>
      <w:r>
        <w:rPr>
          <w:rFonts w:ascii="Times New Roman" w:cs="Times New Roman" w:eastAsia="Times New Roman" w:hAnsi="Times New Roman"/>
          <w:sz w:val="18"/>
          <w:szCs w:val="18"/>
          <w:color w:val="auto"/>
        </w:rPr>
        <w:t>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10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100" w:type="dxa"/>
            <w:vAlign w:val="bottom"/>
            <w:gridSpan w:val="2"/>
          </w:tcPr>
          <w:p>
            <w:pPr>
              <w:jc w:val="center"/>
              <w:ind w:right="10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5240" w:type="dxa"/>
            <w:vAlign w:val="bottom"/>
            <w:gridSpan w:val="3"/>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2100" w:type="dxa"/>
            <w:vAlign w:val="bottom"/>
            <w:gridSpan w:val="2"/>
          </w:tcPr>
          <w:p>
            <w:pPr>
              <w:jc w:val="center"/>
              <w:ind w:right="1000"/>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524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2100" w:type="dxa"/>
            <w:vAlign w:val="bottom"/>
            <w:gridSpan w:val="2"/>
          </w:tcPr>
          <w:p>
            <w:pPr>
              <w:jc w:val="center"/>
              <w:ind w:right="10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2100" w:type="dxa"/>
            <w:vAlign w:val="bottom"/>
            <w:gridSpan w:val="2"/>
          </w:tcPr>
          <w:p>
            <w:pPr>
              <w:jc w:val="center"/>
              <w:ind w:right="10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jc w:val="right"/>
              <w:ind w:right="544"/>
              <w:spacing w:after="0"/>
              <w:rPr>
                <w:sz w:val="20"/>
                <w:szCs w:val="20"/>
                <w:color w:val="auto"/>
              </w:rPr>
            </w:pPr>
            <w:r>
              <w:rPr>
                <w:rFonts w:ascii="Times New Roman" w:cs="Times New Roman" w:eastAsia="Times New Roman" w:hAnsi="Times New Roman"/>
                <w:sz w:val="18"/>
                <w:szCs w:val="18"/>
                <w:color w:val="auto"/>
              </w:rPr>
              <w:t>20</w:t>
            </w:r>
          </w:p>
        </w:tc>
        <w:tc>
          <w:tcPr>
            <w:tcW w:w="2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31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55314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right="180" w:firstLine="438"/>
        <w:spacing w:after="0" w:line="246"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2021 and 2022 have been derived from our audited consolidated financial statements included elsewhere in this prospectus. The summary consolidated statement of operations data for the nine months ended September 30, 2022 and 2023 and the summary consolidated balance sheet data as of September 30, 2023 have been derived from our unaudited interim consolidated financial statements included elsewhere in this prospectus. The unaudited consolidated financial statements have been prepared on the same basis as the audited consolidated financial statements, and in the opinion of management, reflect all adjustments, which include only normal recurring adjustments necessary to present fairly our financial position and results of operations.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40" w:type="dxa"/>
            <w:vAlign w:val="bottom"/>
          </w:tcPr>
          <w:p>
            <w:pPr>
              <w:spacing w:after="0"/>
              <w:rPr>
                <w:sz w:val="13"/>
                <w:szCs w:val="13"/>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8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4"/>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195,012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140,055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270,797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62,841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79,987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113,301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Pr>
          <w:p>
            <w:pPr>
              <w:spacing w:after="0"/>
              <w:rPr>
                <w:sz w:val="19"/>
                <w:szCs w:val="19"/>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8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162,276</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108,752</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138,781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11,933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29,503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40,690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67,190</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58,258</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70,485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61,161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61,552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66,268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9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199,004</w:t>
            </w: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233,377</w:t>
            </w:r>
          </w:p>
        </w:tc>
        <w:tc>
          <w:tcPr>
            <w:tcW w:w="140" w:type="dxa"/>
            <w:vAlign w:val="bottom"/>
          </w:tcPr>
          <w:p>
            <w:pPr>
              <w:spacing w:after="0"/>
              <w:rPr>
                <w:sz w:val="18"/>
                <w:szCs w:val="18"/>
                <w:color w:val="auto"/>
              </w:rPr>
            </w:pPr>
          </w:p>
        </w:tc>
        <w:tc>
          <w:tcPr>
            <w:tcW w:w="9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168,804</w:t>
            </w:r>
          </w:p>
        </w:tc>
        <w:tc>
          <w:tcPr>
            <w:tcW w:w="140" w:type="dxa"/>
            <w:vAlign w:val="bottom"/>
          </w:tcPr>
          <w:p>
            <w:pPr>
              <w:spacing w:after="0"/>
              <w:rPr>
                <w:sz w:val="18"/>
                <w:szCs w:val="18"/>
                <w:color w:val="auto"/>
              </w:rPr>
            </w:pPr>
          </w:p>
        </w:tc>
        <w:tc>
          <w:tcPr>
            <w:tcW w:w="80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211,662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501,564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426,869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527,886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(243,711</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(265,442</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(206,827</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(143,788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5,864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(15,184)</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(12,671)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(4,453)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7,909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(258,588)</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(289,150)</w:t>
            </w:r>
          </w:p>
        </w:tc>
        <w:tc>
          <w:tcPr>
            <w:tcW w:w="3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(223,062)</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(163,260)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(259,192)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(223,526)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(163,635)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17"/>
                <w:szCs w:val="17"/>
                <w:color w:val="auto"/>
              </w:rPr>
            </w:pPr>
          </w:p>
        </w:tc>
        <w:tc>
          <w:tcPr>
            <w:tcW w:w="6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(35,758)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(40,975)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(30,415)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Pr>
          <w:p>
            <w:pPr>
              <w:spacing w:after="0"/>
              <w:rPr>
                <w:sz w:val="18"/>
                <w:szCs w:val="18"/>
                <w:color w:val="auto"/>
              </w:rPr>
            </w:pPr>
          </w:p>
        </w:tc>
        <w:tc>
          <w:tcPr>
            <w:tcW w:w="9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tcPr>
          <w:p>
            <w:pPr>
              <w:spacing w:after="0"/>
              <w:rPr>
                <w:sz w:val="18"/>
                <w:szCs w:val="18"/>
                <w:color w:val="auto"/>
              </w:rPr>
            </w:pPr>
          </w:p>
        </w:tc>
        <w:tc>
          <w:tcPr>
            <w:tcW w:w="96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(297,736)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(333,928)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96"/>
              </w:rPr>
              <w:t>(256,367)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(198,574)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80" w:type="dxa"/>
            <w:vAlign w:val="bottom"/>
            <w:tcBorders>
              <w:bottom w:val="single" w:sz="8" w:color="auto"/>
            </w:tcBorders>
          </w:tcPr>
          <w:p>
            <w:pPr>
              <w:spacing w:after="0"/>
              <w:rPr>
                <w:sz w:val="14"/>
                <w:szCs w:val="14"/>
                <w:color w:val="auto"/>
              </w:rPr>
            </w:pPr>
          </w:p>
        </w:tc>
        <w:tc>
          <w:tcPr>
            <w:tcW w:w="6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698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06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600646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Pr>
          <w:p>
            <w:pPr>
              <w:spacing w:after="0"/>
              <w:rPr>
                <w:sz w:val="13"/>
                <w:szCs w:val="13"/>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01"/>
              <w:spacing w:after="0" w:line="138"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57"/>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jc w:val="center"/>
              <w:ind w:right="17"/>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(4.07)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(3.14)</w:t>
            </w:r>
          </w:p>
        </w:tc>
        <w:tc>
          <w:tcPr>
            <w:tcW w:w="0" w:type="dxa"/>
            <w:vAlign w:val="bottom"/>
          </w:tcPr>
          <w:p>
            <w:pPr>
              <w:spacing w:after="0"/>
              <w:rPr>
                <w:sz w:val="1"/>
                <w:szCs w:val="1"/>
                <w:color w:val="auto"/>
              </w:rPr>
            </w:pPr>
          </w:p>
        </w:tc>
      </w:tr>
      <w:tr>
        <w:trPr>
          <w:trHeight w:val="192"/>
        </w:trPr>
        <w:tc>
          <w:tcPr>
            <w:tcW w:w="7120" w:type="dxa"/>
            <w:vAlign w:val="bottom"/>
            <w:gridSpan w:val="2"/>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20" w:type="dxa"/>
            <w:vAlign w:val="bottom"/>
            <w:gridSpan w:val="2"/>
          </w:tcPr>
          <w:p>
            <w:pPr>
              <w:ind w:left="540"/>
              <w:spacing w:after="0" w:line="228"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6"/>
                <w:szCs w:val="26"/>
                <w:color w:val="auto"/>
                <w:vertAlign w:val="superscript"/>
              </w:rPr>
              <w:t>(1)</w:t>
            </w: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62,975</w:t>
            </w:r>
          </w:p>
        </w:tc>
        <w:tc>
          <w:tcPr>
            <w:tcW w:w="1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2"/>
              </w:rPr>
              <w:t>62,980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63,267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6"/>
                <w:szCs w:val="16"/>
                <w:color w:val="auto"/>
              </w:rPr>
              <w:t>Pro forma net loss per share attributable to common stockholders, basic and diluted</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7"/>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120" w:type="dxa"/>
            <w:vAlign w:val="bottom"/>
            <w:gridSpan w:val="2"/>
          </w:tcPr>
          <w:p>
            <w:pPr>
              <w:ind w:left="360"/>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to compute pro forma net loss per share, basic</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120" w:type="dxa"/>
            <w:vAlign w:val="bottom"/>
            <w:gridSpan w:val="2"/>
          </w:tcPr>
          <w:p>
            <w:pPr>
              <w:ind w:left="540"/>
              <w:spacing w:after="0" w:line="228" w:lineRule="exact"/>
              <w:rPr>
                <w:sz w:val="20"/>
                <w:szCs w:val="20"/>
                <w:color w:val="auto"/>
              </w:rPr>
            </w:pPr>
            <w:r>
              <w:rPr>
                <w:rFonts w:ascii="Times New Roman" w:cs="Times New Roman" w:eastAsia="Times New Roman" w:hAnsi="Times New Roman"/>
                <w:sz w:val="18"/>
                <w:szCs w:val="18"/>
                <w:color w:val="auto"/>
              </w:rPr>
              <w:t>and diluted</w:t>
            </w:r>
            <w:r>
              <w:rPr>
                <w:rFonts w:ascii="Times New Roman" w:cs="Times New Roman" w:eastAsia="Times New Roman" w:hAnsi="Times New Roman"/>
                <w:sz w:val="26"/>
                <w:szCs w:val="26"/>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hanging="428"/>
        <w:spacing w:after="0" w:line="253"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1" w:lineRule="exact"/>
        <w:rPr>
          <w:rFonts w:ascii="Times New Roman" w:cs="Times New Roman" w:eastAsia="Times New Roman" w:hAnsi="Times New Roman"/>
          <w:sz w:val="18"/>
          <w:szCs w:val="18"/>
          <w:color w:val="auto"/>
        </w:rPr>
      </w:pPr>
    </w:p>
    <w:p>
      <w:pPr>
        <w:jc w:val="both"/>
        <w:ind w:left="620" w:hanging="428"/>
        <w:spacing w:after="0" w:line="243"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net loss per share gives effect to (a) the Series G-4 Financing, (b) the automatic conversion of all of our outstanding shares of Series B redeemable convertible preferred stock into 5,374,899 shares of Class B common stock, which will occur upon the closing of this offering, (c) the</w:t>
      </w: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of all of our outstanding shares of redeemable convertible preferred stock, other than our Series B preferred stock, into</w:t>
      </w:r>
    </w:p>
    <w:p>
      <w:pPr>
        <w:spacing w:after="0" w:line="193" w:lineRule="exact"/>
        <w:rPr>
          <w:sz w:val="20"/>
          <w:szCs w:val="20"/>
          <w:color w:val="auto"/>
        </w:rPr>
      </w:pPr>
    </w:p>
    <w:p>
      <w:pPr>
        <w:ind w:left="620" w:firstLine="801"/>
        <w:spacing w:after="0" w:line="250" w:lineRule="auto"/>
        <w:rPr>
          <w:sz w:val="20"/>
          <w:szCs w:val="20"/>
          <w:color w:val="auto"/>
        </w:rPr>
      </w:pPr>
      <w:r>
        <w:rPr>
          <w:rFonts w:ascii="Times New Roman" w:cs="Times New Roman" w:eastAsia="Times New Roman" w:hAnsi="Times New Roman"/>
          <w:sz w:val="18"/>
          <w:szCs w:val="18"/>
          <w:color w:val="auto"/>
        </w:rPr>
        <w:t>shares of Class A common stock, which will occur upon the closing of this offering, assuming an initial public offering price of $ per share, the midpoint of the estimated price range set forth on the cover page of this prospectus, (d) the issuance of Additional Class A Conversion Shares, assuming an initial public offering price of $ per share, the midpoint of the estimated price range set forth on the cover page</w:t>
      </w:r>
    </w:p>
    <w:p>
      <w:pPr>
        <w:spacing w:after="0" w:line="1"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of this prospectus, which will occur upon the conversion of all outstanding shares of our redeemable convertible preferred stock and upon the closing of this offering, (e) the automatic conversion of all of our nonvoting common stock into 4,917,823 shares of Class A common stock, which will occur upon the closing of this offering, (f) the issuance of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 (g) stock-based compensation expense of approximately $545.4 million related to the vesting of RSUs and PSUs for which the service-based vesting condition was satisfied on or before September 30, 2023 and for which the performance-based vesting condition will be satisfied in connection with this offering, as further described in Note 10 to our consolidated financial statements included elsewhere in this prospectus, and (h) the filing and effectiveness of our amended and restated certificate of incorporation, which will occur upon the closing of this offering. See “Prospectus Summary— The Offering” for a description of the Additional Class A Conversion Shares, as the number of Additional Class A Conversion Shares that will be issued depends on the initial public offering price of our Class A common stock.</w:t>
      </w: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540" w:type="dxa"/>
            <w:vAlign w:val="bottom"/>
          </w:tcPr>
          <w:p>
            <w:pPr>
              <w:spacing w:after="0"/>
              <w:rPr>
                <w:sz w:val="9"/>
                <w:szCs w:val="9"/>
                <w:color w:val="auto"/>
              </w:rPr>
            </w:pPr>
          </w:p>
        </w:tc>
        <w:tc>
          <w:tcPr>
            <w:tcW w:w="12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00" w:type="dxa"/>
            <w:vAlign w:val="bottom"/>
          </w:tcPr>
          <w:p>
            <w:pPr>
              <w:spacing w:after="0"/>
              <w:rPr>
                <w:sz w:val="9"/>
                <w:szCs w:val="9"/>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980" w:type="dxa"/>
            <w:vAlign w:val="bottom"/>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w:t>
            </w:r>
          </w:p>
        </w:tc>
        <w:tc>
          <w:tcPr>
            <w:tcW w:w="0" w:type="dxa"/>
            <w:vAlign w:val="bottom"/>
          </w:tcPr>
          <w:p>
            <w:pPr>
              <w:spacing w:after="0"/>
              <w:rPr>
                <w:sz w:val="1"/>
                <w:szCs w:val="1"/>
                <w:color w:val="auto"/>
              </w:rPr>
            </w:pPr>
          </w:p>
        </w:tc>
      </w:tr>
      <w:tr>
        <w:trPr>
          <w:trHeight w:val="151"/>
        </w:trPr>
        <w:tc>
          <w:tcPr>
            <w:tcW w:w="65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8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133,528</w:t>
            </w: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504,071</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(4)</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96,823</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1,051,637</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(1,324,697)</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20" w:hanging="428"/>
        <w:spacing w:after="0" w:line="255"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Series G-4 Financing, (b) the automatic conversion of all of our outstanding shares of Series B redeemable convertible preferred stock into 5,374,899 shares of Class B common stock, which will occur upon the closing of this offering, (c) the automatic conversion</w:t>
      </w:r>
    </w:p>
    <w:p>
      <w:pPr>
        <w:spacing w:after="0" w:line="2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98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39808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20"/>
        <w:spacing w:after="0" w:line="253" w:lineRule="auto"/>
        <w:rPr>
          <w:sz w:val="20"/>
          <w:szCs w:val="20"/>
          <w:color w:val="auto"/>
        </w:rPr>
      </w:pPr>
      <w:r>
        <w:rPr>
          <w:rFonts w:ascii="Times New Roman" w:cs="Times New Roman" w:eastAsia="Times New Roman" w:hAnsi="Times New Roman"/>
          <w:sz w:val="18"/>
          <w:szCs w:val="18"/>
          <w:color w:val="auto"/>
        </w:rPr>
        <w:t>of all of our outstanding shares of redeemable convertible preferred stock, other than our Series B preferred stock, into shares of Class A common stock, assuming an initial public offering price of $ per share, the midpoint of the estimated price range set forth on the cover page of</w:t>
      </w:r>
    </w:p>
    <w:p>
      <w:pPr>
        <w:spacing w:after="0" w:line="2" w:lineRule="exact"/>
        <w:rPr>
          <w:sz w:val="20"/>
          <w:szCs w:val="20"/>
          <w:color w:val="auto"/>
        </w:rPr>
      </w:pPr>
    </w:p>
    <w:p>
      <w:pPr>
        <w:ind w:left="620"/>
        <w:spacing w:after="0" w:line="274" w:lineRule="auto"/>
        <w:rPr>
          <w:sz w:val="20"/>
          <w:szCs w:val="20"/>
          <w:color w:val="auto"/>
        </w:rPr>
      </w:pPr>
      <w:r>
        <w:rPr>
          <w:rFonts w:ascii="Times New Roman" w:cs="Times New Roman" w:eastAsia="Times New Roman" w:hAnsi="Times New Roman"/>
          <w:sz w:val="16"/>
          <w:szCs w:val="16"/>
          <w:color w:val="auto"/>
        </w:rPr>
        <w:t>this prospectus, which will occur upon the closing of this offering, (d) the issuance of the Additional Class A Conversion Shares, which will occur upon the conversion of all outstanding shares of our redeemable convertible preferred stock and upon the closing of this offering, assuming an initial</w:t>
      </w:r>
    </w:p>
    <w:p>
      <w:pPr>
        <w:jc w:val="both"/>
        <w:ind w:left="620"/>
        <w:spacing w:after="0" w:line="274" w:lineRule="auto"/>
        <w:rPr>
          <w:sz w:val="20"/>
          <w:szCs w:val="20"/>
          <w:color w:val="auto"/>
        </w:rPr>
      </w:pPr>
      <w:r>
        <w:rPr>
          <w:rFonts w:ascii="Times New Roman" w:cs="Times New Roman" w:eastAsia="Times New Roman" w:hAnsi="Times New Roman"/>
          <w:sz w:val="16"/>
          <w:szCs w:val="16"/>
          <w:color w:val="auto"/>
        </w:rPr>
        <w:t>public offering price of $ per share, the midpoint of the estimated price range set forth on the cover page of this prospectus, (e) the automatic conversion of all of our nonvoting common stock into 4,917,823 shares of Class A common stock, which will occur upon the closing of this offering,</w:t>
      </w:r>
    </w:p>
    <w:p>
      <w:pPr>
        <w:jc w:val="both"/>
        <w:ind w:left="620" w:firstLine="5"/>
        <w:spacing w:after="0" w:line="243" w:lineRule="auto"/>
        <w:tabs>
          <w:tab w:leader="none" w:pos="8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which will occur upon the closing of this offering, (g) the issuance of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 and (h) stock-based compensation expense of approximately $545.4 million related to the vesting of RSUs and PSUs for which the service-based vesting condition was satisfied on or before September 30, 2023 and for which the performance-based vesting condition will be satisfied in connection with this offering, as further described in Note 10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4" w:lineRule="exact"/>
        <w:rPr>
          <w:rFonts w:ascii="Times New Roman" w:cs="Times New Roman" w:eastAsia="Times New Roman" w:hAnsi="Times New Roman"/>
          <w:sz w:val="18"/>
          <w:szCs w:val="18"/>
          <w:color w:val="auto"/>
        </w:rPr>
      </w:pPr>
    </w:p>
    <w:p>
      <w:pPr>
        <w:ind w:left="620" w:hanging="428"/>
        <w:spacing w:after="0"/>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ind w:left="1440" w:hanging="815"/>
        <w:spacing w:after="0"/>
        <w:tabs>
          <w:tab w:leader="none" w:pos="1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in net proceeds from the sale of shares of Class A common stock that we are offering at an assumed initial public offering price of</w:t>
      </w:r>
    </w:p>
    <w:p>
      <w:pPr>
        <w:spacing w:after="0" w:line="26" w:lineRule="exact"/>
        <w:rPr>
          <w:sz w:val="20"/>
          <w:szCs w:val="20"/>
          <w:color w:val="auto"/>
        </w:rPr>
      </w:pPr>
    </w:p>
    <w:p>
      <w:pPr>
        <w:ind w:left="620" w:right="20" w:firstLine="5"/>
        <w:spacing w:after="0" w:line="243" w:lineRule="auto"/>
        <w:tabs>
          <w:tab w:leader="none" w:pos="17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right="20" w:hanging="419"/>
        <w:spacing w:after="0" w:line="243" w:lineRule="auto"/>
        <w:tabs>
          <w:tab w:leader="none" w:pos="600" w:val="left"/>
        </w:tabs>
        <w:rPr>
          <w:sz w:val="20"/>
          <w:szCs w:val="20"/>
          <w:color w:val="auto"/>
        </w:rPr>
      </w:pPr>
      <w:r>
        <w:rPr>
          <w:rFonts w:ascii="Times New Roman" w:cs="Times New Roman" w:eastAsia="Times New Roman" w:hAnsi="Times New Roman"/>
          <w:sz w:val="18"/>
          <w:szCs w:val="18"/>
          <w:color w:val="auto"/>
        </w:rPr>
        <w:t>(3)</w:t>
        <w:tab/>
        <w:t>Each $1.00 increase (decrease) in the assumed initial public offering price of $          per share of Class A common stock, the midpoint of the estimated price range set forth on the cover page of this prospectus, would increase (decrease) each of our pro forma as adjusted cash, cash</w:t>
      </w:r>
    </w:p>
    <w:p>
      <w:pPr>
        <w:spacing w:after="0" w:line="1" w:lineRule="exact"/>
        <w:rPr>
          <w:sz w:val="20"/>
          <w:szCs w:val="20"/>
          <w:color w:val="auto"/>
        </w:rPr>
      </w:pPr>
    </w:p>
    <w:p>
      <w:pPr>
        <w:jc w:val="both"/>
        <w:ind w:left="620"/>
        <w:spacing w:after="0" w:line="1437" w:lineRule="auto"/>
        <w:rPr>
          <w:sz w:val="20"/>
          <w:szCs w:val="20"/>
          <w:color w:val="auto"/>
        </w:rPr>
      </w:pPr>
      <w:r>
        <w:rPr>
          <w:rFonts w:ascii="Times New Roman" w:cs="Times New Roman" w:eastAsia="Times New Roman" w:hAnsi="Times New Roman"/>
          <w:sz w:val="16"/>
          <w:szCs w:val="16"/>
          <w:color w:val="auto"/>
        </w:rPr>
        <w:t>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20" w:right="20"/>
        <w:spacing w:after="0" w:line="253" w:lineRule="auto"/>
        <w:rPr>
          <w:sz w:val="20"/>
          <w:szCs w:val="20"/>
          <w:color w:val="auto"/>
        </w:rPr>
      </w:pPr>
      <w:r>
        <w:rPr>
          <w:rFonts w:ascii="Times New Roman" w:cs="Times New Roman" w:eastAsia="Times New Roman" w:hAnsi="Times New Roman"/>
          <w:sz w:val="18"/>
          <w:szCs w:val="18"/>
          <w:color w:val="auto"/>
        </w:rPr>
        <w:t>total stockholders’ (deficit) equity by $ million, assuming the assumed initial public offering price of $ per share of Class A common stock remains the same, and after deducting the estimated underwriting discounts and commissions.</w:t>
      </w:r>
    </w:p>
    <w:p>
      <w:pPr>
        <w:spacing w:after="0" w:line="2" w:lineRule="exact"/>
        <w:rPr>
          <w:sz w:val="20"/>
          <w:szCs w:val="20"/>
          <w:color w:val="auto"/>
        </w:rPr>
      </w:pPr>
    </w:p>
    <w:p>
      <w:pPr>
        <w:ind w:left="620" w:hanging="4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incurred significant losses since our inception. For the years ended December 31, 2021 and 2022 and the nine months ended September 30, 2022 and 2023, we incurred net losses of $259.2 million, $289.8 million, $223.5 million and $163.6 million, respectively. As of September 30, 2023, we had an accumulated deficit of $1.3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neuropsychology, cardiology, radiology, and other indications;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320" w:top="44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Israel and Hamas), terrorism, and political unrest, epidemics or pandemics, boycotts, curtailment of trade and other business restrictions; and</w:t>
      </w:r>
    </w:p>
    <w:p>
      <w:pPr>
        <w:spacing w:after="0" w:line="77"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reimburse us for tests. We have provided testing to patients with many disease types and indications, most of the 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Israel and Hamas),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32% and 46% of our revenue in the years ended December 31, 2021 and 2022,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September 30, 2023, we had limited commercialized algorithms within our AI Applications product line. Revenue generated from AI Applications is reported within our Data and Services product line and was less than $1.0 million for the year ended December 31, 2021, $1.4 million for the year ended December 31, 2022, and $1.0 million and less than $1.0 million for the nine months ended September 30, 2022 and 2023, respectively, which represents less than 1.0%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200" w:lineRule="exact"/>
        <w:rPr>
          <w:sz w:val="20"/>
          <w:szCs w:val="20"/>
          <w:color w:val="auto"/>
        </w:rPr>
      </w:pPr>
    </w:p>
    <w:p>
      <w:pPr>
        <w:spacing w:after="0" w:line="275"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2023, we had developed multiple genomics diagnostics tests across oncology, infectious diseases, and neuropsychology,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bodies’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5580" w:right="3060" w:hanging="5129"/>
        <w:spacing w:after="0" w:line="435" w:lineRule="auto"/>
        <w:tabs>
          <w:tab w:leader="none" w:pos="9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 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2022, our products have been mentioned in 59 peer-reviewed articles published in major journals, including 40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 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received payment on approximately 50% of our clinical oncology NGS tests across all payors performed from January 1, 2021 through December 31, 2022. For the years ended December 31, 2021 and 2022, our average reimbursement for NGS tests billed to insurance in oncology was approximately $1,100 and $1,500,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29% and 28% of our clinical tests were for Medicare beneficiaries in the years ended December 31, 2021 and 2022,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 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2022, Medicare claims represented 28%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next generation sequencing, 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are awaiting feedback on our xF submission.</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If CMS fails to revise its preliminary determination after a review and comment period, it may have a significant negative impact on our financial results. We expect a final determination from CMS in November. If CMS fails to revist its preliminary determination after and comment period, or makes other changes to applicable reimbursement rates, it may have a significant impact on financial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products and services which may result in operational challenges, legal liability, reputational concerns and competitive risks.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proposals for the European Union to enact an Artificial Intelligence Act, or the AI Act). In addition, the use and deployment of AI presents complexities and challenges with respect to compliance with applicable laws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4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understand that the terms “AI,” “Machine Learning,” “Generative AI,” “Large Language Models” and other similar terms may mean different things to different people. Accordingly, when we use those terms, we 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95" w:lineRule="exact"/>
        <w:rPr>
          <w:sz w:val="20"/>
          <w:szCs w:val="20"/>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Language Models are algorithms that can recognize, summarize, translate, predict, answer questions about, and generate content using very large datasets, such as our own multimodal clinical-molecular database.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use of generative AI tools may pose particular risks to our proprietary software and systems and subject us to legal liability.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face claims from third parties claiming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00" w:lineRule="exact"/>
        <w:rPr>
          <w:sz w:val="20"/>
          <w:szCs w:val="20"/>
          <w:color w:val="auto"/>
        </w:rPr>
      </w:pP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 genomics data into our Platform, that these new technologies will be effective and efficient, will meet our needs or achieve our expected goals or that we will be able to do so as quickly or cost effectively as our competitors.</w:t>
      </w:r>
    </w:p>
    <w:p>
      <w:pPr>
        <w:spacing w:after="0" w:line="288"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84" w:lineRule="exact"/>
        <w:rPr>
          <w:sz w:val="20"/>
          <w:szCs w:val="20"/>
          <w:color w:val="auto"/>
        </w:rPr>
      </w:pPr>
    </w:p>
    <w:p>
      <w:pPr>
        <w:jc w:val="both"/>
        <w:ind w:right="20" w:firstLine="454"/>
        <w:spacing w:after="0" w:line="267"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from CROs, such as Fortrea, ICON, Syneos, PPD, and others, who provide data and clinical trial matching services to pharmaceutical and biotechnology companies.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 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2"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 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5"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7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2022, we derived $47.9 million, or approximately 39% and 15%, of our Data and Services product line revenue and total revenue, respectively, from three customers. We expect to continue to derive a significant portion of our Data and Services product line revenues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revenues from these customers. Factors that are not within our control may contribute to a reduction in our Data and Services product line revenues.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revenues may decline and our future revenues may be constrained.</w:t>
      </w:r>
    </w:p>
    <w:p>
      <w:pPr>
        <w:spacing w:after="0" w:line="288"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revenues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87"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 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288"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 use in our laboratory operations. Purchases from this supplier accounted for approximately 25%, 35%, 38%, and 34% of total vendor payments for the year ended December 31, 2021 and 2022, and the nine months ended September 30, 2022 and 2023, respectively. Amounts due to this supplier approximated $0.9 million, $8.2 million, and $11.6 million at December 31, 2021 and 2022, and September 30, 2023,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 (including the armed conflicts between Russia and Ukraine and Israel and Hamas),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290"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 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establishes a set of national privacy and security standards for the protection of PHI by health plans, 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87"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20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 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200" w:lineRule="exact"/>
        <w:rPr>
          <w:sz w:val="20"/>
          <w:szCs w:val="20"/>
          <w:color w:val="auto"/>
        </w:rPr>
      </w:pPr>
    </w:p>
    <w:p>
      <w:pPr>
        <w:spacing w:after="0" w:line="40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Privacy Shield were both invalidated by the Court of Justice of the 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UK-U.S. Data Bridge came into force to facilitate transfers of personal data from the United Kingdom to the United States.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3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processes and put new agreements in place, such as standard contractual clauses, to enable transfers of personal data from the EEA to the United Kingdom to continue.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September 29, 2023, the FDA released a Proposed Rule regarding “Medical Devices; Laboratory Developed Tests,” through which the FDA proposes abandoning its long-standing policy of enforcement discretion of LDT’s in favor of a more robust regulatory regime. If the FDA implements the proposed rule without substantial modification, it could significantly impact our operations.</w:t>
      </w:r>
    </w:p>
    <w:p>
      <w:pPr>
        <w:spacing w:after="0" w:line="28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 These enforcement policies could change dramatically, especially in light of the FDA’s September 29, 2023 Proposed Rule regarding Laboratory Developed Tests.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 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290"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FDA and international regulatory bodies have the authority to require the recall of commercialized products that are subject to FDA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6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its European equivalents.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w:t>
      </w:r>
    </w:p>
    <w:p>
      <w:pPr>
        <w:spacing w:after="0" w:line="281"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 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1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foreign jurisdictions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8"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 the extent NYSDOH identifies any non-compliance and we are unable to implement satisfactory corrective actions to remedy such non-compliance, the State of New York could withdraw approval for our tests.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55"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5" w:lineRule="auto"/>
        <w:rPr>
          <w:sz w:val="20"/>
          <w:szCs w:val="20"/>
          <w:color w:val="auto"/>
        </w:rPr>
      </w:pPr>
      <w:r>
        <w:rPr>
          <w:rFonts w:ascii="Times New Roman" w:cs="Times New Roman" w:eastAsia="Times New Roman" w:hAnsi="Times New Roman"/>
          <w:sz w:val="18"/>
          <w:szCs w:val="18"/>
          <w:color w:val="auto"/>
        </w:rPr>
        <w:t xml:space="preserve">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103" w:lineRule="exact"/>
        <w:rPr>
          <w:sz w:val="20"/>
          <w:szCs w:val="20"/>
          <w:color w:val="auto"/>
        </w:rPr>
      </w:pPr>
    </w:p>
    <w:p>
      <w:pPr>
        <w:jc w:val="both"/>
        <w:ind w:left="1000" w:hanging="549"/>
        <w:spacing w:after="0" w:line="24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4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 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physicians for tests that they order; providing tests at no or discounted cost to induce adoption; waiving co-insurance, co-payments,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deductibles or other amounts owed by patients; billing a state healthcare program at a price that is higher than what is charged to other payers; or employing, exercising control over or splitting fees with licensed medical professionals; and</w:t>
      </w:r>
    </w:p>
    <w:p>
      <w:pPr>
        <w:spacing w:after="0" w:line="78"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9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Medicaid programs, bans on Medicare and Medicaid payments for new admissions, and civil monetary penalties or criminal penalties. These policies may impact our business.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any additional inquiry since that time. 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19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290"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7"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61"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We may soon update our approach again with the proposed adoption of even newer codes that are potentially applicable to comprehensive genomic profiling tests like the ones we offer.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September 30,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290"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revenues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95"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263"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 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6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While we are not a party to these suits, many of our competitors are or have been, including Guardant Health, Inc., Haystack Oncology, Inc., Invitae Corp., Illumina, Inc., Natera, Inc., NeoGenomics Laboratories, Inc., Personalis, Inc., TwinStrand Biosciences, Inc., and others, and, as a result, we have monitored and continue to monitor their developments and their potential impact on the Company. Given the uncertainty of outcomes of patent litigation disputes, we have not determined whether our products and services could be subject to potential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claims of patent infringement and that we may need to either modify our existing or future sequencing methods or license intellectual property from third parties, both of which could be time consuming and expensive.</w:t>
      </w:r>
    </w:p>
    <w:p>
      <w:pPr>
        <w:spacing w:after="0" w:line="162" w:lineRule="exact"/>
        <w:rPr>
          <w:sz w:val="20"/>
          <w:szCs w:val="20"/>
          <w:color w:val="auto"/>
        </w:rPr>
      </w:pPr>
    </w:p>
    <w:p>
      <w:pPr>
        <w:jc w:val="both"/>
        <w:ind w:firstLine="454"/>
        <w:spacing w:after="0" w:line="221" w:lineRule="auto"/>
        <w:rPr>
          <w:sz w:val="20"/>
          <w:szCs w:val="20"/>
          <w:color w:val="auto"/>
        </w:rPr>
      </w:pPr>
      <w:r>
        <w:rPr>
          <w:rFonts w:ascii="Times New Roman" w:cs="Times New Roman" w:eastAsia="Times New Roman" w:hAnsi="Times New Roman"/>
          <w:sz w:val="18"/>
          <w:szCs w:val="18"/>
          <w:color w:val="auto"/>
        </w:rPr>
        <w:t>Similarly, on September 21, 2023, SEngine Precision Medicine, Inc., or SEngine, a company we acquired on October 3, 2023, received a letter from an attorney representing HUB Organoids IP B.V., or HUB Organoids, which states that SEngine’s PARIS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methodologies “appear to share similarities with methods that the HUB has used in its own organoid work.” While the letter received on behalf of HUB Organoids contains no specific allegations that SEngine infringes certain patents controlled by HUB Organoids referenced in the letter, if any claims against us were made by HUB Organoids, including any claim that any portion of the PARIS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test, or any other product, service or test offered by us, infringes any of the referenced patents, we would defend against such claims, however, there can be no assurances that any such defense would be successful. While the use of organoids is not a material aspect of our business at this time, if we are subject to claims of patent infringement, we may need to modify existing methods governing organoid use, or license third party intellectual property, at some point in the future, which may be time consuming and expensive or may not be technically feasible.</w:t>
      </w:r>
    </w:p>
    <w:p>
      <w:pPr>
        <w:spacing w:after="0" w:line="297"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 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63"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rights may be exhausted in certain situations, and others could import our products sold abroad and compete with us domestically.</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 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5"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6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 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jurisdiction could hold that these third-party patents are valid, enforceable and infringed, which could adversely affect our ability to commercialize our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9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 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281" w:lineRule="exact"/>
        <w:rPr>
          <w:sz w:val="20"/>
          <w:szCs w:val="20"/>
          <w:color w:val="auto"/>
        </w:rPr>
      </w:pPr>
    </w:p>
    <w:p>
      <w:pPr>
        <w:ind w:left="460" w:right="5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European regulators have proposed a stringent AI regulation with fines in excess of those under the EU GDPR, and we expect other jurisdictions will adopt similar laws. Additionally, regulators in Europe have reached political agreement on the text of the AI Act, which, if adopted and in force, could have a direct effect across all EU jurisdictions and could impose additional obligations related to the use of AI-related systems.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jurisdictions may decide to adopt similar or more restrictive legislation that may render the use of such technologies challenging. Additionally, certain privacy laws extend rights to individuals (such as the right to delete certain personal data) and regulate automated decision making, which may be incompatible with our AI features or our use of AI. These obligations may lead to regulatory fines or penalties or prevent or limit our use of AI.</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including the COVID-19 global pandemic.</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revenues,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 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19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88"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87"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16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76"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7"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 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63"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could damage our reputation or cause current clinical customers to terminate existing agreements with us and potential clinical customers to seek other partners, any of which could adversely impact our results of operations.</w:t>
      </w:r>
    </w:p>
    <w:p>
      <w:pPr>
        <w:spacing w:after="0" w:line="27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 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90"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 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6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 any, that could result therefrom. If we cannot successfully resolve a security incident or contain any potential loss, it could materially impact our business, financial condition and results of operations.</w:t>
      </w:r>
    </w:p>
    <w:p>
      <w:pPr>
        <w:spacing w:after="0" w:line="288"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302"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multiple, conflicting and changing laws and regulations such as privacy regulations, including regulations that limit our ability to collect and distribute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Israel and Hamas), terrorism, and political unrest, boycotts, curtailment of trade and other business restrictions;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1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2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September 30, 2023, we had indebtedness of $426.0 million, comprised of $198.9 million under the convertible promissory note, as amended, or the Amended Note, that we issued to Google LLC, or Google, and $227.1 million pursuant to a credit agreement with Ares Capital Corporation, or Ares, as amended, for a senior secured loan, or the Term Loan Facility, the principal amount of which was increased by an additional $35.0 million pursuant to an amendment dated October 11, 2023. Our current and future indebtedness, including the Amended Note and the Term Loan Facility may have significant negative effects on our operations, including:</w:t>
      </w:r>
    </w:p>
    <w:p>
      <w:pPr>
        <w:spacing w:after="0" w:line="95" w:lineRule="exact"/>
        <w:rPr>
          <w:sz w:val="20"/>
          <w:szCs w:val="20"/>
          <w:color w:val="auto"/>
        </w:rPr>
      </w:pPr>
    </w:p>
    <w:p>
      <w:pPr>
        <w:jc w:val="both"/>
        <w:ind w:left="1000" w:hanging="549"/>
        <w:spacing w:after="0" w:line="255"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before embarking on certain mergers, acquisitions, capital expenditures, or other operational issues.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8"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87"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on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September 30, 2023 and 13,388,209 shares of Class A common stock issuable upon the vesting and settlement of RSUs and PSUs outstanding as of September 30, 2023. AstraZeneca also holds an outstanding warrant, pursuant to which AstraZeneca has the right to purchase $100 million in shares of our Class A common stock at an exercise price equal to the public offering price in this offering. The shares of Class A common stock will become eligible for sale in the public market to the extent such options or warrant are exercised or RSUs and PSUs vested and settled, subject to the lock-up agreements described above and compliance with applicable securities laws. We intend to register all of the shares of Class A common stock issuable upon the vesting and settlement of outstanding RSUs and PSUs, and other equity incentives we may grant in the future, for public resale under the Securities Act.</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Further, based on shares outstanding as of September 30, 2023, holders of approximately shares of Class A common stock (assuming the issuance of the Additional Class A Conversion Shares, as discussed under “Prospectus Summary” above, and assuming no exercise of the underwriters’ option to purchase</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additional shares) and approximately shares of Class B common stock, or % of our capital stock after the completion of this offering, will have rights, subject to some conditions, to require us to file registration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covering the sale of their shares or to include their shares in registration statements that we may file for ourselves or other stockholders.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or $ per share if the underwriters exercise their option to purchase additional shares in full, representing the difference between our pro forma as adjusted net tangible book value per share as of September 30, 2023, after giving effect to the sale of Class A common stock in this offering and the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assumed public offering price of $ per share, the midpoint of the price range set forth on the cover page of this prospectus. See the section titled “Dilution.”</w:t>
      </w:r>
    </w:p>
    <w:p>
      <w:pPr>
        <w:spacing w:after="0" w:line="200" w:lineRule="exact"/>
        <w:rPr>
          <w:sz w:val="20"/>
          <w:szCs w:val="20"/>
          <w:color w:val="auto"/>
        </w:rPr>
      </w:pPr>
    </w:p>
    <w:p>
      <w:pPr>
        <w:spacing w:after="0" w:line="304"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gives authority to a statement made by that person or entity and who has prepared or certified any part of the documents underlying the offering.</w:t>
      </w:r>
    </w:p>
    <w:p>
      <w:pPr>
        <w:spacing w:after="0" w:line="21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target of this type of litigation in the future, which could result in substantial expenses and divert our management’s attention.</w:t>
      </w:r>
    </w:p>
    <w:p>
      <w:pPr>
        <w:spacing w:after="0" w:line="314"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(2022-2027),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(2022-2027),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2022, Outlook to 2028, October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November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2022: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2022 database, 2022: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January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2022-2024,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44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ind w:left="460"/>
        <w:spacing w:after="0"/>
        <w:tabs>
          <w:tab w:leader="none" w:pos="7140" w:val="left"/>
        </w:tabs>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w:t>
      </w:r>
      <w:r>
        <w:rPr>
          <w:sz w:val="20"/>
          <w:szCs w:val="20"/>
          <w:color w:val="auto"/>
        </w:rPr>
        <w:tab/>
      </w:r>
      <w:r>
        <w:rPr>
          <w:rFonts w:ascii="Times New Roman" w:cs="Times New Roman" w:eastAsia="Times New Roman" w:hAnsi="Times New Roman"/>
          <w:sz w:val="16"/>
          <w:szCs w:val="16"/>
          <w:color w:val="auto"/>
        </w:rPr>
        <w:t>million based on an assumed initial public offering price of</w:t>
      </w:r>
    </w:p>
    <w:p>
      <w:pPr>
        <w:spacing w:after="0" w:line="21" w:lineRule="exact"/>
        <w:rPr>
          <w:sz w:val="20"/>
          <w:szCs w:val="20"/>
          <w:color w:val="auto"/>
        </w:rPr>
      </w:pPr>
    </w:p>
    <w:p>
      <w:pPr>
        <w:jc w:val="both"/>
        <w:ind w:firstLine="5"/>
        <w:spacing w:after="0" w:line="244" w:lineRule="auto"/>
        <w:tabs>
          <w:tab w:leader="none" w:pos="8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90" w:lineRule="exact"/>
        <w:rPr>
          <w:sz w:val="20"/>
          <w:szCs w:val="20"/>
          <w:color w:val="auto"/>
        </w:rPr>
      </w:pPr>
    </w:p>
    <w:p>
      <w:pPr>
        <w:ind w:firstLine="454"/>
        <w:spacing w:after="0" w:line="253"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w:t>
      </w:r>
    </w:p>
    <w:p>
      <w:pPr>
        <w:spacing w:after="0" w:line="2" w:lineRule="exact"/>
        <w:rPr>
          <w:sz w:val="20"/>
          <w:szCs w:val="20"/>
          <w:color w:val="auto"/>
        </w:rPr>
      </w:pPr>
    </w:p>
    <w:p>
      <w:pPr>
        <w:ind w:left="1060" w:hanging="1055"/>
        <w:spacing w:after="0"/>
        <w:tabs>
          <w:tab w:leader="none" w:pos="10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estimated underwriting discounts and commissions. Similarly, each increase (decrease) of 1,000,000 shares in the number of shares of Class A common stock</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2023, there was $227.1 million gross principal amount outstanding under the Term Loan Facility. As of September 30, 2023, the interest rate on the Term Loan Facility was 10.5%. The Term Loan Facility was entered into in September 2022, and subsequently amended in April 2023, to provide working capital and for general corporate purposes, including to finance growth initiatives and pay for operating expenses. In October 2023, we entered into a second amendment pursuant to which the aggregate principal amount of the Term Loan facility was increased by an additional $35.0 million.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Since our incorporation in 2015, we have paid an aggregate of $32.5 million in cash dividends and issued 47,965 shares of Series G-3 convertible preferred stock as paid-in-kind dividends to holders of our preferred stock in satisfaction of dividend obligations accruing pursuant to our certificate of incorporation in</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effect prior to this offering. As of the date of this prospectus, shares of our convertible 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320" w:top="448"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September 30, 2023:</w:t>
      </w:r>
    </w:p>
    <w:p>
      <w:pPr>
        <w:spacing w:after="0" w:line="121" w:lineRule="exact"/>
        <w:rPr>
          <w:sz w:val="20"/>
          <w:szCs w:val="20"/>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right"/>
        <w:ind w:left="1000" w:hanging="549"/>
        <w:spacing w:after="0" w:line="24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giving effect to (1) the Series G-4 Financing; (2) the automatic conversion of all of our outstanding shares of Series B redeemable convertible preferred stock into 5,374,899 shares of Class B common stock, which will occur upon the closing of this offering; (3) the automatic conversion of all of our outstanding shares of redeemable convertible preferred stock, other than our Series B preferred stock, into shares of Class A common stock, which will occur upon the closing of this offering, assuming an initial public offering price of</w:t>
      </w:r>
    </w:p>
    <w:p>
      <w:pPr>
        <w:spacing w:after="0" w:line="3" w:lineRule="exact"/>
        <w:rPr>
          <w:sz w:val="20"/>
          <w:szCs w:val="20"/>
          <w:color w:val="auto"/>
        </w:rPr>
      </w:pPr>
    </w:p>
    <w:p>
      <w:pPr>
        <w:ind w:left="2020" w:hanging="1017"/>
        <w:spacing w:after="0"/>
        <w:tabs>
          <w:tab w:leader="none" w:pos="2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estimated price range set forth on the cover page of this prospectus; (4) the issuance of</w:t>
      </w:r>
    </w:p>
    <w:tbl>
      <w:tblPr>
        <w:tblLayout w:type="fixed"/>
        <w:tblInd w:w="46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6560" w:type="dxa"/>
            <w:vAlign w:val="bottom"/>
          </w:tcPr>
          <w:p>
            <w:pPr>
              <w:ind w:left="240"/>
              <w:spacing w:after="0" w:line="195" w:lineRule="exact"/>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w:t>
            </w:r>
          </w:p>
        </w:tc>
        <w:tc>
          <w:tcPr>
            <w:tcW w:w="40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per share, the midpoint of the estimated price range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 forth on the cover page of this prospectus, which will occur upon the conversion of all outstanding shares of our redeemable convertible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preferred stock and upon the closing of this offering; (5) the automatic conversion of all of our nonvoting common stock into 4,917,823 shares of</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Class A common stock, which will occur upon the closing of this offering; (6) the issuance of 13,388,209 shares of Class A common stock upon</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settlement of RSUs and PSUs for which the service-based vesting condition was satisfied on or before September 30, 2023 and for which the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performance-based vesting condition will be satisfied in connection with this offering, which settlement will occur upon the expiration of the lock-</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8"/>
              </w:rPr>
              <w:t>up period in connection with this offering; (7) stock-based compensation expense of approximately $545.4 million related to the vesting of RSUs</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PSUs for which the service-based vesting condition was satisfied on or before September 30, 2023 and for which the performance-based</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7"/>
              </w:rPr>
              <w:t>vesting condition will be satisfied in connection with this offering, as further described in Note 10 to our consolidated financial statements included</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elsewhere in this prospectus; and (8) the filing and effectiveness of our amended and restated certificate of incorporation, which will occur upon</w:t>
            </w:r>
          </w:p>
        </w:tc>
      </w:tr>
      <w:tr>
        <w:trPr>
          <w:trHeight w:val="228"/>
        </w:trPr>
        <w:tc>
          <w:tcPr>
            <w:tcW w:w="30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closing of this offering; and</w:t>
            </w: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million in net</w:t>
            </w:r>
          </w:p>
        </w:tc>
      </w:tr>
      <w:tr>
        <w:trPr>
          <w:trHeight w:val="210"/>
        </w:trPr>
        <w:tc>
          <w:tcPr>
            <w:tcW w:w="300" w:type="dxa"/>
            <w:vAlign w:val="bottom"/>
          </w:tcPr>
          <w:p>
            <w:pPr>
              <w:spacing w:after="0"/>
              <w:rPr>
                <w:sz w:val="18"/>
                <w:szCs w:val="18"/>
                <w:color w:val="auto"/>
              </w:rPr>
            </w:pPr>
          </w:p>
        </w:tc>
        <w:tc>
          <w:tcPr>
            <w:tcW w:w="9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w:t>
            </w:r>
          </w:p>
        </w:tc>
      </w:tr>
      <w:tr>
        <w:trPr>
          <w:trHeight w:val="210"/>
        </w:trPr>
        <w:tc>
          <w:tcPr>
            <w:tcW w:w="300" w:type="dxa"/>
            <w:vAlign w:val="bottom"/>
          </w:tcPr>
          <w:p>
            <w:pPr>
              <w:spacing w:after="0"/>
              <w:rPr>
                <w:sz w:val="18"/>
                <w:szCs w:val="18"/>
                <w:color w:val="auto"/>
              </w:rPr>
            </w:pPr>
          </w:p>
        </w:tc>
        <w:tc>
          <w:tcPr>
            <w:tcW w:w="10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midpoint of the estimated price range set forth on the cover page of this prospectus, after deducting the estimated underwriting discounts and</w:t>
            </w:r>
          </w:p>
        </w:tc>
      </w:tr>
      <w:tr>
        <w:trPr>
          <w:trHeight w:val="228"/>
        </w:trPr>
        <w:tc>
          <w:tcPr>
            <w:tcW w:w="300" w:type="dxa"/>
            <w:vAlign w:val="bottom"/>
          </w:tcPr>
          <w:p>
            <w:pPr>
              <w:spacing w:after="0"/>
              <w:rPr>
                <w:sz w:val="19"/>
                <w:szCs w:val="19"/>
                <w:color w:val="auto"/>
              </w:rPr>
            </w:pPr>
          </w:p>
        </w:tc>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27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As of September 30, 2023</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60" w:type="dxa"/>
            <w:vAlign w:val="bottom"/>
            <w:vMerge w:val="restart"/>
          </w:tcPr>
          <w:p>
            <w:pPr>
              <w:spacing w:after="0"/>
              <w:rPr>
                <w:sz w:val="9"/>
                <w:szCs w:val="9"/>
                <w:color w:val="auto"/>
              </w:rPr>
            </w:pPr>
          </w:p>
        </w:tc>
        <w:tc>
          <w:tcPr>
            <w:tcW w:w="140" w:type="dxa"/>
            <w:vAlign w:val="bottom"/>
            <w:vMerge w:val="restart"/>
          </w:tcPr>
          <w:p>
            <w:pPr>
              <w:spacing w:after="0"/>
              <w:rPr>
                <w:sz w:val="9"/>
                <w:szCs w:val="9"/>
                <w:color w:val="auto"/>
              </w:rPr>
            </w:pPr>
          </w:p>
        </w:tc>
        <w:tc>
          <w:tcPr>
            <w:tcW w:w="1040" w:type="dxa"/>
            <w:vAlign w:val="bottom"/>
          </w:tcPr>
          <w:p>
            <w:pPr>
              <w:jc w:val="center"/>
              <w:ind w:right="53"/>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7"/>
              </w:rPr>
              <w:t>As Adjusted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0" w:type="dxa"/>
            <w:vAlign w:val="bottom"/>
            <w:gridSpan w:val="7"/>
          </w:tcPr>
          <w:p>
            <w:pPr>
              <w:jc w:val="center"/>
              <w:ind w:right="113"/>
              <w:spacing w:after="0" w:line="151"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133,528</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198,874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220,485</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65,441,289 shares authorized, 62,740,708</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w:t>
            </w:r>
          </w:p>
        </w:tc>
        <w:tc>
          <w:tcPr>
            <w:tcW w:w="4460" w:type="dxa"/>
            <w:vAlign w:val="bottom"/>
            <w:gridSpan w:val="4"/>
          </w:tcPr>
          <w:p>
            <w:pPr>
              <w:jc w:val="right"/>
              <w:ind w:right="478"/>
              <w:spacing w:after="0"/>
              <w:rPr>
                <w:sz w:val="20"/>
                <w:szCs w:val="20"/>
                <w:color w:val="auto"/>
              </w:rPr>
            </w:pPr>
            <w:r>
              <w:rPr>
                <w:rFonts w:ascii="Times New Roman" w:cs="Times New Roman" w:eastAsia="Times New Roman" w:hAnsi="Times New Roman"/>
                <w:sz w:val="18"/>
                <w:szCs w:val="18"/>
                <w:color w:val="auto"/>
              </w:rPr>
              <w:t>shares authorized, issued and outstanding, pro forma</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1,051,637</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gridSpan w:val="6"/>
          </w:tcPr>
          <w:p>
            <w:pPr>
              <w:ind w:left="360"/>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 shares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authorized, no shares issued and outstanding, pro forma and pro forma as adjusted</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6"/>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5,063,289 shares</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4,917,823 shares outstanding, actual;</w:t>
            </w:r>
          </w:p>
        </w:tc>
        <w:tc>
          <w:tcPr>
            <w:tcW w:w="2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shares authorized, issued and</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2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6"/>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181,700,285 shares authorized 58,367,961 shares issued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outstanding, actual;</w:t>
            </w:r>
          </w:p>
        </w:tc>
        <w:tc>
          <w:tcPr>
            <w:tcW w:w="5300" w:type="dxa"/>
            <w:vAlign w:val="bottom"/>
            <w:gridSpan w:val="5"/>
          </w:tcPr>
          <w:p>
            <w:pPr>
              <w:jc w:val="right"/>
              <w:ind w:right="558"/>
              <w:spacing w:after="0"/>
              <w:rPr>
                <w:sz w:val="20"/>
                <w:szCs w:val="20"/>
                <w:color w:val="auto"/>
              </w:rPr>
            </w:pPr>
            <w:r>
              <w:rPr>
                <w:rFonts w:ascii="Times New Roman" w:cs="Times New Roman" w:eastAsia="Times New Roman" w:hAnsi="Times New Roman"/>
                <w:sz w:val="18"/>
                <w:szCs w:val="18"/>
                <w:color w:val="auto"/>
              </w:rPr>
              <w:t>shares authorized, issued and outstanding, pro forma and pro</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6"/>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5,374,899 shares authorized no shares issued and</w:t>
            </w: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w:t>
            </w:r>
          </w:p>
        </w:tc>
        <w:tc>
          <w:tcPr>
            <w:tcW w:w="5300" w:type="dxa"/>
            <w:vAlign w:val="bottom"/>
            <w:gridSpan w:val="5"/>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w w:val="98"/>
              </w:rPr>
              <w:t>shares authorized, issued and outstanding, pro forma and pro forma</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Treasury stock, 145,466 shares, at cost, pro forma and pro forma as adjusted</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(1,334,646)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0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(1,324,697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146,299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A $1.00 increase (decrease) in the assumed initial public offering price of $</w:t>
            </w:r>
          </w:p>
        </w:tc>
        <w:tc>
          <w:tcPr>
            <w:tcW w:w="4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w w:val="98"/>
              </w:rPr>
              <w:t>per share of Class A common stock, the midpoint of the estimated</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price range set forth on the cover page of this prospectus, would increase (decrease) each of our pro forma as adjusted cash, cash equivalents and restricted cash,</w:t>
      </w:r>
    </w:p>
    <w:p>
      <w:pPr>
        <w:spacing w:after="0" w:line="2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3"/>
          <w:szCs w:val="13"/>
          <w:color w:val="auto"/>
        </w:rPr>
        <w:t>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w:t>
      </w:r>
    </w:p>
    <w:p>
      <w:pPr>
        <w:spacing w:after="0" w:line="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shares of Class A common stock and 5,374,899 shares of Class B common stock outstanding as of September 30, 2023 (after giving effect to the Series G-4 Financing and assuming the conversion of all outstanding shares of redeemable convertible preferred stock, other than our Series B redeemable convertible preferred stock and non-voting common stock into Class A</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8"/>
          <w:szCs w:val="18"/>
          <w:color w:val="auto"/>
        </w:rPr>
        <w:t>common stock, assuming an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 the cover page of this</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prospectus, which will occur upon the closing of this offering, and all outstanding shares of Series B redeemable convertible preferred stock into Class B common stock), and excludes:</w:t>
      </w:r>
    </w:p>
    <w:p>
      <w:pPr>
        <w:spacing w:after="0" w:line="94" w:lineRule="exact"/>
        <w:rPr>
          <w:sz w:val="20"/>
          <w:szCs w:val="20"/>
          <w:color w:val="auto"/>
        </w:rPr>
      </w:pPr>
    </w:p>
    <w:p>
      <w:pPr>
        <w:jc w:val="both"/>
        <w:ind w:left="1000" w:hanging="549"/>
        <w:spacing w:after="0" w:line="255"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7,348,936 shares of Class A common stock issuable on the vesting and settlement of RSUs and PSUs outstanding as of September 30, 2023 under our 2015 Plan, for which the performance-based vesting condition will be satisfied in connection with this offering, but for which the service-based vesting condition will not be satisfied on or before September 30, 2023;</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2024 Plan, as well as any future increases, including annual automatic evergreen increases, in the number of shares of Class A common stock reserved for issuance under the 2024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$198.9 million as of September 30, 2023)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6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 and</w:t>
            </w:r>
          </w:p>
        </w:tc>
      </w:tr>
    </w:tbl>
    <w:p>
      <w:pPr>
        <w:spacing w:after="0" w:line="100" w:lineRule="exact"/>
        <w:rPr>
          <w:sz w:val="20"/>
          <w:szCs w:val="20"/>
          <w:color w:val="auto"/>
        </w:rPr>
      </w:pPr>
    </w:p>
    <w:p>
      <w:pPr>
        <w:jc w:val="both"/>
        <w:ind w:left="1000" w:hanging="549"/>
        <w:spacing w:after="0" w:line="255"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 connection with our purchase of all of the outstanding shares of Mpirik. See Notes 3 and 12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historical net tangible book value (deficit) as of September 30, 2023 was $(1,419.6) million, or $(22.43)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63,285,634 shares of common stock outstanding as of September 30, 2023. Our pro</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forma net tangible book value as of September 30, 2023 was $ million, or $ per share. Our pro forma net tangible book value per share represents the amount of our total tangible assets less our total liabilities, divided by the number of our shares of common stock outstanding as of September 30, 2023, after giving effect to (1) the Series G-4 Financing; (2) the automatic conversion of all outstanding shares of our Series B redeemable preferred stock into 5,374,899 shares of Class B common stock, which will occur upon the closing of this offering; (3) the automatic conversion of all outstanding shares of our</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redeemable convertible preferred stock, other than our Series B preferred stock, into an aggregate of shares of Class A common stock, assuming an initial public offering price of $ per share, the midpoint of the estimated price range set forth on the cover page of this prospectus, which will occur upon the closing of this offering; (4) the issuance of Additional Class A Conversion Shares, assuming an initial public offering price of $ per</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share, the midpoint of the estimated price range set forth on the cover page of this prospectus, which will occur upon the conversion of all outstanding shares of our redeemable convertible preferred stock and upon the closing of this offering; (5) the automatic conversion of all of our nonvoting common stock into 4,917,823 shares of Class A common stock, which will occur upon the closing of this offering; (6) the issuance of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 (7) stock-based compensation expense of approximately $545.4 million related to the vesting of RSUs and PSUs for which the service-based vesting condition was satisfied on or before September 30, 2023 and for which the performance-based vesting condition will be satisfied in connection with this offering, as further described in Note 10 to our consolidated financial statements included elsewhere in this prospectus; and (8)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8" w:lineRule="exact"/>
        <w:rPr>
          <w:sz w:val="20"/>
          <w:szCs w:val="20"/>
          <w:color w:val="auto"/>
        </w:rPr>
      </w:pPr>
    </w:p>
    <w:p>
      <w:pPr>
        <w:ind w:left="460"/>
        <w:spacing w:after="0"/>
        <w:tabs>
          <w:tab w:leader="none" w:pos="4460" w:val="left"/>
        </w:tabs>
        <w:rPr>
          <w:sz w:val="20"/>
          <w:szCs w:val="20"/>
          <w:color w:val="auto"/>
        </w:rPr>
      </w:pPr>
      <w:r>
        <w:rPr>
          <w:rFonts w:ascii="Times New Roman" w:cs="Times New Roman" w:eastAsia="Times New Roman" w:hAnsi="Times New Roman"/>
          <w:sz w:val="18"/>
          <w:szCs w:val="18"/>
          <w:color w:val="auto"/>
        </w:rPr>
        <w:t>After giving effect to the sale by us of</w:t>
      </w:r>
      <w:r>
        <w:rPr>
          <w:sz w:val="20"/>
          <w:szCs w:val="20"/>
          <w:color w:val="auto"/>
        </w:rPr>
        <w:tab/>
      </w:r>
      <w:r>
        <w:rPr>
          <w:rFonts w:ascii="Times New Roman" w:cs="Times New Roman" w:eastAsia="Times New Roman" w:hAnsi="Times New Roman"/>
          <w:sz w:val="18"/>
          <w:szCs w:val="18"/>
          <w:color w:val="auto"/>
        </w:rPr>
        <w:t>shares of Class A common stock in this offering at an assumed initial public offering price of</w:t>
      </w:r>
    </w:p>
    <w:p>
      <w:pPr>
        <w:spacing w:after="0" w:line="21" w:lineRule="exact"/>
        <w:rPr>
          <w:sz w:val="20"/>
          <w:szCs w:val="20"/>
          <w:color w:val="auto"/>
        </w:rPr>
      </w:pPr>
    </w:p>
    <w:p>
      <w:pPr>
        <w:ind w:left="900" w:hanging="895"/>
        <w:spacing w:after="0"/>
        <w:tabs>
          <w:tab w:leader="none" w:pos="9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the midpoint of the estimated price range set forth on the cover page of this prospectus, after deducting estimated underwriting discounts</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commissions and estimated offering expenses payable by us, our pro forma as adjusted net tangible book value as of September 30, 2023 would have been</w:t>
      </w:r>
    </w:p>
    <w:p>
      <w:pPr>
        <w:spacing w:after="0" w:line="21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September 30, 2023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$(22.43)</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September 30, 2023</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w:t>
      </w:r>
    </w:p>
    <w:p>
      <w:pPr>
        <w:spacing w:after="0" w:line="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88"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following table summarizes, as of September 30, 2023, on a pro forma as adjusted basis as described above, the aggregate number of shares of our Class A common stock and Class B common stock, the total consideration and the average price per share (1) paid to us by existing stockholders, and (2) to be</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20" w:type="dxa"/>
            <w:vAlign w:val="bottom"/>
            <w:gridSpan w:val="4"/>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96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4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2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gridSpan w:val="2"/>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152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Sales by the selling stockholders upon the exercise in full of the underwriters’ option to purchase additional shares to cover over-allotments, if any, would</w:t>
      </w:r>
    </w:p>
    <w:p>
      <w:pPr>
        <w:spacing w:after="0" w:line="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8" w:lineRule="exact"/>
        <w:rPr>
          <w:sz w:val="20"/>
          <w:szCs w:val="20"/>
          <w:color w:val="auto"/>
        </w:rPr>
      </w:pPr>
    </w:p>
    <w:p>
      <w:pPr>
        <w:ind w:left="460"/>
        <w:spacing w:after="0"/>
        <w:tabs>
          <w:tab w:leader="none" w:pos="6800" w:val="left"/>
        </w:tabs>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the midpoint of the estimated price range set forth on</w:t>
      </w:r>
    </w:p>
    <w:p>
      <w:pPr>
        <w:spacing w:after="0" w:line="21" w:lineRule="exact"/>
        <w:rPr>
          <w:sz w:val="20"/>
          <w:szCs w:val="20"/>
          <w:color w:val="auto"/>
        </w:rPr>
      </w:pPr>
    </w:p>
    <w:p>
      <w:pPr>
        <w:jc w:val="center"/>
        <w:ind w:right="400"/>
        <w:spacing w:after="0" w:line="414" w:lineRule="auto"/>
        <w:rPr>
          <w:sz w:val="20"/>
          <w:szCs w:val="20"/>
          <w:color w:val="auto"/>
        </w:rPr>
      </w:pPr>
      <w:r>
        <w:rPr>
          <w:rFonts w:ascii="Times New Roman" w:cs="Times New Roman" w:eastAsia="Times New Roman" w:hAnsi="Times New Roman"/>
          <w:sz w:val="18"/>
          <w:szCs w:val="18"/>
          <w:color w:val="auto"/>
        </w:rPr>
        <w:t>the cover page of this prospectus, would increase (decrease) the total consideration paid by new investors and total consideration paid by all stockholders by 107</w:t>
      </w:r>
    </w:p>
    <w:p>
      <w:pPr>
        <w:sectPr>
          <w:pgSz w:w="11900" w:h="16838" w:orient="portrait"/>
          <w:cols w:equalWidth="0" w:num="1">
            <w:col w:w="11340"/>
          </w:cols>
          <w:pgMar w:left="320" w:top="448"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5"/>
        <w:spacing w:after="0" w:line="285" w:lineRule="auto"/>
        <w:tabs>
          <w:tab w:leader="none" w:pos="92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offered by us would increase (decrease) the total consideration paid by new investors and total consideration paid by all stockholders by</w:t>
      </w:r>
    </w:p>
    <w:p>
      <w:pPr>
        <w:spacing w:after="0" w:line="1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5,374,899 shares of Class B common stock outstanding as of September 30, 2023 (after giving effect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G-4 Financing and assuming the conversion of all outstanding shares of redeemable convertible preferred stock, other than our Series B redeemable</w:t>
      </w:r>
    </w:p>
    <w:p>
      <w:pPr>
        <w:spacing w:after="0" w:line="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convertible preferred stock and non-voting common stock into Class A common stock, assuming an initial public offering price of $ per share, the midpoint of the estimated price range set forth on the cover page of this prospectus, and all outstanding shares of Series B redeemable convertible preferred stock into Class B common stock), and excludes:</w:t>
      </w:r>
    </w:p>
    <w:p>
      <w:pPr>
        <w:spacing w:after="0" w:line="97" w:lineRule="exact"/>
        <w:rPr>
          <w:sz w:val="20"/>
          <w:szCs w:val="20"/>
          <w:color w:val="auto"/>
        </w:rPr>
      </w:pPr>
    </w:p>
    <w:p>
      <w:pPr>
        <w:jc w:val="both"/>
        <w:ind w:left="1000" w:hanging="549"/>
        <w:spacing w:after="0" w:line="255"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7,348,936 of Class A common stock issuable on the vesting and settlement of RSUs and PSUs outstanding as of September 30, 2023 under our 2015 Plan, for which the performance-based vesting condition will be satisfied in connection with this offering, but for which the service-based vesting condition will not be satisfied on or before September 30, 2023;</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Class A common stock reserved for future issuance under our 2024 Plan, as well as any future increases, including annual automatic evergreen increases, in the number of shares of Class A common stock reserved for issuance under the 2024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September 30,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$198.9 million as of September 30, 2023) plus accrued and unpaid interest by (ii) the average of the last trading price of the Company’s Class A common stock on each trading day during the twenty day period ending immediately prior to March 22, 2026, as more fully described in the section of this prospectus titled “Description of Capital Stock—Convertible Promissory Note”;</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of Class A common stock, assuming an initial public offering price of $</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 estimated price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range set forth on the cover page of this prospectus, issuable upon the exercise of the warrant issued to AstraZeneca with an exercise price equal to</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7"/>
              </w:rPr>
              <w:t>the initial public offering price, as more fully described in the section of this prospectus titled “Business—Operations—Our Strategic Collaboration</w:t>
            </w:r>
          </w:p>
        </w:tc>
      </w:tr>
      <w:tr>
        <w:trPr>
          <w:trHeight w:val="228"/>
        </w:trPr>
        <w:tc>
          <w:tcPr>
            <w:tcW w:w="300" w:type="dxa"/>
            <w:vAlign w:val="bottom"/>
          </w:tcPr>
          <w:p>
            <w:pPr>
              <w:spacing w:after="0"/>
              <w:rPr>
                <w:sz w:val="19"/>
                <w:szCs w:val="19"/>
                <w:color w:val="auto"/>
              </w:rPr>
            </w:pPr>
          </w:p>
        </w:tc>
        <w:tc>
          <w:tcPr>
            <w:tcW w:w="6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AstraZeneca”;</w:t>
            </w:r>
          </w:p>
        </w:tc>
        <w:tc>
          <w:tcPr>
            <w:tcW w:w="114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w:t>
            </w:r>
          </w:p>
        </w:tc>
        <w:tc>
          <w:tcPr>
            <w:tcW w:w="7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million in shares of Class A common stock, assuming an initial public offering price of $</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10"/>
        </w:trPr>
        <w:tc>
          <w:tcPr>
            <w:tcW w:w="300" w:type="dxa"/>
            <w:vAlign w:val="bottom"/>
          </w:tcPr>
          <w:p>
            <w:pPr>
              <w:spacing w:after="0"/>
              <w:rPr>
                <w:sz w:val="18"/>
                <w:szCs w:val="18"/>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 issuable to one of our stockholders pursuant to a contingent payment right,</w:t>
            </w:r>
          </w:p>
        </w:tc>
      </w:tr>
      <w:tr>
        <w:trPr>
          <w:trHeight w:val="228"/>
        </w:trPr>
        <w:tc>
          <w:tcPr>
            <w:tcW w:w="300" w:type="dxa"/>
            <w:vAlign w:val="bottom"/>
          </w:tcPr>
          <w:p>
            <w:pPr>
              <w:spacing w:after="0"/>
              <w:rPr>
                <w:sz w:val="19"/>
                <w:szCs w:val="19"/>
                <w:color w:val="auto"/>
              </w:rPr>
            </w:pPr>
          </w:p>
        </w:tc>
        <w:tc>
          <w:tcPr>
            <w:tcW w:w="10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which payment may be made in cash or shares of Class A common stock, upon mutual agreement of the Company and such stockholder; and</w:t>
            </w:r>
          </w:p>
        </w:tc>
      </w:tr>
    </w:tbl>
    <w:p>
      <w:pPr>
        <w:spacing w:after="0" w:line="100" w:lineRule="exact"/>
        <w:rPr>
          <w:sz w:val="20"/>
          <w:szCs w:val="20"/>
          <w:color w:val="auto"/>
        </w:rPr>
      </w:pPr>
    </w:p>
    <w:p>
      <w:pPr>
        <w:jc w:val="both"/>
        <w:ind w:left="1000" w:hanging="549"/>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Inc., or Mpirik, in connection with our purchase of all of the outstanding shares of Mpirik. See Notes 3 and 12 to our consolidated financial statements included elsewhere in this prospectus.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September 30, 2023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37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primarily operate in the United States and generated total revenue of $257.9 million and $320.7 million in the years ended December 31, 2021 and 2022, respectively, and $220.0 million and $384.1 million in the nine months ended September 30, 2022 and 2023, respectively. In the years ended December 31, 2021 and 2022 and the nine months ended September 30, 2022 and 2023, revenue from one customer accounted for 7.2%, 8.3%, 6.9% and 7.5% of our total revenues, respectively. In the nine months ended September 30, 2023, revenue from one other customer accounted for approximately 5.4% of our total revenues. The same customer did not represent a significant portion of total revenues for the years ended December 31, 2021 and 2022 or for the nine months ended September 30, 2022. In the nine months ended September 30, 2022, revenue from two other customers accounted for approximately 5.3% and 5.1% of our total revenues, respectively. The same two customers did not represent a significant portion of total revenues for the years ended December 31, 2021 and 2022, or for the nine months ended September 30, 2023. We also incurred net losses of $259.2 million and $289.8 million in the years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ended December 31, 2021 and 2022, respectively, and net losses of $223.5 million and $163.6 million in the nine months ended September 30, 2022 and 2023, respectively.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Although we are only eight years old, the network effects described above have already been demonstrated with the cohort of records that were added to our database from 2018 to 2022. 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In 2018, the first full year that we operated a laboratory, we sequenced samples from approximately 7,500 patients. From that 2018 cohort of sequenced patients, through September 30, 2023, we generated $64.5 million of combined revenue from sequencing, data licensing of de-identified data derived from those records, analytical services, and clinical trials matching, which is approximately 7.2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2023, the 2018 “Cohort Lifetime Value” was $47.1 million. We experienced similar trends for the 2019, 2020, 2021, and 2022 cohorts. As of September 30, 2023, the 2019 “Cohort Lifetime Value” was $59.5 million, the 2020 “Cohort Lifetime Value” was $62.7 million, the 2021 “Cohort Lifetime Value” was $70.9 million, and the 2022 “Cohort Lifetime Value” was $75.4 million.</w:t>
      </w:r>
    </w:p>
    <w:p>
      <w:pPr>
        <w:spacing w:after="0" w:line="19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2022 (with figures shown in “2023 Data Revenue” representing revenue through September 30, 2023)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340"/>
          </w:cols>
          <w:pgMar w:left="320" w:top="448" w:right="2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88785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5775" cy="8878570"/>
                    </a:xfrm>
                    <a:prstGeom prst="rect">
                      <a:avLst/>
                    </a:prstGeom>
                    <a:noFill/>
                  </pic:spPr>
                </pic:pic>
              </a:graphicData>
            </a:graphic>
          </wp:anchor>
        </w:drawing>
      </w:r>
    </w:p>
    <w:p>
      <w:pPr>
        <w:sectPr>
          <w:pgSz w:w="11900" w:h="16838" w:orient="portrait"/>
          <w:cols w:equalWidth="0" w:num="1">
            <w:col w:w="10139"/>
          </w:cols>
          <w:pgMar w:left="320" w:top="448" w:right="1440" w:bottom="10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139"/>
          </w:cols>
          <w:pgMar w:left="320" w:top="448" w:right="1440" w:bottom="1015"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58108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5775" cy="5810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ectPr>
          <w:pgSz w:w="11900" w:h="16838" w:orient="portrait"/>
          <w:cols w:equalWidth="0" w:num="1">
            <w:col w:w="11340"/>
          </w:cols>
          <w:pgMar w:left="320" w:top="448"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1340"/>
          </w:cols>
          <w:pgMar w:left="320" w:top="448" w:right="2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Genomics revenue was $195.0 million and $198.0 million for the years ended December 31, 2021 and 2022, respectively, and $140.1 million and $270.8 million for the nine months ended September 30, 2022 and 2023, respectively. COVID-19 PCR testing accounted for $94.7 million and $22.2 million of revenue for the years ended December 31, 2021 and 2022, respectively, and $17.5 million for the nine months ended September 30, 2022. COVID-19 PCR testing was $2.7 million, or 0.7% of total revenue, for the nine months ended September 30, 2023, as we stopped offering these tests in the first quarter of 2023.</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Oncology NGS tests delivered for the years ended December 31, 2019, 2020, 2021 and 2022 were approximately 24,300, 44,700, 69,200 and 100,100, respectively. In 2023, xR tests became billable and are included in the current year volume; inclusive of xR, historical volumes would have been approximately 43,900, 68,400, 101,500 and 152,200, respectively.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upon the completion of performance obligations for related services, or ratably over time in the case of subscriptions.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Data and services revenue was $62.8 million and $122.7 million for the years ended December 31, 2021 and 2022, respectively, and $80.0 million and $113.3 million for the nine months ended September 30, 2022 and 2023, respectively. Our Data and services revenue is typically back-weighted towards the second half of the year based on the budgeting cycles of our customers.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a suite of algorithmic tests in oncology: our Tumor Origin, TO, test, our Homologous Recombination Deficiency, HRD, test, and our 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services product line. Beginning January 1, 2023, these three Algos are no longer being billed as individual tests as there is now a dedicated CPT code associated with the underlying laboratory diagnostic. Instead, we submit claims for the diagnostic, and revenues associated with those claims will be reported in our Genomics product line.</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Through our acquisitions of Mpirik and Arterys, Inc., we also have algorithmic solutions in market to identify potential care gaps and identify at-risk patients in cardiology. To date, revenues from these offerings are derived from the institution deploying the solutions.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term of the MSA will continue through December 31, 2026, unless terminated sooner.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 See “Business—Operations—Our Strategic Collaboration with AstraZeneca.”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340"/>
          </w:cols>
          <w:pgMar w:left="320" w:top="448"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2025, unless terminated sooner. An additional commitment of up to $120 million may be triggered at GSK’s election for the years 2026 and 2027.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the Sellers are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RSUs with an aggregate value of $4.0 million to be allocated among Highline employees retained by us. The retention bonus pool will be recorded as compensation expense over the requisite service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$61.2 million and $83.2 million during the years ended December 31, 2021 and 2022, respectively, and $61.6 million and $66.3 million during the nine months ended September 30, 2022 and 2023,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6,500 physicians and we have worked with over 100 biotech companies, as well as 19 of the 20 largest public pharmaceutical companies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340"/>
          </w:cols>
          <w:pgMar w:left="320" w:top="44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based on 2022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$67.2 million and $79.1 million during the years ended December 31, 2021 and 2022, respectively, and $58.3 million and $70.5 million during the nine months ended September 30, 2022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We received payment on approximately 50% of our clinical oncology NGS tests across all payors performed from January 1, 2021 through December 31, 2022. For the years ended December 31, 2021 and 2022, our average reimbursement for NGS tests billed to insurance in oncology was approximately $1,100 and $1,500,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$94.7 million and $22.2 million of revenue for the years ended December 31, 2021 and 2022, respectively, and $17.5 million of revenue for the nine months ended September 30,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from COVID-19 for the nine months ended September 30, 2023 was $2.7 million, as we stopped offering COVID-19 PCR diagnostic tests in the first quarter of 2023, at which time we shifted resources from COVID-19 testing to other aspects of the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Our total cost of revenues will also increase in the quarter in which this offering occurs due to</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revenues continue to grow. We currently report our AI Applications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quarter in which this offering occurs due to 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platform and applications and the research and development of new products that we hope to bring to the market. Technology research and development costs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expensed as incurred. We plan to continue to invest in technology personnel to support our Platform and new algorithm development. We expect that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research and development expenses will increase in absolute dollars for the foreseeable future as we continue to invest to support these activities. Our technology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 will increase in the quarter in which this offering occurs due to stock-based compensation expenses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related to RSUs and PSUs for which the service-based vesting condition was satisfied and for which the performance-based vesting condition will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in connection with this offering.</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expect that our selling, general and administrative expenses will continue to increase in absolute dollars after this offering,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stock-based compensation expenses of approximately million related to RSUs and PSUs for which the service-based vesting condition was satisfied and for which the performance-based vesting condition will be satisfied in connection with this offering.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and any changes in fair value related to our warrant liability. The Company issued a warrant to its customer AstraZeneca in conjunction with the signing of the November 2021 MSA. The fair value of the warrant liability is measured each reporting period.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vMerge w:val="restart"/>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13"/>
                <w:szCs w:val="13"/>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tcPr>
          <w:p>
            <w:pPr>
              <w:jc w:val="center"/>
              <w:ind w:left="396"/>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270,797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79,987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113,301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138,781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29,503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58,258</w:t>
            </w: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61,552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527,886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(206,827</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(143,788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(223,062)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(163,260)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2022 and 2023</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Total revenue was $220.0 million for the nine months ended September 30, 2022 compared to $384.1 million for the nine months ended September 30, 2023, an increase of $164.1 million, or 74.6%. Adjusted for the impact of COVID-19 PCR testing, revenue increased $178.8 million, or 88.3%, from $202.6 million for the nine months ended September 30, 2022, compared to $381.4 million for the nine months ended September 30, 2023. The increase in revenue is due to increased volume and reimbursement of clinical oncology tests performed in Genomics and increased data deliveries in our Data and Services product line.</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Genomics revenue increased $130.7 million, or 93.4%, from $140.1 million for the nine months ended September 30, 2022, compared to $270.8 million for the nine months ended September 30, 2023. Revenue from COVID-19 PCR testing decreased $14.7 million period over period, as we ceased offering such testing in the first quarter of 2023. This decrease was offset by a $145.5 million increase in Genomics revenue primarily due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an increase in the number of NGS tests delivered in oncology, which increased from approximately 70,000 tests for the nine months ended September 30, 2022 to approximately 160,000 tests for the nine months ended September 30, 2023. Additionally, there was an increase in average revenue per NGS oncology test, which increased from approximately $1,450 per test for the nine months ended September 30, 2022 to approximately $1,550 per test for the nine months ended September 30, 2023. The increase in average revenue per test was driven by increased Medicare reimbursement rates. The increase in Genomics revenue was offset by an increase of $7.1 million in a revenue reserve recorded for risks of future reversal of consideration associated with certain government payors.</w:t>
      </w:r>
    </w:p>
    <w:p>
      <w:pPr>
        <w:spacing w:after="0" w:line="2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21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services revenue increased $33.3 million, or 41.6%, from $80.0 million for the nine months ended September 30, 2022, compared to $113.3 million for the nine months ended September 30, 2023. This increase is driven primarily by approximately $21.5 million from increased demand for our Insights products and approximately $9.7 million from increased demand for our Trials products. Across all Data and services products, the increase in revenue in 2023 is primarily attributable to continued growth from within our existing customer base, as well as continued adoption of our services by new customers that did not purchase services in 2022.</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$138.3 million for the nine months ended September 30, 2022, compared to $179.5 million for the nine months ended September 30, 2023, an increase of $41.2 million, or 29.8%. Adjusted for the impact of COVID-19 PCR testing, cost of revenues increased $56.6 million, or 46.6%, from $121.5 million for the nine months ended September 30, 2022, compared to $178.0 million for the nine months ended September 30, 2023. This increase was primarily due to an increase of $19.0 million in personnel costs, $19.9 million of material and service costs, and $2.6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Cost of revenues, Genomics was $108.8 million for the nine months ended September 30, 2022, compared to $138.8 million or the nine months ended September 30, 2023, an increase of $30.0 million, or 27.6%. Cost of revenues, Genomics, adjusted for the impact of COVID-19 PCR testing, was $92.0 million for the nine months ended September 30, 2022, compared to $137.3 million for the nine months ended September 30, 2023, an increase of $45.4 million, or 49.3%. This increase was primarily due to an increase of $19.9 million in material and service costs and an $11.1 million increase in personnel costs.</w:t>
      </w:r>
    </w:p>
    <w:p>
      <w:pPr>
        <w:spacing w:after="0" w:line="2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$29.5 million for the nine months ended September 30, 2022 compared to $40.7 million for the nine months ended September 30, 2023, an increase of $11.2 million, or 37.9%. This increase was primarily due to an increase of $7.9 million in personnel costs and an increase of $1.2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$61.6 million for the nine months ended September 30, 2022 and $66.3 million for the nine months ended September 30, 2023, an increase of $4.7 million, or 7.7%. This increase was primarily due to a $6.6 million increase in personnel-related costs for employees in our research and development group, offset by a $2.1 million decrease in data license fees as the result of an amended data licensing agreement.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$58.3 million for the nine months ended September 30, 2022 and $70.5 million for the nine months ended September 30, 2023, an increase of $12.2 million, or 21.0%.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Selling, general and administrative expenses were $168.8 million for the nine months ended September 30, 2022 and $211.7 million for the nine months ended September 30, 2023, an increase of $42.9 million, or 25.4%. This increase was primarily due to an increase of $16.0 million in personnel-related costs, $9.7 million in software and tools costs, $6.3 million in cloud storage cost, and $3.5 million due to change in fair value of contingent consideration.</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$0.9 million for the nine months ended September 30, 2022 compared to $5.9 million for the nine months ended September 30, 2023, an increase of $5.0 million, or 559.5%.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$12.7 million for the nine months ended September 30, 2022, compared to $33.2 million for the nine months ended September 30, 2023, an increase of $20.6 million, or 162.4%.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(expense) income, net was ($4.5) million for the nine months ended September 30, 2022, compared to other (expense) income, net of $7.9 million for the nine months ended September 30, 2023, an increase in income of $12.4 million, or 277.6%. This increase was primarily driven by fair value adjustments related to our warrant liability.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nine months ended September 30, 2022, losses from equity method investments decreased by an immaterial amount compared to the nine months ended September 30, 2023.</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2022</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$257.9 million for the year ended December 31, 2021 compared to $320.7 million for the year ended December 31, 2022, an increase of $62.8 million, or 24.4%. Adjusted for the impact of COVID-19 PCR testing, revenue increased $135.4 million, or 83.0%, from $163.1 million for the year ended December 31, 2021, compared to $298.5 million for the year ended December 31, 2022. The increase in revenue is due to increased volume and reimbursement of clinical oncology tests performed in Genomics and increased data deliveries in our Data and Services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revenue increased $3.0 million, or 1.5%, from $195.0 million for the year ended December 31, 2021, compared to $198.0 million for the year ended December 31, 2022. Revenue from COVID-19 PCR testing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decreased $72.6 million. This decrease was offset by a $75.5 million increase in Genomics revenue primarily due to an increase in the number of NGS tests delivered in oncology, which increased from approximately 69,200 tests for the year ended December 31, 2021 to approximately 100,100 tests in the year ended December 31, 2022. Additionally, there was an increase in average revenue per NGS oncology test, which increased from approximately $1,100 per test for the year ended December 31, 2021 to approximately $1,500 per test for the year ended December 31, 2022. The increase in average revenue per test was driven by increased Medicare reimbursement rates. The increase in Genomics revenue was offset by a $5.2 million revenue reserve recorded for risks of future reversal of consideration associated with certain government payors.</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Data and services increased $59.8 million, or 95.2%, from $62.8 million for the year ended December 31, 2021, compared to $122.7 million for the year ended December 31, 2022. This increase is driven primarily by $19.8 million in clinical trial services revenue from the acquisition of Highline, and approximately $34.1 million from increased demand for our Insights products. Across all Data and services products, the increase in revenue in 2022 is primarily attributable to continued growth from within our existing customer base, as well continued adoption of our services by new customers that did not purchase services in 2021.</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$174.2 million for the year ended December 31, 2021 compared to $190.5 million for the year ended December 31, 2022, an increase of $16.3 million, or 9.3%. Adjusted for the impact of COVID-19 PCR testing, cost of revenue increased $62.9 million, or 58.0%, from $108.5 million for the year ended December 31, 2021, compared to $171.5 million for the year ended December 31, 2022. This increase was primarily due to an increase of $25.0 million in personnel costs, $22.4 million of material and service costs, and $3.4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Genomics was $162.3 million for the year ended December 31, 2021, compared to $150.3 million for the year ended December 31, 2022, a decrease of $12.0 million, or 7.4%. The decrease was primarily due to a $46.7 million decrease in Cost of revenues, Genomics associated with COVID-19 PCR testing, as a result of efficiencies gained from streamlining our testing process since its inception in the third quarter of 2020. This decrease was partially offset by a $19.7 million increase in material and service costs and a $6.2 million increase in personnel costs.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$11.9 million for the year ended December 31, 2021 compared to $40.2 million for the year ended December 31, 2022, an increase of $28.3 million, or 237.1%. This increase was primarily due to an increase of $18.8 million in personnel costs and an increase of $3.4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Research and development expenses were $61.2 million for the year ended December 31, 2021 compared to $83.2 million for the year ended December 31, 2022, an increase of $22.0 million, or 36.0%. This increase was primarily due to a $12.6 million increase in personnel-related costs for employees in our research and development group and a $4.6 million increase in cloud expenses related to research and development, as we increased our spend and headcount to support continued investment in our technology.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$67.2 million for the year ended December 31, 2021 compared to $79.1 million for the year ended December 31, 2022, an increase of $11.9 million, or 17.7%.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Selling, general and administrative expenses were $199.0 million for the year ended December 31, 2021 compared to $233.4 million for the year ended December 31, 2022, an increase of $34.4 million, or 17.3%. This increase was primarily due to an increase of $30.3 million in personnel-related costs.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$0.6 million for the year ended December 31, 2021 compared to $3.0 million for the year ended December 31, 2022, an increase of $2.4 million, or 386.7%.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$15.2 million for the year ended December 31, 2021 compared to $21.9 million for the year ended December 31, 2022, an increase of $6.7 million, or 44.2%.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other expense was $0.3 million compared to other expense of $4.8 million for the year ended December 31, 2022, an increase of $4.5 million, or 1433.5%. This increase was primarily driven by fair value adjustments related to our warrant liability.</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joint venture in September 2020, which had a loss of $0.6 million for the years ended December 31, 2021 and 2022. Losses from equity method investments consist of earnings from our joint venture into which we entered during the third quarter of 2020.</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September 30, 2023.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 related notes included elsewhere in this prospectus. These quarterly operating results are not necessarily indicative of our operating results for the full year or any future period.</w:t>
      </w:r>
    </w:p>
    <w:p>
      <w:pPr>
        <w:spacing w:after="0" w:line="212"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2"/>
          <w:szCs w:val="12"/>
          <w:b w:val="1"/>
          <w:bCs w:val="1"/>
          <w:color w:val="auto"/>
        </w:rPr>
        <w:t>Three Months Ended</w:t>
      </w:r>
    </w:p>
    <w:p>
      <w:pPr>
        <w:spacing w:after="0" w:line="13" w:lineRule="exact"/>
        <w:rPr>
          <w:sz w:val="20"/>
          <w:szCs w:val="20"/>
          <w:color w:val="auto"/>
        </w:rPr>
      </w:pPr>
    </w:p>
    <w:tbl>
      <w:tblPr>
        <w:tblLayout w:type="fixed"/>
        <w:tblInd w:w="4380" w:type="dxa"/>
        <w:tblCellMar>
          <w:top w:w="0" w:type="dxa"/>
          <w:left w:w="0" w:type="dxa"/>
          <w:bottom w:w="0" w:type="dxa"/>
          <w:right w:w="0" w:type="dxa"/>
        </w:tblCellMar>
      </w:tblPr>
      <w:tr>
        <w:trPr>
          <w:trHeight w:val="104"/>
        </w:trPr>
        <w:tc>
          <w:tcPr>
            <w:tcW w:w="860" w:type="dxa"/>
            <w:vAlign w:val="bottom"/>
            <w:tcBorders>
              <w:top w:val="single" w:sz="8" w:color="auto"/>
            </w:tcBorders>
          </w:tcPr>
          <w:p>
            <w:pPr>
              <w:jc w:val="center"/>
              <w:ind w:right="59"/>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80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10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98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8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00" w:type="dxa"/>
            <w:vAlign w:val="bottom"/>
            <w:tcBorders>
              <w:top w:val="single" w:sz="8" w:color="auto"/>
            </w:tcBorders>
          </w:tcPr>
          <w:p>
            <w:pPr>
              <w:jc w:val="center"/>
              <w:ind w:left="99"/>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r>
      <w:tr>
        <w:trPr>
          <w:trHeight w:val="161"/>
        </w:trPr>
        <w:tc>
          <w:tcPr>
            <w:tcW w:w="86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0" w:type="dxa"/>
            <w:vAlign w:val="bottom"/>
          </w:tcPr>
          <w:p>
            <w:pPr>
              <w:jc w:val="right"/>
              <w:ind w:right="219"/>
              <w:spacing w:after="0"/>
              <w:rPr>
                <w:sz w:val="20"/>
                <w:szCs w:val="20"/>
                <w:color w:val="auto"/>
              </w:rPr>
            </w:pPr>
            <w:r>
              <w:rPr>
                <w:rFonts w:ascii="Times New Roman" w:cs="Times New Roman" w:eastAsia="Times New Roman" w:hAnsi="Times New Roman"/>
                <w:sz w:val="12"/>
                <w:szCs w:val="12"/>
                <w:b w:val="1"/>
                <w:bCs w:val="1"/>
                <w:color w:val="auto"/>
              </w:rPr>
              <w:t>2022</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2"/>
                <w:szCs w:val="12"/>
                <w:b w:val="1"/>
                <w:bCs w:val="1"/>
                <w:color w:val="auto"/>
              </w:rPr>
              <w:t>2022*</w:t>
            </w:r>
          </w:p>
        </w:tc>
        <w:tc>
          <w:tcPr>
            <w:tcW w:w="980" w:type="dxa"/>
            <w:vAlign w:val="bottom"/>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2022</w:t>
            </w: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2"/>
                <w:szCs w:val="12"/>
                <w:b w:val="1"/>
                <w:bCs w:val="1"/>
                <w:color w:val="auto"/>
              </w:rPr>
              <w:t>2023</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2023</w:t>
            </w:r>
          </w:p>
        </w:tc>
        <w:tc>
          <w:tcPr>
            <w:tcW w:w="900" w:type="dxa"/>
            <w:vAlign w:val="bottom"/>
          </w:tcPr>
          <w:p>
            <w:pPr>
              <w:jc w:val="right"/>
              <w:ind w:right="179"/>
              <w:spacing w:after="0"/>
              <w:rPr>
                <w:sz w:val="20"/>
                <w:szCs w:val="20"/>
                <w:color w:val="auto"/>
              </w:rPr>
            </w:pPr>
            <w:r>
              <w:rPr>
                <w:rFonts w:ascii="Times New Roman" w:cs="Times New Roman" w:eastAsia="Times New Roman" w:hAnsi="Times New Roman"/>
                <w:sz w:val="12"/>
                <w:szCs w:val="12"/>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-5715</wp:posOffset>
            </wp:positionV>
            <wp:extent cx="43935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93565" cy="8255"/>
                    </a:xfrm>
                    <a:prstGeom prst="rect">
                      <a:avLst/>
                    </a:prstGeom>
                    <a:noFill/>
                  </pic:spPr>
                </pic:pic>
              </a:graphicData>
            </a:graphic>
          </wp:anchor>
        </w:drawing>
      </w:r>
    </w:p>
    <w:p>
      <w:pPr>
        <w:ind w:left="748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97725" cy="1250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97725" cy="1250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b w:val="1"/>
          <w:bCs w:val="1"/>
          <w:color w:val="auto"/>
        </w:rPr>
        <w:t>Net revenue</w:t>
      </w:r>
    </w:p>
    <w:tbl>
      <w:tblPr>
        <w:tblLayout w:type="fixed"/>
        <w:tblInd w:w="0" w:type="dxa"/>
        <w:tblCellMar>
          <w:top w:w="0" w:type="dxa"/>
          <w:left w:w="0" w:type="dxa"/>
          <w:bottom w:w="0" w:type="dxa"/>
          <w:right w:w="0" w:type="dxa"/>
        </w:tblCellMar>
      </w:tblPr>
      <w:tr>
        <w:trPr>
          <w:trHeight w:val="206"/>
        </w:trPr>
        <w:tc>
          <w:tcPr>
            <w:tcW w:w="4380" w:type="dxa"/>
            <w:vAlign w:val="bottom"/>
          </w:tcPr>
          <w:p>
            <w:pPr>
              <w:ind w:left="320"/>
              <w:spacing w:after="0" w:line="205" w:lineRule="exact"/>
              <w:rPr>
                <w:sz w:val="20"/>
                <w:szCs w:val="20"/>
                <w:color w:val="auto"/>
              </w:rPr>
            </w:pPr>
            <w:r>
              <w:rPr>
                <w:rFonts w:ascii="Times New Roman" w:cs="Times New Roman" w:eastAsia="Times New Roman" w:hAnsi="Times New Roman"/>
                <w:sz w:val="16"/>
                <w:szCs w:val="16"/>
                <w:color w:val="auto"/>
              </w:rPr>
              <w:t>Genomics</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40,498</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$ 37,902</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$47,421</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54,732</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91,924</w:t>
            </w:r>
          </w:p>
        </w:tc>
        <w:tc>
          <w:tcPr>
            <w:tcW w:w="4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96,815</w:t>
            </w:r>
          </w:p>
        </w:tc>
        <w:tc>
          <w:tcPr>
            <w:tcW w:w="40" w:type="dxa"/>
            <w:vAlign w:val="bottom"/>
          </w:tcPr>
          <w:p>
            <w:pPr>
              <w:spacing w:after="0"/>
              <w:rPr>
                <w:sz w:val="17"/>
                <w:szCs w:val="17"/>
                <w:color w:val="auto"/>
              </w:rPr>
            </w:pPr>
          </w:p>
        </w:tc>
      </w:tr>
      <w:tr>
        <w:trPr>
          <w:trHeight w:val="197"/>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Data and services</w:t>
            </w: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32,812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26,297</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30,840</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42,697</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39,242</w:t>
            </w:r>
          </w:p>
        </w:tc>
        <w:tc>
          <w:tcPr>
            <w:tcW w:w="40" w:type="dxa"/>
            <w:vAlign w:val="bottom"/>
            <w:shd w:val="clear" w:color="auto" w:fill="CCEEFF"/>
          </w:tcPr>
          <w:p>
            <w:pPr>
              <w:spacing w:after="0"/>
              <w:rPr>
                <w:sz w:val="17"/>
                <w:szCs w:val="17"/>
                <w:color w:val="auto"/>
              </w:rPr>
            </w:pPr>
          </w:p>
        </w:tc>
      </w:tr>
      <w:tr>
        <w:trPr>
          <w:trHeight w:val="199"/>
        </w:trPr>
        <w:tc>
          <w:tcPr>
            <w:tcW w:w="4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net revenue</w:t>
            </w:r>
          </w:p>
        </w:tc>
        <w:tc>
          <w:tcPr>
            <w:tcW w:w="2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$ 60,752</w:t>
            </w:r>
          </w:p>
        </w:tc>
        <w:tc>
          <w:tcPr>
            <w:tcW w:w="2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$73,718</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85,572</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2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115,624</w:t>
            </w:r>
          </w:p>
        </w:tc>
        <w:tc>
          <w:tcPr>
            <w:tcW w:w="24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132,417</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136,057</w:t>
            </w:r>
          </w:p>
        </w:tc>
        <w:tc>
          <w:tcPr>
            <w:tcW w:w="40" w:type="dxa"/>
            <w:vAlign w:val="bottom"/>
          </w:tcPr>
          <w:p>
            <w:pPr>
              <w:spacing w:after="0"/>
              <w:rPr>
                <w:sz w:val="17"/>
                <w:szCs w:val="17"/>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46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0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740" w:type="dxa"/>
            <w:vAlign w:val="bottom"/>
            <w:gridSpan w:val="2"/>
          </w:tcPr>
          <w:p>
            <w:pPr>
              <w:jc w:val="right"/>
              <w:ind w:right="141"/>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40" w:type="dxa"/>
            <w:vAlign w:val="bottom"/>
          </w:tcPr>
          <w:p>
            <w:pPr>
              <w:spacing w:after="0"/>
              <w:rPr>
                <w:sz w:val="9"/>
                <w:szCs w:val="9"/>
                <w:color w:val="auto"/>
              </w:rPr>
            </w:pPr>
          </w:p>
        </w:tc>
        <w:tc>
          <w:tcPr>
            <w:tcW w:w="860" w:type="dxa"/>
            <w:vAlign w:val="bottom"/>
            <w:gridSpan w:val="2"/>
          </w:tcPr>
          <w:p>
            <w:pPr>
              <w:jc w:val="right"/>
              <w:ind w:right="28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2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Pr>
          <w:p>
            <w:pPr>
              <w:spacing w:after="0"/>
              <w:rPr>
                <w:sz w:val="9"/>
                <w:szCs w:val="9"/>
                <w:color w:val="auto"/>
              </w:rPr>
            </w:pPr>
          </w:p>
        </w:tc>
        <w:tc>
          <w:tcPr>
            <w:tcW w:w="900" w:type="dxa"/>
            <w:vAlign w:val="bottom"/>
            <w:gridSpan w:val="3"/>
          </w:tcPr>
          <w:p>
            <w:pPr>
              <w:jc w:val="right"/>
              <w:ind w:right="161"/>
              <w:spacing w:after="0" w:line="105" w:lineRule="exact"/>
              <w:rPr>
                <w:sz w:val="20"/>
                <w:szCs w:val="20"/>
                <w:color w:val="auto"/>
              </w:rPr>
            </w:pPr>
            <w:r>
              <w:rPr>
                <w:rFonts w:ascii="Times New Roman" w:cs="Times New Roman" w:eastAsia="Times New Roman" w:hAnsi="Times New Roman"/>
                <w:sz w:val="12"/>
                <w:szCs w:val="12"/>
                <w:b w:val="1"/>
                <w:bCs w:val="1"/>
                <w:color w:val="auto"/>
                <w:w w:val="97"/>
              </w:rPr>
              <w:t>December 31,</w:t>
            </w:r>
          </w:p>
        </w:tc>
        <w:tc>
          <w:tcPr>
            <w:tcW w:w="120" w:type="dxa"/>
            <w:vAlign w:val="bottom"/>
          </w:tcPr>
          <w:p>
            <w:pPr>
              <w:spacing w:after="0"/>
              <w:rPr>
                <w:sz w:val="9"/>
                <w:szCs w:val="9"/>
                <w:color w:val="auto"/>
              </w:rPr>
            </w:pPr>
          </w:p>
        </w:tc>
        <w:tc>
          <w:tcPr>
            <w:tcW w:w="860" w:type="dxa"/>
            <w:vAlign w:val="bottom"/>
            <w:gridSpan w:val="2"/>
          </w:tcPr>
          <w:p>
            <w:pPr>
              <w:jc w:val="right"/>
              <w:ind w:right="241"/>
              <w:spacing w:after="0" w:line="105"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860" w:type="dxa"/>
            <w:vAlign w:val="bottom"/>
            <w:gridSpan w:val="2"/>
          </w:tcPr>
          <w:p>
            <w:pPr>
              <w:jc w:val="right"/>
              <w:ind w:right="28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76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9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2021</w:t>
            </w:r>
          </w:p>
        </w:tc>
        <w:tc>
          <w:tcPr>
            <w:tcW w:w="300" w:type="dxa"/>
            <w:vAlign w:val="bottom"/>
          </w:tcPr>
          <w:p>
            <w:pPr>
              <w:spacing w:after="0"/>
              <w:rPr>
                <w:sz w:val="13"/>
                <w:szCs w:val="13"/>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2"/>
                <w:szCs w:val="12"/>
                <w:b w:val="1"/>
                <w:bCs w:val="1"/>
                <w:color w:val="auto"/>
              </w:rPr>
              <w:t>2022*</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2023</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and operating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Cost of revenues, genomics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32,993</w:t>
            </w:r>
          </w:p>
        </w:tc>
        <w:tc>
          <w:tcPr>
            <w:tcW w:w="300" w:type="dxa"/>
            <w:vAlign w:val="bottom"/>
          </w:tcPr>
          <w:p>
            <w:pPr>
              <w:spacing w:after="0"/>
              <w:rPr>
                <w:sz w:val="17"/>
                <w:szCs w:val="17"/>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39,084</w:t>
            </w:r>
          </w:p>
        </w:tc>
        <w:tc>
          <w:tcPr>
            <w:tcW w:w="100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34,266</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41,503</w:t>
            </w:r>
          </w:p>
        </w:tc>
        <w:tc>
          <w:tcPr>
            <w:tcW w:w="180" w:type="dxa"/>
            <w:vAlign w:val="bottom"/>
          </w:tcPr>
          <w:p>
            <w:pPr>
              <w:spacing w:after="0"/>
              <w:rPr>
                <w:sz w:val="17"/>
                <w:szCs w:val="17"/>
                <w:color w:val="auto"/>
              </w:rPr>
            </w:pPr>
          </w:p>
        </w:tc>
        <w:tc>
          <w:tcPr>
            <w:tcW w:w="98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45,280</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revenues, data and services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7,788</w:t>
            </w:r>
          </w:p>
        </w:tc>
        <w:tc>
          <w:tcPr>
            <w:tcW w:w="1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10,613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11,102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11,393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(54,796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7"/>
              </w:rPr>
              <w:t>$</w:t>
            </w:r>
            <w:r>
              <w:rPr>
                <w:rFonts w:ascii="Times New Roman" w:cs="Times New Roman" w:eastAsia="Times New Roman" w:hAnsi="Times New Roman"/>
                <w:sz w:val="16"/>
                <w:szCs w:val="16"/>
                <w:color w:val="auto"/>
                <w:w w:val="97"/>
              </w:rPr>
              <w:t>(77,092</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(66,557</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(63,178</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(58,615</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(53,861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(45,138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(58,981)</w:t>
            </w:r>
          </w:p>
        </w:tc>
        <w:tc>
          <w:tcPr>
            <w:tcW w:w="7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(81,290)</w:t>
            </w:r>
          </w:p>
        </w:tc>
        <w:tc>
          <w:tcPr>
            <w:tcW w:w="10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(73,691)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(68,545)</w:t>
            </w:r>
          </w:p>
        </w:tc>
        <w:tc>
          <w:tcPr>
            <w:tcW w:w="3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5"/>
              </w:rPr>
              <w:t>(66,285)</w:t>
            </w:r>
          </w:p>
        </w:tc>
        <w:tc>
          <w:tcPr>
            <w:tcW w:w="9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(54,377)</w:t>
            </w:r>
          </w:p>
        </w:tc>
        <w:tc>
          <w:tcPr>
            <w:tcW w:w="8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(55,832)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(53,426)</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line="230" w:lineRule="exact"/>
              <w:rPr>
                <w:sz w:val="20"/>
                <w:szCs w:val="20"/>
                <w:color w:val="auto"/>
              </w:rPr>
            </w:pP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Revenue and cost of revenue from COVID-19 testing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Genomics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8,982</w:t>
            </w:r>
          </w:p>
        </w:tc>
        <w:tc>
          <w:tcPr>
            <w:tcW w:w="100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3,618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2,638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9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 genomics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300" w:type="dxa"/>
            <w:vAlign w:val="bottom"/>
          </w:tcPr>
          <w:p>
            <w:pPr>
              <w:spacing w:after="0"/>
              <w:rPr>
                <w:sz w:val="17"/>
                <w:szCs w:val="17"/>
                <w:color w:val="auto"/>
              </w:rPr>
            </w:pPr>
          </w:p>
        </w:tc>
        <w:tc>
          <w:tcPr>
            <w:tcW w:w="74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10,009</w:t>
            </w:r>
          </w:p>
        </w:tc>
        <w:tc>
          <w:tcPr>
            <w:tcW w:w="100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3,962</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80" w:type="dxa"/>
            <w:vAlign w:val="bottom"/>
          </w:tcPr>
          <w:p>
            <w:pPr>
              <w:spacing w:after="0"/>
              <w:rPr>
                <w:sz w:val="17"/>
                <w:szCs w:val="17"/>
                <w:color w:val="auto"/>
              </w:rPr>
            </w:pPr>
          </w:p>
        </w:tc>
        <w:tc>
          <w:tcPr>
            <w:tcW w:w="980" w:type="dxa"/>
            <w:vAlign w:val="bottom"/>
            <w:gridSpan w:val="3"/>
          </w:tcPr>
          <w:p>
            <w:pPr>
              <w:jc w:val="right"/>
              <w:ind w:right="221"/>
              <w:spacing w:after="0"/>
              <w:rPr>
                <w:sz w:val="20"/>
                <w:szCs w:val="20"/>
                <w:color w:val="auto"/>
              </w:rPr>
            </w:pPr>
            <w:r>
              <w:rPr>
                <w:rFonts w:ascii="Times New Roman" w:cs="Times New Roman" w:eastAsia="Times New Roman" w:hAnsi="Times New Roman"/>
                <w:sz w:val="16"/>
                <w:szCs w:val="16"/>
                <w:color w:val="auto"/>
              </w:rPr>
              <w:t>1,352</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5"/>
        <w:spacing w:after="0" w:line="267" w:lineRule="auto"/>
        <w:tabs>
          <w:tab w:leader="none" w:pos="2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we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which has increased Genomics revenue relative to Cost of revenue, Genomics in 2023.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revenue has historically experienced fluctuations due to seasonality driven by the procurement and budgeting cycles of many of our customers. As a result, the majority of data deliveries in 2021 occurred in the fourth quarter. Beginning in 2022, our Data and services revenue has been recognized more evenly throughout the year, largely as the result of signing strategic collaborations which contain more over time revenue recognition.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services has decreased relative to the increase in Data and services revenue due to continued growth of Insights products, which have a higher margin of approximately 75%, compared to Trials products, which have a margin of approximately 40%.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September 30, 2023, we had an accumulated deficit of $1.3 billion.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in clinical trials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funded our operations to date principally from the sale of stock, convertible debt, term debt, and sales of our products. As of September 30, 2023, we had cash, cash equivalents and restricted cash of $133.4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the GSK Agreement, under which GSK has committed to spend a minimum of $180 million, of which $70 million was paid upon execution. In October 2023, we sold an aggregate of 785,245 shares of our Series G-4 preferred stock at a price per share of $57.3069, for an aggregate purchase price of approximately $45.0 million in a private placement to accredited investors.</w:t>
      </w:r>
    </w:p>
    <w:p>
      <w:pPr>
        <w:spacing w:after="0" w:line="16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Based on our current business plan, we believe our current cash and cash equivalents and anticipated cash flows from operations, inclusive of the Series G-4 Financing undertaken and the additional term debt received in October 2023, will be sufficient to meet our anticipated cash requirements for more than twelve months from the date of this prospectus. We plan to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including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occurring after June 30, 2023, each share of Series G-3 preferred stock would be converted into a number of shares of our Class A common stock equal to (i) $57.3069 per share, plus any accrued and unpaid dividends on such share divided by (ii) the lesser of (a) $51.5762 and (b) 85% of the public offering price in this</w:t>
      </w:r>
    </w:p>
    <w:p>
      <w:pPr>
        <w:spacing w:after="0" w:line="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offering. Based on an assumed initial public offering price of $ per share, which is the midpoint of the estimated price range set forth on the cover page of this prospectus, all of the shares of Series G-3 preferred stock will convert into an aggregate of shares of our Class A common stock in connection with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tabs>
          <w:tab w:leader="none" w:pos="6860" w:val="left"/>
        </w:tabs>
        <w:rPr>
          <w:sz w:val="20"/>
          <w:szCs w:val="20"/>
          <w:color w:val="auto"/>
        </w:rPr>
      </w:pPr>
      <w:r>
        <w:rPr>
          <w:rFonts w:ascii="Times New Roman" w:cs="Times New Roman" w:eastAsia="Times New Roman" w:hAnsi="Times New Roman"/>
          <w:sz w:val="18"/>
          <w:szCs w:val="18"/>
          <w:color w:val="auto"/>
        </w:rPr>
        <w:t>this offering. Each $1.00 increase or decrease in the assumed initial public offering price of $</w:t>
      </w:r>
      <w:r>
        <w:rPr>
          <w:sz w:val="20"/>
          <w:szCs w:val="20"/>
          <w:color w:val="auto"/>
        </w:rPr>
        <w:tab/>
      </w:r>
      <w:r>
        <w:rPr>
          <w:rFonts w:ascii="Times New Roman" w:cs="Times New Roman" w:eastAsia="Times New Roman" w:hAnsi="Times New Roman"/>
          <w:sz w:val="16"/>
          <w:szCs w:val="16"/>
          <w:color w:val="auto"/>
        </w:rPr>
        <w:t>per share, which is the midpoint of the estimated price range set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on the cover page of this prospectus, would increase or decrease, as applicable, the number of shares of Class A common stock into which all shares of</w:t>
      </w:r>
    </w:p>
    <w:p>
      <w:pPr>
        <w:spacing w:after="0" w:line="39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Series G-3 preferred stock would convert in connection with this offering by approximately shares. In addition, in connection with the Series G-3 Financing, we agreed to issue to a stockholder a contingent payment of up to $ million in shares of Class A common stock, assuming an initial public offering price of $ per share, which is the midpoint of the estimated price range set forth on the cover page of this prospectus, which payment may be made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or shares of Class A common stock, upon mutual agreement of us and the stockholder.</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G-4 Financing</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w:t>
      </w:r>
    </w:p>
    <w:p>
      <w:pPr>
        <w:spacing w:after="0" w:line="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lesser of (a) $51.5762 and (b) 85% of the public offering price in this offering. Based on an assumed initial public offering price of $ per share, which is the midpoint of the estimated price range set forth on the cover page of this prospectus, all of the shares of Series G-4 preferred stock will convert into an aggregate</w:t>
      </w: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of</w:t>
      </w:r>
      <w:r>
        <w:rPr>
          <w:sz w:val="20"/>
          <w:szCs w:val="20"/>
          <w:color w:val="auto"/>
        </w:rPr>
        <w:tab/>
      </w:r>
      <w:r>
        <w:rPr>
          <w:rFonts w:ascii="Times New Roman" w:cs="Times New Roman" w:eastAsia="Times New Roman" w:hAnsi="Times New Roman"/>
          <w:sz w:val="16"/>
          <w:szCs w:val="16"/>
          <w:color w:val="auto"/>
        </w:rPr>
        <w:t>shares of our Class A common stock in connection with this offering. Each $1.00 increase or decrease in the assumed initial public offering price of</w:t>
      </w:r>
    </w:p>
    <w:p>
      <w:pPr>
        <w:spacing w:after="0" w:line="26" w:lineRule="exact"/>
        <w:rPr>
          <w:sz w:val="20"/>
          <w:szCs w:val="20"/>
          <w:color w:val="auto"/>
        </w:rPr>
      </w:pPr>
    </w:p>
    <w:p>
      <w:pPr>
        <w:jc w:val="both"/>
        <w:ind w:firstLine="5"/>
        <w:spacing w:after="0" w:line="274" w:lineRule="auto"/>
        <w:tabs>
          <w:tab w:leader="none" w:pos="525"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share, which is the midpoint of the estimated price range set forth on the cover page of this prospectus, would increase or decrease, as applicable, the number of shares of Class A common stock into which all shares of Series G-4 preferred stock would convert in connection with this offering by approximately</w:t>
      </w:r>
    </w:p>
    <w:p>
      <w:pPr>
        <w:ind w:left="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shares.</w:t>
      </w:r>
    </w:p>
    <w:p>
      <w:pPr>
        <w:spacing w:after="0" w:line="19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30 days following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we are required to generate consolidated revenues of $342.7 million and $459.1 million, respectively. We were in compliance with the covenants of the Credit Agreement as of September 30, 2023.</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r>
      <w:tr>
        <w:trPr>
          <w:trHeight w:val="138"/>
        </w:trPr>
        <w:tc>
          <w:tcPr>
            <w:tcW w:w="45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7"/>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r>
      <w:tr>
        <w:trPr>
          <w:trHeight w:val="113"/>
        </w:trPr>
        <w:tc>
          <w:tcPr>
            <w:tcW w:w="45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left="403"/>
              <w:spacing w:after="0" w:line="113"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69"/>
        </w:trPr>
        <w:tc>
          <w:tcPr>
            <w:tcW w:w="4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(211,984)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(168,204)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w w:val="99"/>
              </w:rPr>
              <w:t>(109,710)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(174,072)</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activites</w:t>
            </w:r>
          </w:p>
        </w:tc>
        <w:tc>
          <w:tcPr>
            <w:tcW w:w="2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(57,939)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63"/>
              <w:spacing w:after="0"/>
              <w:rPr>
                <w:sz w:val="20"/>
                <w:szCs w:val="20"/>
                <w:color w:val="auto"/>
              </w:rPr>
            </w:pPr>
            <w:r>
              <w:rPr>
                <w:rFonts w:ascii="Times New Roman" w:cs="Times New Roman" w:eastAsia="Times New Roman" w:hAnsi="Times New Roman"/>
                <w:sz w:val="18"/>
                <w:szCs w:val="18"/>
                <w:color w:val="auto"/>
              </w:rPr>
              <w:t>(52,013)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(34,768)</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251,391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252,971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38,661</w:t>
            </w:r>
          </w:p>
        </w:tc>
      </w:tr>
      <w:tr>
        <w:trPr>
          <w:trHeight w:val="354"/>
        </w:trPr>
        <w:tc>
          <w:tcPr>
            <w:tcW w:w="4540" w:type="dxa"/>
            <w:vAlign w:val="bottom"/>
          </w:tcPr>
          <w:p>
            <w:pPr>
              <w:spacing w:after="0"/>
              <w:rPr>
                <w:sz w:val="24"/>
                <w:szCs w:val="24"/>
                <w:color w:val="auto"/>
              </w:rPr>
            </w:pPr>
          </w:p>
        </w:tc>
        <w:tc>
          <w:tcPr>
            <w:tcW w:w="2480" w:type="dxa"/>
            <w:vAlign w:val="bottom"/>
          </w:tcPr>
          <w:p>
            <w:pPr>
              <w:jc w:val="right"/>
              <w:ind w:right="1132"/>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2022 was $109.7 million, which resulted from a net loss of $223.5 million, offset by a net change in our operating assets and liabilities of $77.6 million and non-cash charges of $36.2 million. Non-cash charges primarily consisted of $21.8 million of depreciation and amortization, amortization of the warrant asset of $4.0 million, an increase in the fair value of the warrant liability of $4.2 million, and a decrease in the fair value of contingent consideration of $3.9 million. The net change in our operating assets and liabilities was primarily the result of a $65.7 million increase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nine months ended September 30, 2023 was $174.1 million, which resulted from a net loss of $163.6 million and a net change in our operating assets and liabilities of $49.6 million, offset by non-cash charges of $39.2 million. Non-cash charges primarily consisted of $24.5 million of depreciation and amortization, $5.1 million of non-cash operating lease costs, $7.4 million due to impairment of intangible assets, amortization of the warrant asset of $5.0 million, and a decrease in the fair value of the warrant liability of $8.0 million. The net change in our operating assets and liabilities was primarily the result of a $25.4 million increase in accounts receivable and a $16.6 million decrease in deferred revenue.</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2021 was $212.0 million, which resulted from a net loss of $259.2 million and net change in our operating assets and liabilities of $14.6 million, offset by non-cash charges of $32.7 million. Non-cash charges primarily consisted of $23.9 million of depreciation and amortization and a $5.2 million change in fair value of contingent consideration. The net change in our operating assets and liabilities was primarily the result of a $14.6 million decrease in inventory as a result of reducing supplies for COVID-19 kit tests and the expiration of COVID-19 testing kits and oncology lab supplies. The remaining net change in our operating assets and liabilities is a result of a $9.5 million increase in deferred revenue primarily related to the volume and timing of our data contracts.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2022 was $52.0 million, which resulted from $35.0 million related to the Highline Acquisition, and purchases of property and equipment of $16.5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nine months ended September 30, 2023 was $34.8 million, which was the result of purchases of property and equipment of $31.9 million, which related primarily to the expansion of the Chicago office for additional lab space.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2021 was $21.7 million, which resulted from investments in non-marketable security of $6.0 million, the release of escrow related to the AKESOgen purchase of $4.0 million, and purchases of property and equipment of $11.8 million.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2022 was $253.0 million, which was primarily due to net proceeds of $170.6 million from the Term Loan Facility with Ares and $92.2 million in net proceeds from the issuance of convertible preferred stock, offset by $5.6 million of dividend payments, $1.7 million in payments for deferred offering costs, and $2.3 million in payments for deferred financing fees.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provided by financing activities during the nine months ended September 30, 2023 was $38.7 million, which was primarily due to net proceeds of $48.8 million from the Term Loan Facility with Ares, offset by $5.6 million of dividend payments, and $3.6 million in purchase of treasury stock.</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during the year ended December 31, 2021 was $2.0 million, which was primarily due to net proceeds of $8.9 million from the issuance of convertible preferred stock, offset by dividends of $5.6 million, payment of contingent consideration of $3.4 million, and payment of deferred offering costs of $1.1 million.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 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2022 and September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3"/>
                <w:szCs w:val="13"/>
                <w:color w:val="auto"/>
              </w:rPr>
            </w:pPr>
          </w:p>
        </w:tc>
        <w:tc>
          <w:tcPr>
            <w:tcW w:w="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7"/>
              </w:rPr>
              <w:t>Less than 1</w:t>
            </w:r>
          </w:p>
        </w:tc>
        <w:tc>
          <w:tcPr>
            <w:tcW w:w="8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54,277</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16,785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13,408</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15,324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10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105,749</w:t>
            </w:r>
          </w:p>
        </w:tc>
        <w:tc>
          <w:tcPr>
            <w:tcW w:w="10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30,480</w:t>
            </w: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58,960</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16,309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175,000</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260,579</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260,579</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595,899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39,534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75,745</w:t>
            </w:r>
          </w:p>
        </w:tc>
        <w:tc>
          <w:tcPr>
            <w:tcW w:w="3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465,296</w:t>
            </w:r>
          </w:p>
        </w:tc>
        <w:tc>
          <w:tcPr>
            <w:tcW w:w="38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  Includes $39,485 of interest payable.</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24"/>
                <w:szCs w:val="24"/>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 1</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2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50,184</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6,785</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16,980</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15,634</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115,055</w:t>
            </w:r>
          </w:p>
        </w:tc>
        <w:tc>
          <w:tcPr>
            <w:tcW w:w="30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37,597</w:t>
            </w:r>
          </w:p>
        </w:tc>
        <w:tc>
          <w:tcPr>
            <w:tcW w:w="300" w:type="dxa"/>
            <w:vAlign w:val="bottom"/>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71,988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5,470</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227,122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227,122</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250,083</w:t>
            </w:r>
          </w:p>
        </w:tc>
        <w:tc>
          <w:tcPr>
            <w:tcW w:w="38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642,444</w:t>
            </w: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44,382</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339,051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248,226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$51,209 of interest payable.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 has commercial substance and (v) collectability of consideration is probable. Revenue and any contract assets are not recognized until such time that the required conditions are met.</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processed by the payor, generally 30-120 days from date of service. While management believes that the estimates are accurate, actual results could differ, and the potential impact on the financial statements could be significant.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and PSUs granted through September 30, 2023, for which the service-based vesting condition was satisfied and for which the performance-based vesting condition will be</w:t>
      </w:r>
    </w:p>
    <w:p>
      <w:pPr>
        <w:spacing w:after="0" w:line="2"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8"/>
          <w:szCs w:val="18"/>
          <w:color w:val="auto"/>
        </w:rPr>
        <w:t>satisfied in connection with this offering. In addition, based on RSUs and PSUs outstanding as of</w:t>
      </w:r>
      <w:r>
        <w:rPr>
          <w:sz w:val="20"/>
          <w:szCs w:val="20"/>
          <w:color w:val="auto"/>
        </w:rPr>
        <w:tab/>
      </w:r>
      <w:r>
        <w:rPr>
          <w:rFonts w:ascii="Times New Roman" w:cs="Times New Roman" w:eastAsia="Times New Roman" w:hAnsi="Times New Roman"/>
          <w:sz w:val="18"/>
          <w:szCs w:val="18"/>
          <w:color w:val="auto"/>
        </w:rPr>
        <w:t>, 2023, we expect to recognize approximately</w:t>
      </w:r>
    </w:p>
    <w:p>
      <w:pPr>
        <w:spacing w:after="0" w:line="3" w:lineRule="exact"/>
        <w:rPr>
          <w:sz w:val="20"/>
          <w:szCs w:val="20"/>
          <w:color w:val="auto"/>
        </w:rPr>
      </w:pPr>
    </w:p>
    <w:p>
      <w:pPr>
        <w:ind w:left="660" w:hanging="655"/>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of additional stock-based compensation expense related to these awards during the next twelve months.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September 30, 2023, we had cash, cash equivalents and restricted cash of $133.5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September 30, 2023,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September 30, 2023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neuropsychology,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500 unique data connections, many of which supply us with complex multimodal data in near real time, across approximately 2,000 healthcare institutions that order our products and services. Healthcare institutions supply us with this data in our capacity as a covered entity (for example, when we provide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 or Algos.</w:t>
      </w:r>
      <w:r>
        <w:rPr>
          <w:rFonts w:ascii="Times New Roman" w:cs="Times New Roman" w:eastAsia="Times New Roman" w:hAnsi="Times New Roman"/>
          <w:sz w:val="16"/>
          <w:szCs w:val="16"/>
          <w:color w:val="auto"/>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131445</wp:posOffset>
            </wp:positionV>
            <wp:extent cx="7002780" cy="28676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 and Services</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8"/>
          <w:szCs w:val="18"/>
          <w:i w:val="1"/>
          <w:iCs w:val="1"/>
          <w:color w:val="auto"/>
        </w:rPr>
        <w:t>Trials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third product line,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large language models, generative AI algorithms, and our vast database of de-identified data to develop algorithmic diagnostics designed to identify these patients earlier in their disease progression, when treatments are most effective.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4183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02780" cy="441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40"/>
          </w:cols>
          <w:pgMar w:left="320" w:top="448"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42932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2780" cy="429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280035</wp:posOffset>
            </wp:positionV>
            <wp:extent cx="7002780" cy="40265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02780" cy="402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Ingesting data through our relationships and partnerships with healthcare providers. </w:t>
      </w:r>
      <w:r>
        <w:rPr>
          <w:rFonts w:ascii="Times New Roman" w:cs="Times New Roman" w:eastAsia="Times New Roman" w:hAnsi="Times New Roman"/>
          <w:sz w:val="18"/>
          <w:szCs w:val="18"/>
          <w:color w:val="auto"/>
        </w:rPr>
        <w:t>We have developed proprietary tools to establish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direct data connections, across approximately 2,000 hospitals, many of which are bi-directional. We have established relationships with hundreds of provider networks, including approximately half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193" w:lineRule="exact"/>
        <w:rPr>
          <w:sz w:val="20"/>
          <w:szCs w:val="20"/>
          <w:color w:val="auto"/>
        </w:rPr>
      </w:pPr>
    </w:p>
    <w:p>
      <w:pPr>
        <w:jc w:val="both"/>
        <w:ind w:left="460" w:firstLine="43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85" w:lineRule="auto"/>
        <w:rPr>
          <w:sz w:val="20"/>
          <w:szCs w:val="20"/>
          <w:color w:val="auto"/>
        </w:rPr>
      </w:pPr>
      <w:r>
        <w:rPr>
          <w:rFonts w:ascii="Times New Roman" w:cs="Times New Roman" w:eastAsia="Times New Roman" w:hAnsi="Times New Roman"/>
          <w:sz w:val="16"/>
          <w:szCs w:val="16"/>
          <w:color w:val="auto"/>
        </w:rPr>
        <w:t>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are working with a large hospital network to train algorithmic models based on a de-identified subset of approximately 3.5 million ECGs, across more than 700,000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57"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100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Once data is ingested, we apply AI and other technologies,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over 800 million documents, across more than 5.7 million de-identified patient records, including approximately 1.3 billion pages of rich clinical text that we use to train our large language models. The database also includes over 1,000,000 records with imaging data, more than 800,000 with matched clinical records linked with genomic information, and approximately 200,000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our database continues to grow from its current size of more than 190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266065</wp:posOffset>
            </wp:positionV>
            <wp:extent cx="7002780" cy="37598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780" cy="3759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September 30, 2023, our database included the following types of data,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142875</wp:posOffset>
            </wp:positionV>
            <wp:extent cx="7002780" cy="44100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For example, 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 expertise and extensive resources to continuously monitor and review the statistical performance of the models used across our Platform to ensure performance and prevent degradation.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some of the core software applications that form part of our Platform, including examples where we have developed and deployed AI techniques.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 algorithm in 2019, and it was first deployed in a clinical setting in 2021. We developed and trained the TO algorithm, like other machine learning models, by adopting current best practices for AI model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 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75863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1340"/>
          </w:cols>
          <w:pgMar w:left="320" w:top="448" w:right="2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139"/>
          </w:cols>
          <w:pgMar w:left="320" w:top="448" w:right="1440"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139"/>
          </w:cols>
          <w:pgMar w:left="320" w:top="448" w:right="1440"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17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0278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340"/>
          </w:cols>
          <w:pgMar w:left="320" w:top="448"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5863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ectPr>
          <w:pgSz w:w="11900" w:h="16838" w:orient="portrait"/>
          <w:cols w:equalWidth="0" w:num="1">
            <w:col w:w="10600"/>
          </w:cols>
          <w:pgMar w:left="320" w:top="44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600"/>
          </w:cols>
          <w:pgMar w:left="320" w:top="448" w:right="97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ectPr>
          <w:pgSz w:w="11900" w:h="16838" w:orient="portrait"/>
          <w:cols w:equalWidth="0" w:num="1">
            <w:col w:w="11340"/>
          </w:cols>
          <w:pgMar w:left="320" w:top="448" w:right="239" w:bottom="1159"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1340"/>
          </w:cols>
          <w:pgMar w:left="320" w:top="448" w:right="239" w:bottom="1159"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Our AI Applications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200025</wp:posOffset>
            </wp:positionV>
            <wp:extent cx="7002780" cy="3634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0278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other types of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340"/>
          </w:cols>
          <w:pgMar w:left="320" w:top="448" w:right="2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9187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02780" cy="491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340"/>
          </w:cols>
          <w:pgMar w:left="320" w:top="448" w:right="2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 Premarket approval (PMA) obtained from the FDA in April 2023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 Run at 500x coverage for approximately 650 of the most significant onco-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driving mutations and 250x depth of coverage for more than 19,000 genes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panel</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155</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Tempus|xR</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 Full  transcriptomic  profiling  assay  for  solid  tumors  and  hematologic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malignancies at 50 million paired end reads, offered as a separate test 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2023 (previous paired with xT and xE)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   Reports clinically relevant fusions for more than 100 targeted genes, as well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as altered splicing events for MET exon 14 and EGFRvIII, in an unbiased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manner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 43.4% of patients were matched to a targeted therapy when DNA seq, RNA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seq, and immune biomarker assessment were combined, compared to 29.6%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patients who had a therapy match using DNA seq alone</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156</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p>
      <w:pPr>
        <w:spacing w:after="0"/>
        <w:tabs>
          <w:tab w:leader="none" w:pos="4260" w:val="left"/>
          <w:tab w:leader="none" w:pos="5500" w:val="left"/>
        </w:tabs>
        <w:rPr>
          <w:sz w:val="20"/>
          <w:szCs w:val="20"/>
          <w:color w:val="auto"/>
        </w:rPr>
      </w:pPr>
      <w:r>
        <w:rPr>
          <w:rFonts w:ascii="Times New Roman" w:cs="Times New Roman" w:eastAsia="Times New Roman" w:hAnsi="Times New Roman"/>
          <w:sz w:val="14"/>
          <w:szCs w:val="14"/>
          <w:b w:val="1"/>
          <w:bCs w:val="1"/>
          <w:u w:val="single" w:color="auto"/>
          <w:color w:val="auto"/>
        </w:rPr>
        <w:t>Lab Tests</w:t>
      </w:r>
      <w:r>
        <w:rPr>
          <w:sz w:val="20"/>
          <w:szCs w:val="20"/>
          <w:color w:val="auto"/>
        </w:rPr>
        <w:tab/>
      </w:r>
      <w:r>
        <w:rPr>
          <w:rFonts w:ascii="Times New Roman" w:cs="Times New Roman" w:eastAsia="Times New Roman" w:hAnsi="Times New Roman"/>
          <w:sz w:val="14"/>
          <w:szCs w:val="14"/>
          <w:b w:val="1"/>
          <w:bCs w:val="1"/>
          <w:u w:val="single" w:color="auto"/>
          <w:color w:val="auto"/>
        </w:rPr>
        <w:t>Launch Year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97725" cy="692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7725" cy="692150"/>
                    </a:xfrm>
                    <a:prstGeom prst="rect">
                      <a:avLst/>
                    </a:prstGeom>
                    <a:noFill/>
                  </pic:spPr>
                </pic:pic>
              </a:graphicData>
            </a:graphic>
          </wp:anchor>
        </w:drawing>
      </w:r>
    </w:p>
    <w:p>
      <w:pPr>
        <w:spacing w:after="0" w:line="101" w:lineRule="exact"/>
        <w:rPr>
          <w:sz w:val="20"/>
          <w:szCs w:val="20"/>
          <w:color w:val="auto"/>
        </w:rPr>
      </w:pPr>
    </w:p>
    <w:p>
      <w:pPr>
        <w:jc w:val="both"/>
        <w:ind w:left="5860" w:hanging="349"/>
        <w:spacing w:after="0" w:line="302" w:lineRule="auto"/>
        <w:rPr>
          <w:sz w:val="20"/>
          <w:szCs w:val="20"/>
          <w:color w:val="auto"/>
        </w:rPr>
      </w:pPr>
      <w:r>
        <w:rPr>
          <w:rFonts w:ascii="Times New Roman" w:cs="Times New Roman" w:eastAsia="Times New Roman" w:hAnsi="Times New Roman"/>
          <w:sz w:val="16"/>
          <w:szCs w:val="16"/>
          <w:color w:val="auto"/>
        </w:rPr>
        <w:t>•     Among patients with identified fusions, 29% more patients were identified with a unique clinically actionable fusion that could be matched to a targeted therapy when RNA seq was incorporated, compared to DNA seq alone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also currently validating xM, a joint methylation signature and variant workflow for minimal residual disease detection.</w:t>
      </w:r>
    </w:p>
    <w:p>
      <w:pPr>
        <w:spacing w:after="0" w:line="21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340"/>
          </w:cols>
          <w:pgMar w:left="320" w:top="448"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207,000 samples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41516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02780" cy="415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340"/>
          </w:cols>
          <w:pgMar w:left="320" w:top="448"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9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 Covers 13 validated genes with known roles in pharmacokinetics, pharmacodynamics,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immune  response  to  FDA  approved  medications  that  may  be  prescribed  in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neuropsychiatric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80 single nucleotide and small insertion-deletion (indel) variants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the 13 genes. Concurrently, DNA fragment analysis is used to analyze copy number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variants in CYP2D6 and a large indel in the SLC6A4 promoter</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March 31, 2023, after which we stopped offering such tests. We entered into clinical testing agreements with various clients, including pharmacies, urgent care centers, state departments of health, primary care providers, universities and schools, and corporate clients.</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stopped offering COVID-19 PCR diagnostic tests in the first quarter of 2023.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pharmaceutical and biotechnology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September 30, 2023, we have signed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3"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contracts with a Remaining TCV of more than $785.0 million, which includes approximately $300.0 million in 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GSK,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2022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2022, Net Revenue Retention was approximately 130% compared to the same cohort of customers for the period ended December 31, 2021.</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2429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services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services in the Consolidated Statement of Operations. Cost of revenues, data and services were $11.9 million and $40.2 million for the years ended December 31, 2021 and 2022, respectively. These costs represent 19.2% and 32.8% of data and services revenue for the years ended December 31, 2021 and 2022, respectively.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8"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September 30, 2023, we generated $64.5 million of combined revenue from sequencing, data licensing of de-identified data derived from those records, analytical services, and clinical trials matching, which is approximately 7.2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2020, 2021 and 2022 from the 2018 cohort, and as of September 30, 2023, the 2018 “Cohort Lifetime Value” was $47.1 million. We experienced similar trends for the 2019, 2020, 2021, and 2022 cohorts. As of September 30, 2023, the 2019 “Cohort Lifetime Value” was $59.5 million, the 2020 “Cohort Lifetime Value” was $62.7 million, the 2021 “Cohort Lifetime Value” was $70.9 million, and the 2022 “Cohort Lifetime Value” was $75.4 million in its first year of existence.</w:t>
      </w:r>
    </w:p>
    <w:p>
      <w:pPr>
        <w:spacing w:after="0" w:line="37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“Cohort Lifetime Value” for the 2018 to 2022 data cohorts is illustrated in the graphs below. Figures shown in “2023 Data Revenue” represent revenue through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135890</wp:posOffset>
            </wp:positionV>
            <wp:extent cx="6835775" cy="5861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5775" cy="586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87452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5775" cy="8745220"/>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139"/>
          </w:cols>
          <w:pgMar w:left="320" w:top="448" w:right="1440"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Trials is our second offering within our Data and Services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September 30, 2023, more than 220 provider networks and research institutions have signed up to join the program. As of September 30, 2023, more than 3,000 oncologists were fully enrolled, more than 220 clinical trials were signed into the network, and more than 25,000 patients were identified for potential enrollment into clinical trials in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152400</wp:posOffset>
            </wp:positionV>
            <wp:extent cx="7002780" cy="4284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02780" cy="428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10 days on average in 2022.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125095</wp:posOffset>
            </wp:positionV>
            <wp:extent cx="7002780" cy="37433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02780" cy="374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over 3,900 tumor samples to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340"/>
          </w:cols>
          <w:pgMar w:left="320" w:top="448" w:right="2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vastness of our dataset, along with our connected platform, creates an opportunity to use data to algorithmically diagnose and treat patients. 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340"/>
          </w:cols>
          <w:pgMar w:left="320" w:top="448" w:right="2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more in various stages of development. As of September 30, 2023, more than 45,000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 For the year ended December 31, 2022, ordered on approximately 10%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6"/>
              </w:rPr>
              <w:t>Launch Year</w:t>
            </w:r>
          </w:p>
        </w:tc>
        <w:tc>
          <w:tcPr>
            <w:tcW w:w="62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7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12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3"/>
              </w:rPr>
              <w:t>• </w:t>
            </w: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disease progression. More than 80 hospitals nationwide are currently powered by Tempus Next and more than 35,000 patients are screened per month.</w:t>
      </w:r>
    </w:p>
    <w:p>
      <w:pPr>
        <w:spacing w:after="0" w:line="180" w:lineRule="exact"/>
        <w:rPr>
          <w:sz w:val="20"/>
          <w:szCs w:val="20"/>
          <w:color w:val="auto"/>
        </w:rPr>
      </w:pPr>
    </w:p>
    <w:p>
      <w:pPr>
        <w:jc w:val="both"/>
        <w:ind w:firstLine="454"/>
        <w:spacing w:after="0" w:line="230" w:lineRule="auto"/>
        <w:rPr>
          <w:sz w:val="20"/>
          <w:szCs w:val="20"/>
          <w:color w:val="auto"/>
        </w:rPr>
      </w:pPr>
      <w:r>
        <w:rPr>
          <w:rFonts w:ascii="Times New Roman" w:cs="Times New Roman" w:eastAsia="Times New Roman" w:hAnsi="Times New Roman"/>
          <w:sz w:val="18"/>
          <w:szCs w:val="18"/>
          <w:color w:val="auto"/>
        </w:rPr>
        <w:t>We are also developing a suite of algorithms that assess an individual’s risk of undiagnosed disease from an ECG, which are trained using a de-identified subset from approximately 3.5 million ECGs, across more than 700,000 patients, with decades of longitudinal clinical data, including outcome and response data. The FDA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ectPr>
          <w:pgSz w:w="11900" w:h="16838" w:orient="portrait"/>
          <w:cols w:equalWidth="0" w:num="1">
            <w:col w:w="11340"/>
          </w:cols>
          <w:pgMar w:left="320" w:top="448" w:right="239" w:bottom="1440"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2560" w:type="dxa"/>
            <w:vAlign w:val="bottom"/>
            <w:vMerge w:val="restart"/>
          </w:tcPr>
          <w:p>
            <w:pPr>
              <w:spacing w:after="0"/>
              <w:rPr>
                <w:sz w:val="13"/>
                <w:szCs w:val="13"/>
                <w:color w:val="auto"/>
              </w:rPr>
            </w:pPr>
          </w:p>
        </w:tc>
        <w:tc>
          <w:tcPr>
            <w:tcW w:w="1800" w:type="dxa"/>
            <w:vAlign w:val="bottom"/>
            <w:gridSpan w:val="3"/>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Cardiology</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4"/>
              </w:rPr>
              <w:t>clinical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trial</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2"/>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13335</wp:posOffset>
            </wp:positionV>
            <wp:extent cx="7197725" cy="133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258" w:lineRule="exact"/>
        <w:rPr>
          <w:sz w:val="20"/>
          <w:szCs w:val="20"/>
          <w:color w:val="auto"/>
        </w:rPr>
      </w:pPr>
    </w:p>
    <w:p>
      <w:pPr>
        <w:jc w:val="both"/>
        <w:ind w:left="360" w:hanging="349"/>
        <w:spacing w:after="0" w:line="267" w:lineRule="auto"/>
        <w:rPr>
          <w:sz w:val="20"/>
          <w:szCs w:val="20"/>
          <w:color w:val="auto"/>
        </w:rPr>
      </w:pPr>
      <w:r>
        <w:rPr>
          <w:rFonts w:ascii="Times New Roman" w:cs="Times New Roman" w:eastAsia="Times New Roman" w:hAnsi="Times New Roman"/>
          <w:sz w:val="18"/>
          <w:szCs w:val="18"/>
          <w:color w:val="auto"/>
        </w:rPr>
        <w:t>•     We have developed an algorithm designed to predict AFib from a normal ECG for certain populations.</w:t>
      </w:r>
    </w:p>
    <w:p>
      <w:pPr>
        <w:spacing w:after="0" w:line="78" w:lineRule="exact"/>
        <w:rPr>
          <w:sz w:val="20"/>
          <w:szCs w:val="20"/>
          <w:color w:val="auto"/>
        </w:rPr>
      </w:pPr>
    </w:p>
    <w:p>
      <w:pPr>
        <w:jc w:val="both"/>
        <w:ind w:left="360" w:hanging="349"/>
        <w:spacing w:after="0" w:line="251" w:lineRule="auto"/>
        <w:rPr>
          <w:sz w:val="20"/>
          <w:szCs w:val="20"/>
          <w:color w:val="auto"/>
        </w:rPr>
      </w:pPr>
      <w:r>
        <w:rPr>
          <w:rFonts w:ascii="Times New Roman" w:cs="Times New Roman" w:eastAsia="Times New Roman" w:hAnsi="Times New Roman"/>
          <w:sz w:val="18"/>
          <w:szCs w:val="18"/>
          <w:color w:val="auto"/>
        </w:rPr>
        <w:t>•     About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92" w:lineRule="exact"/>
        <w:rPr>
          <w:sz w:val="20"/>
          <w:szCs w:val="20"/>
          <w:color w:val="auto"/>
        </w:rPr>
      </w:pPr>
    </w:p>
    <w:p>
      <w:pPr>
        <w:jc w:val="both"/>
        <w:ind w:left="360" w:hanging="349"/>
        <w:spacing w:after="0" w:line="227" w:lineRule="auto"/>
        <w:rPr>
          <w:sz w:val="20"/>
          <w:szCs w:val="20"/>
          <w:color w:val="auto"/>
        </w:rPr>
      </w:pPr>
      <w:r>
        <w:rPr>
          <w:rFonts w:ascii="Times New Roman" w:cs="Times New Roman" w:eastAsia="Times New Roman" w:hAnsi="Times New Roman"/>
          <w:sz w:val="18"/>
          <w:szCs w:val="18"/>
          <w:color w:val="auto"/>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88" w:lineRule="exact"/>
        <w:rPr>
          <w:sz w:val="20"/>
          <w:szCs w:val="20"/>
          <w:color w:val="auto"/>
        </w:rPr>
      </w:pPr>
    </w:p>
    <w:p>
      <w:pPr>
        <w:jc w:val="both"/>
        <w:ind w:left="360" w:hanging="349"/>
        <w:spacing w:after="0" w:line="255" w:lineRule="auto"/>
        <w:rPr>
          <w:sz w:val="20"/>
          <w:szCs w:val="20"/>
          <w:color w:val="auto"/>
        </w:rPr>
      </w:pPr>
      <w:r>
        <w:rPr>
          <w:rFonts w:ascii="Times New Roman" w:cs="Times New Roman" w:eastAsia="Times New Roman" w:hAnsi="Times New Roman"/>
          <w:sz w:val="18"/>
          <w:szCs w:val="18"/>
          <w:color w:val="auto"/>
        </w:rPr>
        <w:t>•     We are also advancing Algos that are designed to predict aortic stenosis, and we are working on other disease areas within cardiology, such as low ejection fraction and familial hypercholesterolemia.</w:t>
      </w:r>
    </w:p>
    <w:p>
      <w:pPr>
        <w:spacing w:after="0" w:line="194" w:lineRule="exact"/>
        <w:rPr>
          <w:sz w:val="20"/>
          <w:szCs w:val="20"/>
          <w:color w:val="auto"/>
        </w:rPr>
      </w:pPr>
    </w:p>
    <w:p>
      <w:pPr>
        <w:sectPr>
          <w:pgSz w:w="11900" w:h="16838" w:orient="portrait"/>
          <w:cols w:equalWidth="0" w:num="2">
            <w:col w:w="4660" w:space="320"/>
            <w:col w:w="6360"/>
          </w:cols>
          <w:pgMar w:left="320" w:top="448" w:right="239" w:bottom="1440" w:gutter="0" w:footer="0" w:header="0"/>
          <w:type w:val="continuous"/>
        </w:sect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currently offer 50 algorithms and are continuing to develop additional algorithms derived from radiologic images and digital pathology slides. In October 2022, we acquired Arterys, Inc., a company that provides a platform to derive insights from radiology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 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340"/>
          </w:cols>
          <w:pgMar w:left="320" w:top="448" w:right="23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Genmab is an example of a pharmaceutical company that has used many of our products and services. We signed a strategic collaboration with Genmab to help identify novel molecular and immune targets in cancer indications of interest. One aspect of the collaboration is a shared interest in developing new treatments for patients with pancreatic cancer. Tempus and Genmab data scientists collaborated to explore multiple indications in an effort to validate biomarkers and accelerate research and development using Tempus’ multimodal datasets. We analyzed de-identified data derived from over 2,000 pancreatic cancer patients with comprehensive DNA sequencing, full transcriptomic sequencing, longitudinal EHR data, and digital pathology slides to fuel their discovery efforts. We believe comparable multimodal datasets of this depth and breadth have not previously been assembled for pancreatic cancer. Fueled with a unique and larger dataset, computational biologists and data scientists from both organizations identified for further assessment select subtype-specific surfaceome gene targets that were highly expressed in pancreatic cancer samples but lowly expressed in normal tissue. Ultimately, several hundred potential drug discovery targets were identified and are currently being assessed by Genmab using antibody databases, cell-type analyses, immune infiltration, and biological mechanism pathway analyses. The Genmab collaboration demonstrates how Tempus can work as a partner in the target identification and validation process and highlights the valuable insights that can be garnered using Tempus’ data. With the shared goal to bring novel drugs to patients in need, Tempus is entitled to receive milestone and royalty payments for programs that advance through clinical development under this collaboration.</w:t>
      </w:r>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10 days on average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-3810</wp:posOffset>
            </wp:positionV>
            <wp:extent cx="7002780" cy="12503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0278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radiology, in which there is over $3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and Services product line operates within a market in which life sciences companies spent an estimated $238 billion in 2022 on research and development according to Evaluate Pharma, and addresses needs within the $42 billion clinical trial services market, the $62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276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02780" cy="427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At present, we offer three main assays in cancer, including solid tumor profiling, liquid biopsy, and inherited cancer risk screening, and expect to commercialize our fourth assay for cancer recurrence monitoring and measuring minimal residual disease in 2024. We believe that our technology integration, and go to market and commercial infrastructure may provide a strategic advantage, and our assays provide a comprehensive and holistic range of options for physicians and patients. Over time, we anticipate being able to address other emerging NGS oncology markets, such as early disease screening, as our most recent cancer recurrence and MRD assay (xM) is based on joint methylation signature and variant calling workflow for minimal residual disease detection.</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Therapy selection: </w:t>
      </w:r>
      <w:r>
        <w:rPr>
          <w:rFonts w:ascii="Times New Roman" w:cs="Times New Roman" w:eastAsia="Times New Roman" w:hAnsi="Times New Roman"/>
          <w:sz w:val="18"/>
          <w:szCs w:val="18"/>
          <w:color w:val="auto"/>
        </w:rPr>
        <w:t>We address the market for therapy selection with our current tissue and liquid biopsy assay offerings and immunohistochemistry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approximately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148590</wp:posOffset>
            </wp:positionV>
            <wp:extent cx="7002780" cy="3701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0278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2024.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2020.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25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Product Line Market Opportunity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Data and Services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2022, an estimated $238 billion was spent on clinical development in the United States. Within this market, our Data and Services product line addresses the following spending categories for biotechnology and pharmaceutical researchers:</w:t>
      </w:r>
    </w:p>
    <w:p>
      <w:pPr>
        <w:spacing w:after="0" w:line="95" w:lineRule="exact"/>
        <w:rPr>
          <w:sz w:val="20"/>
          <w:szCs w:val="20"/>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$42 billion spend in 2022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$62 billion spend in 2022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 Data and Services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generative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2,000 employees, including hundreds with diverse expertise in genetics, molecular and computational biology, bioinformatics, regulatory affairs, medical, product and engineering, and data science. Roughly one-third of our team is technical, with approximately 250 PhDs and MDs on staff. In addition, as a testament to our balanced workforce, we have almost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500 direct data connections, many of which supply us with data in near real time, across approximately 2,000 healthcare institutions that order our products and services. We also built a laboratory infrastructure that is capable of providing a robust suite of testing services, including tissue and liquid biopsy sequencing for our customers. Although our company was founded in late 2015, we have already demonstrated the ability to bring AI to healthcare and provide Intelligent Diagnostics to enable precision medicine at scale. Our database of multimodal, de-identified records has grown to be more than 40 times the size of The Cancer Genome Atlas, the largest public genomic dataset that we know of in oncology. We also now have more than 190 petabytes of data in our cloud environment. We have also extended our Platform into neuropsychology, radiology, and cardiology. We believe each of the elements of our Platform is difficult for others to replicate.</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and Services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generative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 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00" w:lineRule="exact"/>
        <w:rPr>
          <w:sz w:val="20"/>
          <w:szCs w:val="20"/>
          <w:color w:val="auto"/>
        </w:rPr>
      </w:pPr>
    </w:p>
    <w:p>
      <w:pPr>
        <w:spacing w:after="0" w:line="287"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 and make use of large language models deploying generative AI applications in healthcare.</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Our unique dataset allows us to leverage multimodal data to deploy generative AI across the large language models we develop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radiology and cardiology in 2023.</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half of all academic medical centers in the United States. We have more than 500 direct unique data connections, many of which supply us with complex multimodal data in near real time, across approximately 2,000 healthcare institutions that order our products and services. In addition, we work with numerous industry associations, such as ASCO to structure and distribute the oncology data they collect as part of CancerLinq, 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6,500 physicians in some way. Between our sequencing and data collection efforts, we are connected in some way to more than 50% of all oncologists practicing in the United States. The value of our products is further evidenced by our volume of repeat ordering from oncologists. Through December 2022, the 12-month retention rate for physicians ordering more than 5 oncology NGS tests was 85% and for physicians ordering more than 25 oncology NGS tests, it was 93%. We define an active physician as those that have placed an oncology NGS test in the last 365 days. The 2022 retention rates are calculated by dividing the number of active physicians in 2021 who have placed more than 5 or 25 oncology NGS tests and also placed an order in 2022 by the total number of active physicians in 2021 who placed more than 5 or 25 oncology NGS tests. As of December 31, 2021, the number of active physicians that had ordered more than 5 oncology NGS tests in the last 365 days was 2,547, and the number of physicians that had previously ordered more than 5 oncology NGS tests but did not order one in 2022 was 374. As of December 31, 2021, the number of active ordering physicians that had ordered more than 25 oncology NGS tests in the prior 365 days was 1,338, and the number of physicians that had previously ordered more than 25 oncology NGS tests but did not order one in 2022 was 98.</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 to drive adoption of our Genomics product line with life sciences companies by supporting their testing needs for clinical trials and through the development of companion diagnostics. At present, we have more than 170 sales representatives focused on our Genomics offering, and intend to significantly add resources to the team over time.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September 30, 2023, we have worked with over 100 biotech companies, as well as 19 of the 20 largest public pharmaceutical companies based on 2022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researchers. For our Trials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also intend to focus on growing our primary AI Applications product called “Next,” which is an AI-platform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96" w:lineRule="exact"/>
        <w:rPr>
          <w:sz w:val="20"/>
          <w:szCs w:val="20"/>
          <w:color w:val="auto"/>
        </w:rPr>
      </w:pPr>
    </w:p>
    <w:p>
      <w:pPr>
        <w:ind w:left="460" w:right="7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radiology, cardiology, and other disease categories.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 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September 30, 2023, our clinical sales organization in the United States included more than 160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85%.</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2022, we have either published or been acknowledged in the following:</w:t>
      </w:r>
    </w:p>
    <w:p>
      <w:pPr>
        <w:spacing w:after="0" w:line="76" w:lineRule="exact"/>
        <w:rPr>
          <w:sz w:val="20"/>
          <w:szCs w:val="20"/>
          <w:color w:val="auto"/>
        </w:rPr>
      </w:pPr>
    </w:p>
    <w:p>
      <w:pPr>
        <w:ind w:left="1000" w:hanging="549"/>
        <w:spacing w:after="0" w:line="270"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59 total (40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total (66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September 30, 2023, we had approximately 34 sales executives in our Data and Services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will no longer be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 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received payment on approximately 50% of our clinical oncology NGS tests across all payors performed from January 1, 2021 through December 31, 2022. For the years ended December 31, 2021 and 2022, our average reimbursement for NGS tests billed to insurance in oncology was approximately $1,100 and $1,500, respectively. Our strategy to improve reimbursement is as follows:</w:t>
      </w:r>
    </w:p>
    <w:p>
      <w:pPr>
        <w:spacing w:after="0" w:line="89" w:lineRule="exact"/>
        <w:rPr>
          <w:sz w:val="20"/>
          <w:szCs w:val="20"/>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FDA approval of additional assays.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work with commercial payers to both get in network and get our assay approved and reimbursement at a higher rate than it currently is.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and Atlanta laboratories are CAP-accredited and CLIA-certified, and licensed in other states including New York, California, Maryland, Pennsylvania, and Rhode Island.</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scale our laboratories have been able to achieve in the approximately 6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2022, our average turnaround time for our xT assays was less than 12 days, and our average turnaround time for xF was eight days.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AstraZeneca Master Services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$200 million on such products and services during the term of the MSA. The minimum commitment may increase to $300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2026, unless terminated sooner.</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initial public offering price in this offering ( shares of Class A common stock, assuming an initial public offering price of $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GSK Master Services Agreement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August 2022, we entered into the GSK Agreement.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2025, unless terminated sooner. An additional commitment of up to $120 million may be triggered at GSK’s election for the years 2026 and 2027.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 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 and have run approximately 2.8 million tests in the last twelve months ended December 31, 2022.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145415</wp:posOffset>
            </wp:positionV>
            <wp:extent cx="7002780" cy="51517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1340"/>
          </w:cols>
          <w:pgMar w:left="320" w:top="448" w:right="2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As of September 30, 2023, our patent portfolio and patent applications consisted of 80 issued U.S. patents and allowed applications, 105 pending U.S. non-provisional patent applications, 12 pending U.S. provisional patent applications, 22 pending Patent Cooperation Treaty (international) patent applications, 37 issued foreign patents, and 138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60" w:lineRule="exact"/>
        <w:rPr>
          <w:sz w:val="20"/>
          <w:szCs w:val="20"/>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 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 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 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 oversight and reporting obligations, limitations to the sale of certain products or services, diminished profits and future earnings, and the curtailment or restructuring of our operations.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failure to comply with these laws, where applicable, can result in material adverse effects to our business, including the imposition of significant civil and/or criminal penalties and private litigation.</w:t>
      </w:r>
    </w:p>
    <w:p>
      <w:pPr>
        <w:spacing w:after="0" w:line="17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went into effect on January 1, 2023 and creates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 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availability and extent of reimbursement by governmental and private payers is essential for most patients to be able to afford our current and future diagnostic products. Each payer makes its own decision as to whether to 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6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2022, Medicare claims represented 28%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7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are awaiting feedback on our xF submission.</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If CMS fails to revise its preliminary determination after a review and comment period, it may have a significant negative impact on our financial results. We expect a final determination from CMS in November. If CMS fails to revist its preliminary determination after and comment period, or makes other changes to applicable reimbursement rates, it may have a significant impact on financial results.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also have a new genomics lab in Raleigh, North Carolina, which became operational in 2022 and from which we began offering commercial laboratory tests in the second half of 2022.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September 30, 2023, we had more than 2,000 employees, of which 729 were technical and were engaged in product and engineering, and research and development. As of September 30, 2023, 965 employees were based at our headquarters in Chicago, Illinois, 79 employees were based in Atlanta, Georgia, and 107 employees were based in Raleigh, North Carolina. None of our employees are represented by a labor union or covered under a collective bargaining agreement, and we have never experienced a work stoppage. We consider our relationship with our employees to be positive.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September 30, 2023,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Robert Ghenchev</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69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69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Executive Chairman (through August 2013), Chief Executive Officer (August 2013 to November 2015), and Chairman of the board of directors (November 2015 to June 2020). Mr. Lefkofsky also co-founded Lightbank LLC in 2008, a private venture capital firm specializing in investments in technology companies, and has served as its managing member since inception. Mr. Lefkofsky also co-founded InnerWorkings, Inc., Mediaocean, LLC, Echo Global Logistics, Inc., and Pathos AI,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77"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 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boards of directors of Berkshire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Grey, Inc. since April 2016, Sprout Social, Inc. since February 2011 and Groupon since January 2008.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Wayne A.I. Frederick, M.D. </w:t>
      </w:r>
      <w:r>
        <w:rPr>
          <w:rFonts w:ascii="Times New Roman" w:cs="Times New Roman" w:eastAsia="Times New Roman" w:hAnsi="Times New Roman"/>
          <w:sz w:val="18"/>
          <w:szCs w:val="18"/>
          <w:color w:val="auto"/>
        </w:rPr>
        <w:t>has served as a member of our board of directors since October 2020. Dr. Frederick has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other public companies, including serving as a member of the board of directors of Insulet Corp since October 2020, Forma Therapeutics Holdings, Inc. since July 2020, and Humana Inc. since February 2020. He also serves on the boards of directors of privately held companies and charitable organizations. Dr. Frederick is the President of Howard University, having held this position since July 2014, and also serves as the Charles R. Drew Endowed Chair of Surgery at Howard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7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Senior Partner at Novo Holdings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Inc. which provides consulting services to Novo Holdings A/S. Since January 2018, Mr. Ghenchev has also served as Head of Novo Growth at Novo Holdings A/S. Prior to joining Novo Holdings, Mr. Ghenchev served as a Senior Vice President at Moelis &amp; Company in London where he focused on mergers and acquisitions within the healthcare industry, from April 2010 to January 2018. Mr. Ghenchev also serves on the boards of directors of a European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Special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 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86"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and the Capital One Arena in Washington, D.C.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37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We currently have nine directors.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5540" w:right="340" w:hanging="5089"/>
        <w:spacing w:after="0" w:line="435" w:lineRule="auto"/>
        <w:tabs>
          <w:tab w:leader="none" w:pos="99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 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and Nadja West. The chair of our compensation committee will be Mr. Barris. Our board of directors has determined that each of Mr. Barris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6"/>
          <w:szCs w:val="16"/>
          <w:color w:val="auto"/>
        </w:rPr>
        <w:t>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2022:</w:t>
      </w:r>
    </w:p>
    <w:p>
      <w:pPr>
        <w:spacing w:after="0" w:line="256"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60" w:type="dxa"/>
            <w:vAlign w:val="bottom"/>
            <w:vMerge w:val="restart"/>
          </w:tcPr>
          <w:p>
            <w:pPr>
              <w:spacing w:after="0"/>
              <w:rPr>
                <w:sz w:val="14"/>
                <w:szCs w:val="1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4"/>
                <w:szCs w:val="14"/>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36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880" w:type="dxa"/>
            <w:vAlign w:val="bottom"/>
            <w:gridSpan w:val="3"/>
          </w:tcPr>
          <w:p>
            <w:pPr>
              <w:jc w:val="right"/>
              <w:ind w:right="1040"/>
              <w:spacing w:after="0" w:line="131"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3"/>
                <w:szCs w:val="13"/>
                <w:color w:val="auto"/>
              </w:rPr>
            </w:pPr>
          </w:p>
        </w:tc>
        <w:tc>
          <w:tcPr>
            <w:tcW w:w="780" w:type="dxa"/>
            <w:vAlign w:val="bottom"/>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Jennifer A. Doudna, Ph.D.</w:t>
            </w:r>
            <w:r>
              <w:rPr>
                <w:rFonts w:ascii="Times New Roman" w:cs="Times New Roman" w:eastAsia="Times New Roman" w:hAnsi="Times New Roman"/>
                <w:sz w:val="24"/>
                <w:szCs w:val="24"/>
                <w:color w:val="auto"/>
                <w:vertAlign w:val="superscript"/>
              </w:rPr>
              <w:t>(3)</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18"/>
                <w:szCs w:val="18"/>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tcPr>
          <w:p>
            <w:pPr>
              <w:spacing w:after="0"/>
              <w:rPr>
                <w:sz w:val="18"/>
                <w:szCs w:val="18"/>
                <w:color w:val="auto"/>
              </w:rPr>
            </w:pPr>
          </w:p>
        </w:tc>
        <w:tc>
          <w:tcPr>
            <w:tcW w:w="1820" w:type="dxa"/>
            <w:vAlign w:val="bottom"/>
            <w:gridSpan w:val="2"/>
          </w:tcPr>
          <w:p>
            <w:pPr>
              <w:jc w:val="right"/>
              <w:ind w:right="880"/>
              <w:spacing w:after="0" w:line="210" w:lineRule="exact"/>
              <w:rPr>
                <w:sz w:val="20"/>
                <w:szCs w:val="20"/>
                <w:color w:val="auto"/>
              </w:rPr>
            </w:pPr>
            <w:r>
              <w:rPr>
                <w:rFonts w:ascii="Times New Roman" w:cs="Times New Roman" w:eastAsia="Times New Roman" w:hAnsi="Times New Roman"/>
                <w:sz w:val="16"/>
                <w:szCs w:val="16"/>
                <w:color w:val="auto"/>
              </w:rPr>
              <w:t>2,376,500</w:t>
            </w:r>
            <w:r>
              <w:rPr>
                <w:rFonts w:ascii="Times New Roman" w:cs="Times New Roman" w:eastAsia="Times New Roman" w:hAnsi="Times New Roman"/>
                <w:sz w:val="24"/>
                <w:szCs w:val="24"/>
                <w:color w:val="auto"/>
                <w:vertAlign w:val="superscript"/>
              </w:rPr>
              <w:t>(4)</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2,501,500</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r>
              <w:rPr>
                <w:rFonts w:ascii="Times New Roman" w:cs="Times New Roman" w:eastAsia="Times New Roman" w:hAnsi="Times New Roman"/>
                <w:sz w:val="26"/>
                <w:szCs w:val="26"/>
                <w:color w:val="auto"/>
                <w:vertAlign w:val="superscript"/>
              </w:rPr>
              <w:t>(5)</w:t>
            </w:r>
          </w:p>
        </w:tc>
        <w:tc>
          <w:tcPr>
            <w:tcW w:w="220" w:type="dxa"/>
            <w:vAlign w:val="bottom"/>
          </w:tcPr>
          <w:p>
            <w:pPr>
              <w:spacing w:after="0"/>
              <w:rPr>
                <w:sz w:val="24"/>
                <w:szCs w:val="24"/>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93,750</w:t>
            </w:r>
          </w:p>
        </w:tc>
        <w:tc>
          <w:tcPr>
            <w:tcW w:w="160" w:type="dxa"/>
            <w:vAlign w:val="bottom"/>
          </w:tcPr>
          <w:p>
            <w:pPr>
              <w:spacing w:after="0"/>
              <w:rPr>
                <w:sz w:val="24"/>
                <w:szCs w:val="24"/>
                <w:color w:val="auto"/>
              </w:rPr>
            </w:pPr>
          </w:p>
        </w:tc>
        <w:tc>
          <w:tcPr>
            <w:tcW w:w="18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800,500</w:t>
            </w:r>
          </w:p>
        </w:tc>
        <w:tc>
          <w:tcPr>
            <w:tcW w:w="10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894,250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jc w:val="both"/>
        <w:ind w:left="460" w:hanging="455"/>
        <w:spacing w:after="0" w:line="279" w:lineRule="auto"/>
        <w:tabs>
          <w:tab w:leader="none" w:pos="4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directors during 2021 under our 2015 Plan, computed in accordance with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2" w:lineRule="exact"/>
        <w:rPr>
          <w:rFonts w:ascii="Times New Roman" w:cs="Times New Roman" w:eastAsia="Times New Roman" w:hAnsi="Times New Roman"/>
          <w:sz w:val="16"/>
          <w:szCs w:val="16"/>
          <w:color w:val="auto"/>
        </w:rPr>
      </w:pPr>
    </w:p>
    <w:p>
      <w:pPr>
        <w:ind w:left="460" w:hanging="455"/>
        <w:spacing w:after="0" w:line="247"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aggregate number of shares underlying outstanding RSUs under our 2015 Plan held by each of our non-employee directors was as follows:</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80" w:type="dxa"/>
            <w:vAlign w:val="bottom"/>
          </w:tcPr>
          <w:p>
            <w:pPr>
              <w:spacing w:after="0"/>
              <w:rPr>
                <w:sz w:val="16"/>
                <w:szCs w:val="16"/>
                <w:color w:val="auto"/>
              </w:rPr>
            </w:pPr>
          </w:p>
        </w:tc>
        <w:tc>
          <w:tcPr>
            <w:tcW w:w="3480" w:type="dxa"/>
            <w:vAlign w:val="bottom"/>
            <w:gridSpan w:val="3"/>
          </w:tcPr>
          <w:p>
            <w:pPr>
              <w:ind w:left="244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96"/>
        </w:trPr>
        <w:tc>
          <w:tcPr>
            <w:tcW w:w="42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440" w:type="dxa"/>
            <w:vAlign w:val="bottom"/>
          </w:tcPr>
          <w:p>
            <w:pPr>
              <w:spacing w:after="0"/>
              <w:rPr>
                <w:sz w:val="18"/>
                <w:szCs w:val="18"/>
                <w:color w:val="auto"/>
              </w:rPr>
            </w:pPr>
          </w:p>
        </w:tc>
        <w:tc>
          <w:tcPr>
            <w:tcW w:w="1040" w:type="dxa"/>
            <w:vAlign w:val="bottom"/>
            <w:gridSpan w:val="2"/>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Dr. Jennifer A. Doudna</w:t>
            </w:r>
            <w:r>
              <w:rPr>
                <w:rFonts w:ascii="Times New Roman" w:cs="Times New Roman" w:eastAsia="Times New Roman" w:hAnsi="Times New Roman"/>
                <w:sz w:val="24"/>
                <w:szCs w:val="24"/>
                <w:color w:val="auto"/>
                <w:vertAlign w:val="superscript"/>
              </w:rPr>
              <w:t>(3)</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Wayne A.I. Frederick</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(c)</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Scott Gottlieb</w:t>
            </w:r>
          </w:p>
        </w:tc>
        <w:tc>
          <w:tcPr>
            <w:tcW w:w="2440" w:type="dxa"/>
            <w:vAlign w:val="bottom"/>
          </w:tcPr>
          <w:p>
            <w:pPr>
              <w:spacing w:after="0"/>
              <w:rPr>
                <w:sz w:val="18"/>
                <w:szCs w:val="18"/>
                <w:color w:val="auto"/>
              </w:rPr>
            </w:pPr>
          </w:p>
        </w:tc>
        <w:tc>
          <w:tcPr>
            <w:tcW w:w="1040" w:type="dxa"/>
            <w:vAlign w:val="bottom"/>
            <w:gridSpan w:val="2"/>
          </w:tcPr>
          <w:p>
            <w:pPr>
              <w:ind w:left="340"/>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(d)</w:t>
            </w:r>
          </w:p>
        </w:tc>
      </w:tr>
      <w:tr>
        <w:trPr>
          <w:trHeight w:val="210"/>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Nadja West</w:t>
            </w:r>
            <w:r>
              <w:rPr>
                <w:rFonts w:ascii="Times New Roman" w:cs="Times New Roman" w:eastAsia="Times New Roman" w:hAnsi="Times New Roman"/>
                <w:sz w:val="26"/>
                <w:szCs w:val="26"/>
                <w:color w:val="auto"/>
                <w:vertAlign w:val="superscript"/>
              </w:rPr>
              <w:t>(5)</w:t>
            </w:r>
          </w:p>
        </w:tc>
        <w:tc>
          <w:tcPr>
            <w:tcW w:w="2440" w:type="dxa"/>
            <w:vAlign w:val="bottom"/>
          </w:tcPr>
          <w:p>
            <w:pPr>
              <w:spacing w:after="0"/>
              <w:rPr>
                <w:sz w:val="24"/>
                <w:szCs w:val="24"/>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(b)</w:t>
            </w:r>
          </w:p>
        </w:tc>
      </w:tr>
    </w:tbl>
    <w:p>
      <w:pPr>
        <w:jc w:val="both"/>
        <w:ind w:left="460" w:hanging="455"/>
        <w:spacing w:after="0" w:line="272" w:lineRule="auto"/>
        <w:tabs>
          <w:tab w:leader="none" w:pos="4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restricted stock award of 100,000 shares of our Class A common stock, one fourth of which vest on September 7, 2018, and 1/16 of which vest quarterly thereafter, provided that the recipient remains in continuous service with us through each vesting date, and subject to the earlier to occur of</w:t>
      </w: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 the consummation of this offering and (ii) a change in control of our company.</w:t>
      </w:r>
    </w:p>
    <w:p>
      <w:pPr>
        <w:spacing w:after="0" w:line="3" w:lineRule="exact"/>
        <w:rPr>
          <w:rFonts w:ascii="Times New Roman" w:cs="Times New Roman" w:eastAsia="Times New Roman" w:hAnsi="Times New Roman"/>
          <w:sz w:val="16"/>
          <w:szCs w:val="16"/>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January 13, 2022,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October 13,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2019,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sz w:val="20"/>
          <w:szCs w:val="20"/>
          <w:color w:val="auto"/>
        </w:rPr>
      </w:pPr>
    </w:p>
    <w:p>
      <w:pPr>
        <w:ind w:left="460" w:hanging="455"/>
        <w:spacing w:after="0"/>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Doudna joined our board of directors in April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Gottlieb joined our board of directors in October 2019, in connection with which he was entitled to an award of 50,000 RSUs, which were granted and approved by our board of directors in July 2021. The amount shown represents the aggregate grant date fair value of such RSUs as of July 2021.</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West joined our board of directors in April 2021.</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intend to adopt a non-employee director compensation policy in connection with this offering on terms to be determined by our board of directors. Under the non-employee director policy, our non-employee directors will be eligible to receive compensation for service on our board of directors and committees of our board of directors.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were:</w:t>
      </w:r>
    </w:p>
    <w:p>
      <w:pPr>
        <w:spacing w:after="0" w:line="103" w:lineRule="exact"/>
        <w:rPr>
          <w:sz w:val="20"/>
          <w:szCs w:val="20"/>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40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3"/>
                <w:szCs w:val="13"/>
                <w:color w:val="auto"/>
              </w:rPr>
            </w:pPr>
          </w:p>
        </w:tc>
        <w:tc>
          <w:tcPr>
            <w:tcW w:w="132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20" w:type="dxa"/>
            <w:vAlign w:val="bottom"/>
          </w:tcPr>
          <w:p>
            <w:pPr>
              <w:spacing w:after="0"/>
              <w:rPr>
                <w:sz w:val="13"/>
                <w:szCs w:val="13"/>
                <w:color w:val="auto"/>
              </w:rPr>
            </w:pPr>
          </w:p>
        </w:tc>
        <w:tc>
          <w:tcPr>
            <w:tcW w:w="1540" w:type="dxa"/>
            <w:vAlign w:val="bottom"/>
            <w:gridSpan w:val="2"/>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66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2022</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780" w:type="dxa"/>
            <w:vAlign w:val="bottom"/>
            <w:tcBorders>
              <w:top w:val="single" w:sz="8" w:color="CCEEFF"/>
            </w:tcBorders>
            <w:shd w:val="clear" w:color="auto" w:fill="CCEEFF"/>
          </w:tcPr>
          <w:p>
            <w:pPr>
              <w:jc w:val="right"/>
              <w:ind w:right="574"/>
              <w:spacing w:after="0"/>
              <w:rPr>
                <w:sz w:val="20"/>
                <w:szCs w:val="20"/>
                <w:color w:val="auto"/>
              </w:rPr>
            </w:pPr>
            <w:r>
              <w:rPr>
                <w:rFonts w:ascii="Times New Roman" w:cs="Times New Roman" w:eastAsia="Times New Roman" w:hAnsi="Times New Roman"/>
                <w:sz w:val="13"/>
                <w:szCs w:val="13"/>
                <w:color w:val="auto"/>
                <w:w w:val="78"/>
              </w:rPr>
              <w:t>(2)</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Chairman</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4"/>
              </w:rPr>
              <w:t>2021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5"/>
              </w:rPr>
              <w:t>207,486,240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7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207,488,340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4"/>
              </w:rPr>
              <w:t>2022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w w:val="92"/>
              </w:rPr>
              <w:t>450,000</w:t>
            </w:r>
          </w:p>
        </w:tc>
        <w:tc>
          <w:tcPr>
            <w:tcW w:w="8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2,975,250</w:t>
            </w:r>
          </w:p>
        </w:tc>
        <w:tc>
          <w:tcPr>
            <w:tcW w:w="120" w:type="dxa"/>
            <w:vAlign w:val="bottom"/>
          </w:tcPr>
          <w:p>
            <w:pPr>
              <w:spacing w:after="0"/>
              <w:rPr>
                <w:sz w:val="24"/>
                <w:szCs w:val="24"/>
                <w:color w:val="auto"/>
              </w:rPr>
            </w:pPr>
          </w:p>
        </w:tc>
        <w:tc>
          <w:tcPr>
            <w:tcW w:w="1540" w:type="dxa"/>
            <w:vAlign w:val="bottom"/>
            <w:gridSpan w:val="2"/>
          </w:tcPr>
          <w:p>
            <w:pPr>
              <w:jc w:val="right"/>
              <w:ind w:right="574"/>
              <w:spacing w:after="0" w:line="294" w:lineRule="exact"/>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3,427,350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12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4"/>
              </w:rPr>
              <w:t>2021</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88"/>
              </w:rPr>
              <w:t>335,188</w:t>
            </w:r>
            <w:r>
              <w:rPr>
                <w:rFonts w:ascii="Times New Roman" w:cs="Times New Roman" w:eastAsia="Times New Roman" w:hAnsi="Times New Roman"/>
                <w:sz w:val="26"/>
                <w:szCs w:val="26"/>
                <w:color w:val="auto"/>
                <w:w w:val="88"/>
                <w:vertAlign w:val="superscript"/>
              </w:rPr>
              <w:t>(3)</w:t>
            </w:r>
          </w:p>
        </w:tc>
        <w:tc>
          <w:tcPr>
            <w:tcW w:w="8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3,871,600</w:t>
            </w:r>
          </w:p>
        </w:tc>
        <w:tc>
          <w:tcPr>
            <w:tcW w:w="120" w:type="dxa"/>
            <w:vAlign w:val="bottom"/>
          </w:tcPr>
          <w:p>
            <w:pPr>
              <w:spacing w:after="0"/>
              <w:rPr>
                <w:sz w:val="24"/>
                <w:szCs w:val="24"/>
                <w:color w:val="auto"/>
              </w:rPr>
            </w:pPr>
          </w:p>
        </w:tc>
        <w:tc>
          <w:tcPr>
            <w:tcW w:w="1540" w:type="dxa"/>
            <w:vAlign w:val="bottom"/>
            <w:gridSpan w:val="2"/>
          </w:tcPr>
          <w:p>
            <w:pPr>
              <w:jc w:val="right"/>
              <w:ind w:right="57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4"/>
              </w:rPr>
              <w:t>2022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499,858</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5,550,870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7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4"/>
              </w:rPr>
              <w:t>2021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w w:val="92"/>
              </w:rPr>
              <w:t>422,396</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5,134,070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rPr>
              <w:t>75,296(4)</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5,631,762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jc w:val="both"/>
        <w:ind w:left="460" w:hanging="455"/>
        <w:spacing w:after="0" w:line="248"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represents the aggregate grant date fair value of RSUs granted to our executive officer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pro-rated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was appointed as our Chief Financial Officer in April 2021. The salary reported represents a pro-rata portion of his salary in 2021. His annualized base salary for 2021 was $450,000.</w:t>
      </w:r>
    </w:p>
    <w:p>
      <w:pPr>
        <w:ind w:left="460" w:hanging="455"/>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includes a housing stipend earned during 2022 and 2021.</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2022</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gridSpan w:val="2"/>
          </w:tcPr>
          <w:p>
            <w:pPr>
              <w:jc w:val="center"/>
              <w:ind w:right="23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9"/>
                <w:szCs w:val="9"/>
                <w:color w:val="auto"/>
              </w:rPr>
            </w:pPr>
          </w:p>
        </w:tc>
        <w:tc>
          <w:tcPr>
            <w:tcW w:w="12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220" w:type="dxa"/>
            <w:vAlign w:val="bottom"/>
          </w:tcPr>
          <w:p>
            <w:pPr>
              <w:spacing w:after="0"/>
              <w:rPr>
                <w:sz w:val="12"/>
                <w:szCs w:val="12"/>
                <w:color w:val="auto"/>
              </w:rPr>
            </w:pPr>
          </w:p>
        </w:tc>
        <w:tc>
          <w:tcPr>
            <w:tcW w:w="20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340" w:type="dxa"/>
            <w:vAlign w:val="bottom"/>
            <w:gridSpan w:val="2"/>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2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5"/>
                <w:szCs w:val="15"/>
                <w:color w:val="auto"/>
              </w:rPr>
            </w:pPr>
          </w:p>
        </w:tc>
        <w:tc>
          <w:tcPr>
            <w:tcW w:w="204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340" w:type="dxa"/>
            <w:vAlign w:val="bottom"/>
            <w:gridSpan w:val="2"/>
          </w:tcPr>
          <w:p>
            <w:pPr>
              <w:jc w:val="center"/>
              <w:ind w:right="23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60" w:type="dxa"/>
            <w:vAlign w:val="bottom"/>
          </w:tcPr>
          <w:p>
            <w:pPr>
              <w:spacing w:after="0"/>
              <w:rPr>
                <w:sz w:val="15"/>
                <w:szCs w:val="15"/>
                <w:color w:val="auto"/>
              </w:rPr>
            </w:pPr>
          </w:p>
        </w:tc>
        <w:tc>
          <w:tcPr>
            <w:tcW w:w="128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w:t>
            </w:r>
            <w:r>
              <w:rPr>
                <w:rFonts w:ascii="Times New Roman" w:cs="Times New Roman" w:eastAsia="Times New Roman" w:hAnsi="Times New Roman"/>
                <w:sz w:val="10"/>
                <w:szCs w:val="10"/>
                <w:b w:val="1"/>
                <w:bCs w:val="1"/>
                <w:color w:val="auto"/>
                <w:w w:val="99"/>
              </w:rPr>
              <w:t>(2)</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320" w:type="dxa"/>
            <w:vAlign w:val="bottom"/>
            <w:tcBorders>
              <w:top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w w:val="92"/>
              </w:rPr>
              <w:t>(3)</w:t>
            </w: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143,984,940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December 11, 2017</w:t>
            </w:r>
          </w:p>
        </w:tc>
        <w:tc>
          <w:tcPr>
            <w:tcW w:w="220" w:type="dxa"/>
            <w:vAlign w:val="bottom"/>
          </w:tcPr>
          <w:p>
            <w:pPr>
              <w:spacing w:after="0"/>
              <w:rPr>
                <w:sz w:val="24"/>
                <w:szCs w:val="24"/>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340" w:type="dxa"/>
            <w:vAlign w:val="bottom"/>
            <w:gridSpan w:val="2"/>
          </w:tcPr>
          <w:p>
            <w:pPr>
              <w:jc w:val="right"/>
              <w:ind w:right="94"/>
              <w:spacing w:after="0" w:line="297" w:lineRule="exact"/>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710,160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tcPr>
          <w:p>
            <w:pPr>
              <w:spacing w:after="0"/>
              <w:rPr>
                <w:sz w:val="18"/>
                <w:szCs w:val="18"/>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tcPr>
          <w:p>
            <w:pPr>
              <w:spacing w:after="0"/>
              <w:rPr>
                <w:sz w:val="18"/>
                <w:szCs w:val="18"/>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15, 2020</w:t>
            </w:r>
          </w:p>
        </w:tc>
        <w:tc>
          <w:tcPr>
            <w:tcW w:w="220" w:type="dxa"/>
            <w:vAlign w:val="bottom"/>
          </w:tcPr>
          <w:p>
            <w:pPr>
              <w:spacing w:after="0"/>
              <w:rPr>
                <w:sz w:val="18"/>
                <w:szCs w:val="18"/>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340" w:type="dxa"/>
            <w:vAlign w:val="bottom"/>
            <w:gridSpan w:val="2"/>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April 27, 2022</w:t>
            </w:r>
          </w:p>
        </w:tc>
        <w:tc>
          <w:tcPr>
            <w:tcW w:w="220" w:type="dxa"/>
            <w:vAlign w:val="bottom"/>
          </w:tcPr>
          <w:p>
            <w:pPr>
              <w:spacing w:after="0"/>
              <w:rPr>
                <w:sz w:val="24"/>
                <w:szCs w:val="24"/>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75,000</w:t>
            </w:r>
            <w:r>
              <w:rPr>
                <w:rFonts w:ascii="Times New Roman" w:cs="Times New Roman" w:eastAsia="Times New Roman" w:hAnsi="Times New Roman"/>
                <w:sz w:val="26"/>
                <w:szCs w:val="26"/>
                <w:color w:val="auto"/>
                <w:vertAlign w:val="superscript"/>
              </w:rPr>
              <w:t>(5)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October 16, 2019</w:t>
            </w: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 2022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27, 2022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340" w:type="dxa"/>
            <w:vAlign w:val="bottom"/>
            <w:gridSpan w:val="2"/>
            <w:shd w:val="clear" w:color="auto" w:fill="CCEEFF"/>
          </w:tcPr>
          <w:p>
            <w:pPr>
              <w:jc w:val="right"/>
              <w:ind w:right="9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or PSUs, as applicable, granted pursuant to our 2015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Plans—2015 Stock Plan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$29.59 as of December 31, 2022 as determined by our board of directors, multiplied by the amount shown in the column “Stock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Number of Shares or Units of Stock that Have Not Vested.”</w:t>
      </w:r>
    </w:p>
    <w:p>
      <w:pPr>
        <w:jc w:val="both"/>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PSUs vest on the one-year anniversary of the vesting commencement date and 1/12 of the remaining PSUs vest quarterly thereafter, provided that the recipient remains in continuous service with us through each vesting date, and subject to the earlier to occur of (i) the consummation of this offering and (ii) a change in control of our company, which we refer to as a Liquidity Event. These PSUs shall only become settleable into our common stock if, on the date on which such Liquidity Event occurs, the valuation of our company equals or exceeds $6 billion, as determined by our board of directors in its sole discretion.</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8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2024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Plans—2024 Equity Incentive Plan.”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January 2023, 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January 2022. Mr. Lefkofsky’s employment agreement provides for an annual base salary of $0,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the event of a Change in Control (as defined in our 2015 Plan), 100% of Mr. Lefkofsky’s then-unvested equity will immediately accelerate, vest and become exercisable.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2023. Mr. Rogers’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 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2023. Mr. Fukushima’s employment agreement provides for an annual base salary of $375,000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board of directors intends to adopt the 2024 Equity Incentive Plan, or the 2024 Plan, that will become effective on the date of the underwriting agreement related to this offering. Our 2024 Plan will come into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existence upon its adoption by our board of directors, but no grants will be made under our 2024 Plan prior to its effectiveness. Once our 2024 Plan becomes effective, no further grants will be made under our 2015 Plan.</w:t>
      </w:r>
    </w:p>
    <w:p>
      <w:pPr>
        <w:spacing w:after="0" w:line="16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Authorized Shares</w:t>
      </w:r>
      <w:r>
        <w:rPr>
          <w:rFonts w:ascii="Times New Roman" w:cs="Times New Roman" w:eastAsia="Times New Roman" w:hAnsi="Times New Roman"/>
          <w:sz w:val="16"/>
          <w:szCs w:val="16"/>
          <w:color w:val="auto"/>
        </w:rPr>
        <w:t>. The maximum number of shares of our Class A common stock that may be issued under our 2024 Plan is 10,000,000 shares of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Class A common stock. The number of shares of our Class A common stock reserved for issuance under our 2024 Plan will automatically increase on January 1 of each year, beginning on January 1, 2023, and continuing through and including January 1, 2032, by 3% of the aggregate number of shares of common stock (both Class A and Class B) outstanding on December 31 of the preceding calendar year, or a lesser number of shares determined by our board of directors prior to the applicable January 1. The maximum number of shares that may be issued upon the exercise of ISOs under our 2024 Plan is 30,000,000 shares.</w:t>
      </w:r>
    </w:p>
    <w:p>
      <w:pPr>
        <w:spacing w:after="0" w:line="15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2024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14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9"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2024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2024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9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2024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2024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1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2023 and continuing through and including January 1, 2032, by the lesser of (1) 2% of the aggregate number of shares of common stock (both Class A and Class B) outstanding on December 31 of the preceding calendar year, (2) 6,000,000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The implementation of the ESPP and the terms of the offerings thereunder, if any, will be in the discretion of the administrator. The administrator does not currently have any intention to make offerings available under the ESPP.</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July 2023.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September 30, 2023, there were 16,339,419 shares of common stock issuable upon the vesting and settlement of RSUs and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2015 Plan, there were 4,250,000 shares of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1,098,364 shares of common stock were available for future issuance under the 2015 Plan. In February 2022 and April 2023, we increased the share reserve under the 2015 plan by 3,000,000 shares, respectively.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7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78" w:lineRule="exact"/>
        <w:rPr>
          <w:sz w:val="20"/>
          <w:szCs w:val="20"/>
          <w:color w:val="auto"/>
        </w:rPr>
      </w:pPr>
    </w:p>
    <w:p>
      <w:pPr>
        <w:ind w:left="1000" w:hanging="549"/>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also granted Performance-Vesting Restricted Stock Unit awards, or PSUs, which include both a Liquidity Event vesting requirement and a performance-vesting condition. Like the RSU awards, the Liquidity Event requirement of the PSUs will be satisfied on the Liquidity Event Date. The performance-vesting condition of the PSUs will be satisfied in full, if, on the Liquidity Event Date, the total enterprise valuation of the company equals or exceeds $6 billion, subject to certain adjustments as described in the 2015 Plan.</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89" w:lineRule="exact"/>
        <w:rPr>
          <w:sz w:val="20"/>
          <w:szCs w:val="20"/>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2020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From February through April 2020, we sold an aggregate of 2,537,290 shares of our Series G convertible preferred stock at a price per share of $38.3524, for an aggregate purchase price of approximately $97.3 million in private placements to accredited investors. During this period, we issued a total of 2,667,660 shares of our Series G convertible preferred stock, of which 130,370 shares of our Series G convertible preferred stock were repurchased from Tempus Series G Investments, LLC at the original issue price per share, for an aggregate repurchase price of approximately $5.0 million, in order to accommodate the issuance and sale of shares of our Series G convertible preferred stock to an additional purchaser. The table below sets forth the number of shares of our Series G convertible preferred stock purchased by our executive officers, directors, holders of more than 5% of our capital stock and their affiliated entities or immediate family members. Each share of Series G convertible preferred stock will automatically convert into one share of our Class A common stock upon the closing of this offering. The holders of our Series G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7"/>
              </w:rPr>
              <w:t>of Series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6100" w:type="dxa"/>
            <w:vAlign w:val="bottom"/>
            <w:vMerge w:val="restart"/>
          </w:tcPr>
          <w:p>
            <w:pPr>
              <w:spacing w:after="0"/>
              <w:rPr>
                <w:sz w:val="18"/>
                <w:szCs w:val="18"/>
                <w:color w:val="auto"/>
              </w:rPr>
            </w:pPr>
          </w:p>
        </w:tc>
        <w:tc>
          <w:tcPr>
            <w:tcW w:w="146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G Shares</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Purchase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6100" w:type="dxa"/>
            <w:vAlign w:val="bottom"/>
            <w:vMerge w:val="continue"/>
          </w:tcPr>
          <w:p>
            <w:pPr>
              <w:spacing w:after="0"/>
              <w:rPr>
                <w:sz w:val="20"/>
                <w:szCs w:val="20"/>
                <w:color w:val="auto"/>
              </w:rPr>
            </w:pPr>
          </w:p>
        </w:tc>
        <w:tc>
          <w:tcPr>
            <w:tcW w:w="146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4"/>
              </w:rPr>
              <w:t>Price</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Innovation Group Investors, L.P. – 2011 Series</w:t>
            </w:r>
            <w:r>
              <w:rPr>
                <w:rFonts w:ascii="Times New Roman" w:cs="Times New Roman" w:eastAsia="Times New Roman" w:hAnsi="Times New Roman"/>
                <w:sz w:val="22"/>
                <w:szCs w:val="22"/>
                <w:color w:val="auto"/>
                <w:vertAlign w:val="superscript"/>
              </w:rPr>
              <w:t>(1)</w:t>
            </w:r>
          </w:p>
        </w:tc>
        <w:tc>
          <w:tcPr>
            <w:tcW w:w="780" w:type="dxa"/>
            <w:vAlign w:val="bottom"/>
            <w:tcBorders>
              <w:top w:val="single" w:sz="8" w:color="auto"/>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w w:val="92"/>
              </w:rPr>
              <w:t>130,370</w:t>
            </w:r>
          </w:p>
        </w:tc>
        <w:tc>
          <w:tcPr>
            <w:tcW w:w="6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$ 5,000,000.63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New Enterprise Associates 16, L.P.</w:t>
            </w:r>
            <w:r>
              <w:rPr>
                <w:rFonts w:ascii="Times New Roman" w:cs="Times New Roman" w:eastAsia="Times New Roman" w:hAnsi="Times New Roman"/>
                <w:sz w:val="24"/>
                <w:szCs w:val="24"/>
                <w:color w:val="auto"/>
                <w:vertAlign w:val="superscript"/>
              </w:rPr>
              <w:t>(2)</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182,517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6,999,962.52</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Novo Holdings A/S</w:t>
            </w:r>
            <w:r>
              <w:rPr>
                <w:rFonts w:ascii="Times New Roman" w:cs="Times New Roman" w:eastAsia="Times New Roman" w:hAnsi="Times New Roman"/>
                <w:sz w:val="24"/>
                <w:szCs w:val="24"/>
                <w:color w:val="auto"/>
                <w:vertAlign w:val="superscript"/>
              </w:rPr>
              <w:t>(3)</w:t>
            </w:r>
          </w:p>
        </w:tc>
        <w:tc>
          <w:tcPr>
            <w:tcW w:w="14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260,739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9,999,962.90</w:t>
            </w:r>
          </w:p>
        </w:tc>
        <w:tc>
          <w:tcPr>
            <w:tcW w:w="0" w:type="dxa"/>
            <w:vAlign w:val="bottom"/>
          </w:tcPr>
          <w:p>
            <w:pPr>
              <w:spacing w:after="0"/>
              <w:rPr>
                <w:sz w:val="1"/>
                <w:szCs w:val="1"/>
                <w:color w:val="auto"/>
              </w:rPr>
            </w:pPr>
          </w:p>
        </w:tc>
      </w:tr>
      <w:tr>
        <w:trPr>
          <w:trHeight w:val="34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Tempus Series G Investments, LLC</w:t>
            </w:r>
            <w:r>
              <w:rPr>
                <w:rFonts w:ascii="Times New Roman" w:cs="Times New Roman" w:eastAsia="Times New Roman" w:hAnsi="Times New Roman"/>
                <w:sz w:val="26"/>
                <w:szCs w:val="26"/>
                <w:color w:val="auto"/>
                <w:vertAlign w:val="superscript"/>
              </w:rPr>
              <w:t>(1)</w:t>
            </w: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451,378</w:t>
            </w:r>
            <w:r>
              <w:rPr>
                <w:rFonts w:ascii="Times New Roman" w:cs="Times New Roman" w:eastAsia="Times New Roman" w:hAnsi="Times New Roman"/>
                <w:sz w:val="26"/>
                <w:szCs w:val="26"/>
                <w:color w:val="auto"/>
                <w:vertAlign w:val="superscript"/>
              </w:rPr>
              <w:t>(4)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17,311,426.08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line="253"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Innovation Group Investors, L.P. – 2011 Series and Tempus Series G Investments, LLC is affiliated with and controlled by Eric Lefkofsky, our Chief Executive Officer, Founder and Chairman.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J. Barris, a member of our board of directors, served as a Managing General Partner at NEA at the time of this transaction.</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Tempus Series G Investments, LLC purchased an aggregate of 451,378 shares of our Series G convertible preferred stock, of which 130,370 shares were repurchased by us in April 2020. See the section titled “—Repurchases of Equity Securities—Redemptions of Preferred Stock” below. As a result, Tempus Series G Investments, LLC currently owns 321,008 shares of our Series G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A/S</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 Media, LLC</w:t>
            </w:r>
            <w:r>
              <w:rPr>
                <w:rFonts w:ascii="Times New Roman" w:cs="Times New Roman" w:eastAsia="Times New Roman" w:hAnsi="Times New Roman"/>
                <w:sz w:val="26"/>
                <w:szCs w:val="26"/>
                <w:color w:val="auto"/>
                <w:vertAlign w:val="superscript"/>
              </w:rPr>
              <w:t>(2)</w:t>
            </w:r>
          </w:p>
        </w:tc>
        <w:tc>
          <w:tcPr>
            <w:tcW w:w="18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130,876</w:t>
            </w:r>
            <w:r>
              <w:rPr>
                <w:rFonts w:ascii="Times New Roman" w:cs="Times New Roman" w:eastAsia="Times New Roman" w:hAnsi="Times New Roman"/>
                <w:sz w:val="26"/>
                <w:szCs w:val="26"/>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Novo Growth at Novo Holdings A/S.</w:t>
      </w:r>
    </w:p>
    <w:p>
      <w:pPr>
        <w:spacing w:after="0" w:line="20"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ind w:firstLine="454"/>
        <w:spacing w:after="0" w:line="282" w:lineRule="auto"/>
        <w:rPr>
          <w:sz w:val="20"/>
          <w:szCs w:val="20"/>
          <w:color w:val="auto"/>
        </w:rPr>
      </w:pPr>
      <w:r>
        <w:rPr>
          <w:rFonts w:ascii="Times New Roman" w:cs="Times New Roman" w:eastAsia="Times New Roman" w:hAnsi="Times New Roman"/>
          <w:sz w:val="16"/>
          <w:szCs w:val="16"/>
          <w:color w:val="auto"/>
        </w:rPr>
        <w:t>In April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 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90% of the public offering price in this offering (or, if this offering is completed after June 30, 2023, 85% of the public offering price in this offering). The holders of our G-3 convertible preferred stock listed below are entitled to specified registration rights. See the section titled “Description of Capital Stock—Registration Rights” for additional information regarding these registration rights.</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00" w:type="dxa"/>
            <w:vAlign w:val="bottom"/>
            <w:vMerge w:val="restart"/>
          </w:tcPr>
          <w:p>
            <w:pPr>
              <w:spacing w:after="0"/>
              <w:rPr>
                <w:sz w:val="18"/>
                <w:szCs w:val="18"/>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00" w:type="dxa"/>
            <w:vAlign w:val="bottom"/>
            <w:vMerge w:val="continue"/>
          </w:tcPr>
          <w:p>
            <w:pPr>
              <w:spacing w:after="0"/>
              <w:rPr>
                <w:sz w:val="20"/>
                <w:szCs w:val="20"/>
                <w:color w:val="auto"/>
              </w:rPr>
            </w:pPr>
          </w:p>
        </w:tc>
        <w:tc>
          <w:tcPr>
            <w:tcW w:w="224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61,074</w:t>
            </w:r>
          </w:p>
        </w:tc>
        <w:tc>
          <w:tcPr>
            <w:tcW w:w="9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  3,499,961.61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918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5" w:lineRule="exact"/>
        <w:rPr>
          <w:sz w:val="20"/>
          <w:szCs w:val="20"/>
          <w:color w:val="auto"/>
        </w:rPr>
      </w:pPr>
    </w:p>
    <w:p>
      <w:pPr>
        <w:ind w:left="460" w:hanging="455"/>
        <w:spacing w:after="0"/>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$0.8 million remains to be amortized. We currently sublease a portion of this office space to Lightbank LLC, Lefkofsky Family Foundation and 346 Investment Partners, each an entity affiliated with and controlled by Mr. Lefkofsky, on a month-to-month basis. As of September 30, 2023, we have received an aggregate of $0.6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September 30, 2023,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In March 2022, Pathos paid us its first annual subscription fee of $0.4 million. As of the date of this prospectus, we have not exercised the warrant to purchase shares of Pathos common stock.</w:t>
      </w:r>
    </w:p>
    <w:p>
      <w:pPr>
        <w:spacing w:after="0" w:line="37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2023, we and Pathos entered into a statement of work for a fee of less than $0.1 million under the master agreement pursuant to which Tempus Compass will perform certain services in accordance with written statements of work entered into from time-to-time.</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2020, we repurchased an aggregate of 190,639 shares of voting common stock from the Lefkofsky Family Foundation, an organization affiliated with Eric Lefkofsky, for a total purchase price of approximately $7.3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from April 2020 to February 2021, we repurchased an aggregate of 2,007,569 shares of various series of convertible preferred stock from entities affiliated with and controlled by Eric Lefkofsky at the original issue price for a total purchase price of approximately $26.9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November 6, 2023 by:</w:t>
      </w:r>
    </w:p>
    <w:p>
      <w:pPr>
        <w:spacing w:after="0" w:line="121" w:lineRule="exact"/>
        <w:rPr>
          <w:sz w:val="20"/>
          <w:szCs w:val="20"/>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5,374,899 shares of Class B common stock outstanding as of , after giving effect to the Series G-4 Financing and assuming the automatic conversion of all outstanding shares of our redeemable convertible preferred stock, other than our Series B preferred stock, into shares of Class A common stock, assuming an initial public offering price of $ per share, the midpoint of the estimated price range set forth on the cover page of this prospectus, the issuance of Additional</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Class A Conversion Shares assuming an initial public offering price of $ per share, the midpoint of the estimated price range set forth on the cover page of this prospectus, the conversion of all outstanding shares of our Series B convertible preferred stock into 5,374,899 shares of Class B common stock, and the automatic conversion of all outstanding shares of our nonvoting common stock into 4,917,823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Applicable percentage ownership after this offering assumes that the underwriters’ option to purchase additional shares to cover over-allotments, if any,</w:t>
      </w:r>
    </w:p>
    <w:p>
      <w:pPr>
        <w:spacing w:after="0" w:line="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from the selling stockholders is not exercised is based on (1) shares of Class A common stock and (2) 5,374,899 shares of Class B common stock outstanding immediately after the closing of this offering. Applicable percentage ownership after this offering if the underwriters’ option to purchase additional</w:t>
      </w:r>
    </w:p>
    <w:p>
      <w:pPr>
        <w:spacing w:after="0"/>
        <w:tabs>
          <w:tab w:leader="none" w:pos="8640" w:val="left"/>
        </w:tabs>
        <w:rPr>
          <w:sz w:val="20"/>
          <w:szCs w:val="20"/>
          <w:color w:val="auto"/>
        </w:rPr>
      </w:pPr>
      <w:r>
        <w:rPr>
          <w:rFonts w:ascii="Times New Roman" w:cs="Times New Roman" w:eastAsia="Times New Roman" w:hAnsi="Times New Roman"/>
          <w:sz w:val="18"/>
          <w:szCs w:val="18"/>
          <w:color w:val="auto"/>
        </w:rPr>
        <w:t>shares to cover over-allotments, if any, from the selling stockholders is exercised in full is based on (1)</w:t>
      </w:r>
      <w:r>
        <w:rPr>
          <w:sz w:val="20"/>
          <w:szCs w:val="20"/>
          <w:color w:val="auto"/>
        </w:rPr>
        <w:tab/>
      </w:r>
      <w:r>
        <w:rPr>
          <w:rFonts w:ascii="Times New Roman" w:cs="Times New Roman" w:eastAsia="Times New Roman" w:hAnsi="Times New Roman"/>
          <w:sz w:val="18"/>
          <w:szCs w:val="18"/>
          <w:color w:val="auto"/>
        </w:rPr>
        <w:t>shares of Class A common stock and</w:t>
      </w:r>
    </w:p>
    <w:p>
      <w:pPr>
        <w:spacing w:after="0" w:line="3" w:lineRule="exact"/>
        <w:rPr>
          <w:sz w:val="20"/>
          <w:szCs w:val="20"/>
          <w:color w:val="auto"/>
        </w:rPr>
      </w:pPr>
    </w:p>
    <w:p>
      <w:pPr>
        <w:jc w:val="both"/>
        <w:ind w:firstLine="5"/>
        <w:spacing w:after="0" w:line="244" w:lineRule="auto"/>
        <w:tabs>
          <w:tab w:leader="none" w:pos="2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September 30, 2023. However, except as described above, we did not deem such shares outstanding for the purpose of computing the percentage ownership of any other person.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Name of Beneficial</w:t>
      </w:r>
    </w:p>
    <w:p>
      <w:pPr>
        <w:spacing w:after="0" w:line="1"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6"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ind w:left="140" w:right="540" w:hanging="139"/>
        <w:spacing w:after="0" w:line="215" w:lineRule="auto"/>
        <w:rPr>
          <w:sz w:val="20"/>
          <w:szCs w:val="20"/>
          <w:color w:val="auto"/>
        </w:rPr>
      </w:pPr>
      <w:r>
        <w:rPr>
          <w:rFonts w:ascii="Times New Roman" w:cs="Times New Roman" w:eastAsia="Times New Roman" w:hAnsi="Times New Roman"/>
          <w:sz w:val="14"/>
          <w:szCs w:val="14"/>
          <w:b w:val="1"/>
          <w:bCs w:val="1"/>
          <w:color w:val="auto"/>
        </w:rPr>
        <w:t>Other Directors and Named 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(3)</w:t>
      </w:r>
    </w:p>
    <w:p>
      <w:pPr>
        <w:spacing w:after="0" w:line="216" w:lineRule="auto"/>
        <w:rPr>
          <w:sz w:val="20"/>
          <w:szCs w:val="20"/>
          <w:color w:val="auto"/>
        </w:rPr>
      </w:pPr>
      <w:r>
        <w:rPr>
          <w:rFonts w:ascii="Times New Roman" w:cs="Times New Roman" w:eastAsia="Times New Roman" w:hAnsi="Times New Roman"/>
          <w:sz w:val="14"/>
          <w:szCs w:val="14"/>
          <w:color w:val="auto"/>
        </w:rPr>
        <w:t>Vanessa Rollings</w:t>
      </w:r>
      <w:r>
        <w:rPr>
          <w:rFonts w:ascii="Times New Roman" w:cs="Times New Roman" w:eastAsia="Times New Roman" w:hAnsi="Times New Roman"/>
          <w:sz w:val="10"/>
          <w:szCs w:val="10"/>
          <w:color w:val="auto"/>
        </w:rPr>
        <w:t>(4)</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(5)</w:t>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6"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(6)</w:t>
      </w:r>
    </w:p>
    <w:p>
      <w:pPr>
        <w:spacing w:after="0" w:line="215"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15"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(8)</w:t>
      </w:r>
    </w:p>
    <w:p>
      <w:pPr>
        <w:spacing w:after="0" w:line="216" w:lineRule="auto"/>
        <w:rPr>
          <w:sz w:val="20"/>
          <w:szCs w:val="20"/>
          <w:color w:val="auto"/>
        </w:rPr>
      </w:pPr>
      <w:r>
        <w:rPr>
          <w:rFonts w:ascii="Times New Roman" w:cs="Times New Roman" w:eastAsia="Times New Roman" w:hAnsi="Times New Roman"/>
          <w:sz w:val="14"/>
          <w:szCs w:val="14"/>
          <w:color w:val="auto"/>
        </w:rPr>
        <w:t>Theodore J. Leonsis</w:t>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(9)</w:t>
      </w:r>
    </w:p>
    <w:p>
      <w:pPr>
        <w:spacing w:after="0" w:line="72" w:lineRule="exact"/>
        <w:rPr>
          <w:sz w:val="20"/>
          <w:szCs w:val="20"/>
          <w:color w:val="auto"/>
        </w:rPr>
      </w:pPr>
    </w:p>
    <w:p>
      <w:pPr>
        <w:ind w:left="140" w:hanging="139"/>
        <w:spacing w:after="0" w:line="227" w:lineRule="auto"/>
        <w:rPr>
          <w:sz w:val="20"/>
          <w:szCs w:val="20"/>
          <w:color w:val="auto"/>
        </w:rPr>
      </w:pPr>
      <w:r>
        <w:rPr>
          <w:rFonts w:ascii="Times New Roman" w:cs="Times New Roman" w:eastAsia="Times New Roman" w:hAnsi="Times New Roman"/>
          <w:sz w:val="14"/>
          <w:szCs w:val="14"/>
          <w:color w:val="auto"/>
        </w:rPr>
        <w:t>All directors and executive officers as a group (12 persons)</w:t>
      </w:r>
      <w:r>
        <w:rPr>
          <w:rFonts w:ascii="Times New Roman" w:cs="Times New Roman" w:eastAsia="Times New Roman" w:hAnsi="Times New Roman"/>
          <w:sz w:val="10"/>
          <w:szCs w:val="10"/>
          <w:color w:val="auto"/>
        </w:rPr>
        <w:t>(10)</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 Full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0"/>
                <w:szCs w:val="10"/>
                <w:color w:val="auto"/>
              </w:rPr>
            </w:pP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Stock Being</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183515</wp:posOffset>
            </wp:positionV>
            <wp:extent cx="7197725" cy="914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458470</wp:posOffset>
            </wp:positionV>
            <wp:extent cx="7197725" cy="914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641985</wp:posOffset>
            </wp:positionV>
            <wp:extent cx="7197725" cy="914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825500</wp:posOffset>
            </wp:positionV>
            <wp:extent cx="7197725" cy="914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1009015</wp:posOffset>
            </wp:positionV>
            <wp:extent cx="7197725" cy="914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1191895</wp:posOffset>
            </wp:positionV>
            <wp:extent cx="7197725" cy="914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1442085</wp:posOffset>
            </wp:positionV>
            <wp:extent cx="7197725" cy="1835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-7620</wp:posOffset>
            </wp:positionV>
            <wp:extent cx="7197725" cy="1003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2878" w:lineRule="exact"/>
        <w:rPr>
          <w:sz w:val="20"/>
          <w:szCs w:val="20"/>
          <w:color w:val="auto"/>
        </w:rPr>
      </w:pPr>
    </w:p>
    <w:p>
      <w:pPr>
        <w:sectPr>
          <w:pgSz w:w="11900" w:h="16838" w:orient="portrait"/>
          <w:cols w:equalWidth="0" w:num="2">
            <w:col w:w="2220" w:space="220"/>
            <w:col w:w="8900"/>
          </w:cols>
          <w:pgMar w:left="320" w:top="448" w:right="239" w:bottom="1440" w:gutter="0" w:footer="0" w:header="0"/>
          <w:type w:val="continuous"/>
        </w:sectPr>
      </w:pPr>
    </w:p>
    <w:p>
      <w:pPr>
        <w:ind w:left="460" w:hanging="455"/>
        <w:spacing w:after="0"/>
        <w:tabs>
          <w:tab w:leader="none" w:pos="46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ind w:left="460" w:hanging="455"/>
        <w:spacing w:after="0" w:line="215" w:lineRule="auto"/>
        <w:tabs>
          <w:tab w:leader="none" w:pos="46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w:t>
      </w:r>
    </w:p>
    <w:tbl>
      <w:tblPr>
        <w:tblLayout w:type="fixed"/>
        <w:tblInd w:w="0" w:type="dxa"/>
        <w:tblCellMar>
          <w:top w:w="0" w:type="dxa"/>
          <w:left w:w="0" w:type="dxa"/>
          <w:bottom w:w="0" w:type="dxa"/>
          <w:right w:w="0" w:type="dxa"/>
        </w:tblCellMar>
      </w:tblPr>
      <w:tr>
        <w:trPr>
          <w:trHeight w:val="129"/>
        </w:trPr>
        <w:tc>
          <w:tcPr>
            <w:tcW w:w="3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rPr>
              <w:t>entitled to</w:t>
            </w:r>
          </w:p>
        </w:tc>
        <w:tc>
          <w:tcPr>
            <w:tcW w:w="180" w:type="dxa"/>
            <w:vAlign w:val="bottom"/>
          </w:tcPr>
          <w:p>
            <w:pPr>
              <w:spacing w:after="0"/>
              <w:rPr>
                <w:sz w:val="11"/>
                <w:szCs w:val="11"/>
                <w:color w:val="auto"/>
              </w:rPr>
            </w:pPr>
          </w:p>
        </w:tc>
        <w:tc>
          <w:tcPr>
            <w:tcW w:w="10060" w:type="dxa"/>
            <w:vAlign w:val="bottom"/>
            <w:gridSpan w:val="9"/>
          </w:tcPr>
          <w:p>
            <w:pPr>
              <w:jc w:val="right"/>
              <w:spacing w:after="0" w:line="129" w:lineRule="exact"/>
              <w:rPr>
                <w:sz w:val="20"/>
                <w:szCs w:val="20"/>
                <w:color w:val="auto"/>
              </w:rPr>
            </w:pPr>
            <w:r>
              <w:rPr>
                <w:rFonts w:ascii="Times New Roman" w:cs="Times New Roman" w:eastAsia="Times New Roman" w:hAnsi="Times New Roman"/>
                <w:sz w:val="14"/>
                <w:szCs w:val="14"/>
                <w:color w:val="auto"/>
              </w:rPr>
              <w:t>votes per share, and holders of our Class A common stock are entitled to one vote per share. See the section titled “Description of Capital Stock—Class A Common Stock and</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(1)</w:t>
            </w:r>
          </w:p>
        </w:tc>
        <w:tc>
          <w:tcPr>
            <w:tcW w:w="7160" w:type="dxa"/>
            <w:vAlign w:val="bottom"/>
            <w:gridSpan w:val="8"/>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B Common Stock” for additional information about the voting rights of our Class A and Class B common stock.</w:t>
            </w:r>
          </w:p>
        </w:tc>
        <w:tc>
          <w:tcPr>
            <w:tcW w:w="3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held by Gray Media, LLC,</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26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Prior to this offering, consists of (a)</w:t>
            </w:r>
          </w:p>
        </w:tc>
        <w:tc>
          <w:tcPr>
            <w:tcW w:w="4520" w:type="dxa"/>
            <w:vAlign w:val="bottom"/>
            <w:gridSpan w:val="5"/>
          </w:tcPr>
          <w:p>
            <w:pPr>
              <w:ind w:left="40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(b)</w:t>
            </w:r>
          </w:p>
        </w:tc>
        <w:tc>
          <w:tcPr>
            <w:tcW w:w="3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w:t>
            </w:r>
          </w:p>
        </w:tc>
        <w:tc>
          <w:tcPr>
            <w:tcW w:w="5380" w:type="dxa"/>
            <w:vAlign w:val="bottom"/>
            <w:gridSpan w:val="6"/>
          </w:tcPr>
          <w:p>
            <w:pPr>
              <w:jc w:val="center"/>
              <w:ind w:right="17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-Series 3, (d)</w:t>
            </w:r>
          </w:p>
        </w:tc>
        <w:tc>
          <w:tcPr>
            <w:tcW w:w="48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-Series</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1B, (e)</w:t>
            </w:r>
          </w:p>
        </w:tc>
        <w:tc>
          <w:tcPr>
            <w:tcW w:w="180" w:type="dxa"/>
            <w:vAlign w:val="bottom"/>
          </w:tcPr>
          <w:p>
            <w:pPr>
              <w:spacing w:after="0"/>
              <w:rPr>
                <w:sz w:val="12"/>
                <w:szCs w:val="12"/>
                <w:color w:val="auto"/>
              </w:rPr>
            </w:pPr>
          </w:p>
        </w:tc>
        <w:tc>
          <w:tcPr>
            <w:tcW w:w="5200" w:type="dxa"/>
            <w:vAlign w:val="bottom"/>
            <w:gridSpan w:val="5"/>
          </w:tcPr>
          <w:p>
            <w:pPr>
              <w:ind w:left="34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(f)</w:t>
            </w:r>
          </w:p>
        </w:tc>
        <w:tc>
          <w:tcPr>
            <w:tcW w:w="48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A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(g)</w:t>
            </w:r>
          </w:p>
        </w:tc>
        <w:tc>
          <w:tcPr>
            <w:tcW w:w="180" w:type="dxa"/>
            <w:vAlign w:val="bottom"/>
          </w:tcPr>
          <w:p>
            <w:pPr>
              <w:spacing w:after="0"/>
              <w:rPr>
                <w:sz w:val="12"/>
                <w:szCs w:val="12"/>
                <w:color w:val="auto"/>
              </w:rPr>
            </w:pPr>
          </w:p>
        </w:tc>
        <w:tc>
          <w:tcPr>
            <w:tcW w:w="4800" w:type="dxa"/>
            <w:vAlign w:val="bottom"/>
            <w:gridSpan w:val="4"/>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B common stock held by Tempus Series B Investments, LLC, (h)</w:t>
            </w:r>
          </w:p>
        </w:tc>
        <w:tc>
          <w:tcPr>
            <w:tcW w:w="400" w:type="dxa"/>
            <w:vAlign w:val="bottom"/>
          </w:tcPr>
          <w:p>
            <w:pPr>
              <w:spacing w:after="0"/>
              <w:rPr>
                <w:sz w:val="12"/>
                <w:szCs w:val="12"/>
                <w:color w:val="auto"/>
              </w:rPr>
            </w:pPr>
          </w:p>
        </w:tc>
        <w:tc>
          <w:tcPr>
            <w:tcW w:w="48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B-1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w:t>
            </w:r>
          </w:p>
        </w:tc>
        <w:tc>
          <w:tcPr>
            <w:tcW w:w="180" w:type="dxa"/>
            <w:vAlign w:val="bottom"/>
          </w:tcPr>
          <w:p>
            <w:pPr>
              <w:spacing w:after="0"/>
              <w:rPr>
                <w:sz w:val="12"/>
                <w:szCs w:val="12"/>
                <w:color w:val="auto"/>
              </w:rPr>
            </w:pPr>
          </w:p>
        </w:tc>
        <w:tc>
          <w:tcPr>
            <w:tcW w:w="520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B-2 Investments, LLC, (j)</w:t>
            </w:r>
          </w:p>
        </w:tc>
        <w:tc>
          <w:tcPr>
            <w:tcW w:w="48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C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(k)</w:t>
            </w:r>
          </w:p>
        </w:tc>
        <w:tc>
          <w:tcPr>
            <w:tcW w:w="180" w:type="dxa"/>
            <w:vAlign w:val="bottom"/>
          </w:tcPr>
          <w:p>
            <w:pPr>
              <w:spacing w:after="0"/>
              <w:rPr>
                <w:sz w:val="12"/>
                <w:szCs w:val="12"/>
                <w:color w:val="auto"/>
              </w:rPr>
            </w:pPr>
          </w:p>
        </w:tc>
        <w:tc>
          <w:tcPr>
            <w:tcW w:w="48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D Investments, LLC, (l)</w:t>
            </w:r>
          </w:p>
        </w:tc>
        <w:tc>
          <w:tcPr>
            <w:tcW w:w="400" w:type="dxa"/>
            <w:vAlign w:val="bottom"/>
          </w:tcPr>
          <w:p>
            <w:pPr>
              <w:spacing w:after="0"/>
              <w:rPr>
                <w:sz w:val="12"/>
                <w:szCs w:val="12"/>
                <w:color w:val="auto"/>
              </w:rPr>
            </w:pPr>
          </w:p>
        </w:tc>
        <w:tc>
          <w:tcPr>
            <w:tcW w:w="48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E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80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(m)</w:t>
            </w:r>
          </w:p>
        </w:tc>
        <w:tc>
          <w:tcPr>
            <w:tcW w:w="180" w:type="dxa"/>
            <w:vAlign w:val="bottom"/>
          </w:tcPr>
          <w:p>
            <w:pPr>
              <w:spacing w:after="0"/>
              <w:rPr>
                <w:sz w:val="12"/>
                <w:szCs w:val="12"/>
                <w:color w:val="auto"/>
              </w:rPr>
            </w:pPr>
          </w:p>
        </w:tc>
        <w:tc>
          <w:tcPr>
            <w:tcW w:w="5200" w:type="dxa"/>
            <w:vAlign w:val="bottom"/>
            <w:gridSpan w:val="5"/>
          </w:tcPr>
          <w:p>
            <w:pPr>
              <w:ind w:left="6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F Investments, LLC, and (n)</w:t>
            </w:r>
          </w:p>
        </w:tc>
        <w:tc>
          <w:tcPr>
            <w:tcW w:w="486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Tempus Series G Investments, LLC.</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Concurrently with, and contingent upon, the effectiveness of the registration statement of which this prospectus forms a part, shares of Class A common stock held by each of Tempus Series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B-1 Investments, LLC, Tempus Series B-2 Investments, LLC, Tempus Series C Investments, LLC, Tempus Series D Investments, LLC, Tempus Series 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Investments, LLC, Tempus Series F Investments, LLC and Tempus Series G Investments, LLC will be distributed pro rata to the members of each entity. Following the distributions, no other</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stockholder will be a beneficial owner of more than 5% of the company’s common stock. Mr. Lefkofsky’s beneficial ownership after the offering gives effect to the foregoing distributions, and</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8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consists of (i)</w:t>
            </w:r>
          </w:p>
        </w:tc>
        <w:tc>
          <w:tcPr>
            <w:tcW w:w="480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Blue Media, LLC, (ii)</w:t>
            </w:r>
          </w:p>
        </w:tc>
        <w:tc>
          <w:tcPr>
            <w:tcW w:w="37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Gray Media, LLC, (iii)</w:t>
            </w:r>
          </w:p>
        </w:tc>
        <w:tc>
          <w:tcPr>
            <w:tcW w:w="50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18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w w:val="98"/>
              </w:rPr>
              <w:t>common stock held by Innovation Group Investors, L.P. -Series 1B, (iv)</w:t>
            </w:r>
          </w:p>
        </w:tc>
        <w:tc>
          <w:tcPr>
            <w:tcW w:w="380" w:type="dxa"/>
            <w:vAlign w:val="bottom"/>
          </w:tcPr>
          <w:p>
            <w:pPr>
              <w:spacing w:after="0"/>
              <w:rPr>
                <w:sz w:val="12"/>
                <w:szCs w:val="12"/>
                <w:color w:val="auto"/>
              </w:rPr>
            </w:pPr>
          </w:p>
        </w:tc>
        <w:tc>
          <w:tcPr>
            <w:tcW w:w="5420" w:type="dxa"/>
            <w:vAlign w:val="bottom"/>
            <w:gridSpan w:val="5"/>
          </w:tcPr>
          <w:p>
            <w:pPr>
              <w:ind w:left="220"/>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-2011 Series, (v)</w:t>
            </w:r>
          </w:p>
        </w:tc>
        <w:tc>
          <w:tcPr>
            <w:tcW w:w="1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18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Class A common stock held by Lightbank Global LLC, (vi)</w:t>
            </w:r>
          </w:p>
        </w:tc>
        <w:tc>
          <w:tcPr>
            <w:tcW w:w="5300" w:type="dxa"/>
            <w:vAlign w:val="bottom"/>
            <w:gridSpan w:val="5"/>
          </w:tcPr>
          <w:p>
            <w:pPr>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w:t>
            </w:r>
          </w:p>
        </w:tc>
        <w:tc>
          <w:tcPr>
            <w:tcW w:w="15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B common</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stock held by Tempus Series B Investments, LLC. Mr. Lefkofsky is the controlling member of, and may be deemed to have shared voting, investment and dispositive power with respect to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11040" w:type="dxa"/>
            <w:vAlign w:val="bottom"/>
            <w:gridSpan w:val="11"/>
          </w:tcPr>
          <w:p>
            <w:pPr>
              <w:ind w:left="160"/>
              <w:spacing w:after="0" w:line="145" w:lineRule="exact"/>
              <w:rPr>
                <w:sz w:val="20"/>
                <w:szCs w:val="20"/>
                <w:color w:val="auto"/>
              </w:rPr>
            </w:pPr>
            <w:r>
              <w:rPr>
                <w:rFonts w:ascii="Times New Roman" w:cs="Times New Roman" w:eastAsia="Times New Roman" w:hAnsi="Times New Roman"/>
                <w:sz w:val="14"/>
                <w:szCs w:val="14"/>
                <w:color w:val="auto"/>
              </w:rPr>
              <w:t>shares held by, the aforementioned entities. On the date that is 181 days following the effective date of the registration statement of which this prospectus forms a part, Blue Media LLC, the</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56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controlling member of Tempus Series B Investments, LLC, will exchange</w:t>
            </w:r>
          </w:p>
        </w:tc>
        <w:tc>
          <w:tcPr>
            <w:tcW w:w="648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for all interests in Tempus Series B Investments, LLC such that following</w:t>
            </w: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998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the exchange, Mr. Lefkofsky will continue be the controlling member of, and may be deemed to have shared voting, investment and dispositive power with respect to the</w:t>
            </w:r>
          </w:p>
        </w:tc>
        <w:tc>
          <w:tcPr>
            <w:tcW w:w="10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418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Class B common stock held by, Tempus Series B Investments,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type w:val="continuous"/>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w:t>
            </w: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LLC. Mr. Lefkofsky also holds</w:t>
            </w:r>
          </w:p>
        </w:tc>
        <w:tc>
          <w:tcPr>
            <w:tcW w:w="5560" w:type="dxa"/>
            <w:vAlign w:val="bottom"/>
            <w:gridSpan w:val="4"/>
          </w:tcPr>
          <w:p>
            <w:pPr>
              <w:ind w:left="280"/>
              <w:spacing w:after="0"/>
              <w:rPr>
                <w:sz w:val="20"/>
                <w:szCs w:val="20"/>
                <w:color w:val="auto"/>
              </w:rPr>
            </w:pPr>
            <w:r>
              <w:rPr>
                <w:rFonts w:ascii="Times New Roman" w:cs="Times New Roman" w:eastAsia="Times New Roman" w:hAnsi="Times New Roman"/>
                <w:sz w:val="14"/>
                <w:szCs w:val="14"/>
                <w:color w:val="auto"/>
              </w:rPr>
              <w:t>RSUs, for which the service-based vesting condition would be satisfied within 60 days of</w:t>
            </w:r>
          </w:p>
        </w:tc>
        <w:tc>
          <w:tcPr>
            <w:tcW w:w="3300" w:type="dxa"/>
            <w:vAlign w:val="bottom"/>
          </w:tcPr>
          <w:p>
            <w:pPr>
              <w:jc w:val="right"/>
              <w:ind w:right="2570"/>
              <w:spacing w:after="0"/>
              <w:rPr>
                <w:sz w:val="20"/>
                <w:szCs w:val="20"/>
                <w:color w:val="auto"/>
              </w:rPr>
            </w:pPr>
            <w:r>
              <w:rPr>
                <w:rFonts w:ascii="Times New Roman" w:cs="Times New Roman" w:eastAsia="Times New Roman" w:hAnsi="Times New Roman"/>
                <w:sz w:val="14"/>
                <w:szCs w:val="14"/>
                <w:color w:val="auto"/>
              </w:rPr>
              <w:t>, 2023.</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Keeks, LLC. To our knowledge, Kimberly Keywell is the controlling shareholder of, and may be deemed to have shared voting,</w:t>
            </w:r>
          </w:p>
        </w:tc>
        <w:tc>
          <w:tcPr>
            <w:tcW w:w="0" w:type="dxa"/>
            <w:vAlign w:val="bottom"/>
          </w:tcPr>
          <w:p>
            <w:pPr>
              <w:spacing w:after="0"/>
              <w:rPr>
                <w:sz w:val="1"/>
                <w:szCs w:val="1"/>
                <w:color w:val="auto"/>
              </w:rPr>
            </w:pPr>
          </w:p>
        </w:tc>
      </w:tr>
      <w:tr>
        <w:trPr>
          <w:trHeight w:val="144"/>
        </w:trPr>
        <w:tc>
          <w:tcPr>
            <w:tcW w:w="340" w:type="dxa"/>
            <w:vAlign w:val="bottom"/>
          </w:tcPr>
          <w:p>
            <w:pPr>
              <w:spacing w:after="0"/>
              <w:rPr>
                <w:sz w:val="12"/>
                <w:szCs w:val="12"/>
                <w:color w:val="auto"/>
              </w:rPr>
            </w:pPr>
          </w:p>
        </w:tc>
        <w:tc>
          <w:tcPr>
            <w:tcW w:w="11000" w:type="dxa"/>
            <w:vAlign w:val="bottom"/>
            <w:gridSpan w:val="8"/>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 Ms. Keywell executed an irrevocable proxy and power of attorney providing that Bradley A.</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w:t>
            </w:r>
          </w:p>
        </w:tc>
        <w:tc>
          <w:tcPr>
            <w:tcW w:w="6980" w:type="dxa"/>
            <w:vAlign w:val="bottom"/>
            <w:gridSpan w:val="6"/>
          </w:tcPr>
          <w:p>
            <w:pPr>
              <w:ind w:left="120"/>
              <w:spacing w:after="0" w:line="145" w:lineRule="exact"/>
              <w:rPr>
                <w:sz w:val="20"/>
                <w:szCs w:val="20"/>
                <w:color w:val="auto"/>
              </w:rPr>
            </w:pPr>
            <w:r>
              <w:rPr>
                <w:rFonts w:ascii="Times New Roman" w:cs="Times New Roman" w:eastAsia="Times New Roman" w:hAnsi="Times New Roman"/>
                <w:sz w:val="14"/>
                <w:szCs w:val="14"/>
                <w:color w:val="auto"/>
              </w:rPr>
              <w:t>Keywell may vote and exercise all voting rights with respect to the shares of Class A common stock held by Keeks, LLC.</w:t>
            </w: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Rollings, for which the service-based vesting condition would be satisfied as of September 4,</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w:t>
            </w:r>
          </w:p>
        </w:tc>
        <w:tc>
          <w:tcPr>
            <w:tcW w:w="4000" w:type="dxa"/>
            <w:vAlign w:val="bottom"/>
            <w:gridSpan w:val="4"/>
          </w:tcPr>
          <w:p>
            <w:pPr>
              <w:ind w:left="120"/>
              <w:spacing w:after="0" w:line="145" w:lineRule="exact"/>
              <w:rPr>
                <w:sz w:val="20"/>
                <w:szCs w:val="20"/>
                <w:color w:val="auto"/>
              </w:rPr>
            </w:pPr>
            <w:r>
              <w:rPr>
                <w:rFonts w:ascii="Times New Roman" w:cs="Times New Roman" w:eastAsia="Times New Roman" w:hAnsi="Times New Roman"/>
                <w:sz w:val="14"/>
                <w:szCs w:val="14"/>
                <w:color w:val="auto"/>
              </w:rPr>
              <w:t>2021 pursuant to the terms of Ms. Rollings’ separation agreement.</w:t>
            </w: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tcPr>
          <w:p>
            <w:pPr>
              <w:spacing w:after="0"/>
              <w:rPr>
                <w:sz w:val="12"/>
                <w:szCs w:val="12"/>
                <w:color w:val="auto"/>
              </w:rPr>
            </w:pPr>
          </w:p>
        </w:tc>
        <w:tc>
          <w:tcPr>
            <w:tcW w:w="276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c>
          <w:tcPr>
            <w:tcW w:w="1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Doudna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Frederick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Gottlieb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9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Represents</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2023.</w:t>
            </w:r>
          </w:p>
        </w:tc>
        <w:tc>
          <w:tcPr>
            <w:tcW w:w="97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of</w:t>
            </w:r>
          </w:p>
        </w:tc>
        <w:tc>
          <w:tcPr>
            <w:tcW w:w="480" w:type="dxa"/>
            <w:vAlign w:val="bottom"/>
            <w:vMerge w:val="continue"/>
          </w:tcPr>
          <w:p>
            <w:pPr>
              <w:spacing w:after="0"/>
              <w:rPr>
                <w:sz w:val="12"/>
                <w:szCs w:val="12"/>
                <w:color w:val="auto"/>
              </w:rPr>
            </w:pPr>
          </w:p>
        </w:tc>
        <w:tc>
          <w:tcPr>
            <w:tcW w:w="2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 of Class A common stock, (b)</w:t>
            </w:r>
          </w:p>
        </w:tc>
        <w:tc>
          <w:tcPr>
            <w:tcW w:w="298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4"/>
                <w:szCs w:val="14"/>
                <w:color w:val="auto"/>
              </w:rPr>
              <w:t>shares of Class B common stock and (c)</w:t>
            </w:r>
          </w:p>
        </w:tc>
        <w:tc>
          <w:tcPr>
            <w:tcW w:w="4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shares of Class A common stock issuable upon the settlement of RSUs</w:t>
            </w:r>
          </w:p>
        </w:tc>
        <w:tc>
          <w:tcPr>
            <w:tcW w:w="0" w:type="dxa"/>
            <w:vAlign w:val="bottom"/>
          </w:tcPr>
          <w:p>
            <w:pPr>
              <w:spacing w:after="0"/>
              <w:rPr>
                <w:sz w:val="1"/>
                <w:szCs w:val="1"/>
                <w:color w:val="auto"/>
              </w:rPr>
            </w:pPr>
          </w:p>
        </w:tc>
      </w:tr>
      <w:tr>
        <w:trPr>
          <w:trHeight w:val="144"/>
        </w:trPr>
        <w:tc>
          <w:tcPr>
            <w:tcW w:w="340" w:type="dxa"/>
            <w:vAlign w:val="bottom"/>
            <w:vMerge w:val="continue"/>
          </w:tcPr>
          <w:p>
            <w:pPr>
              <w:spacing w:after="0"/>
              <w:rPr>
                <w:sz w:val="12"/>
                <w:szCs w:val="12"/>
                <w:color w:val="auto"/>
              </w:rPr>
            </w:pPr>
          </w:p>
        </w:tc>
        <w:tc>
          <w:tcPr>
            <w:tcW w:w="124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Consists of (a)</w:t>
            </w:r>
          </w:p>
        </w:tc>
        <w:tc>
          <w:tcPr>
            <w:tcW w:w="2760" w:type="dxa"/>
            <w:vAlign w:val="bottom"/>
            <w:gridSpan w:val="2"/>
            <w:vMerge w:val="continue"/>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4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0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w:t>
            </w:r>
          </w:p>
        </w:tc>
        <w:tc>
          <w:tcPr>
            <w:tcW w:w="1980" w:type="dxa"/>
            <w:vAlign w:val="bottom"/>
          </w:tcPr>
          <w:p>
            <w:pPr>
              <w:jc w:val="right"/>
              <w:ind w:right="1250"/>
              <w:spacing w:after="0"/>
              <w:rPr>
                <w:sz w:val="20"/>
                <w:szCs w:val="20"/>
                <w:color w:val="auto"/>
              </w:rPr>
            </w:pPr>
            <w:r>
              <w:rPr>
                <w:rFonts w:ascii="Times New Roman" w:cs="Times New Roman" w:eastAsia="Times New Roman" w:hAnsi="Times New Roman"/>
                <w:sz w:val="14"/>
                <w:szCs w:val="14"/>
                <w:color w:val="auto"/>
              </w:rPr>
              <w:t>, 2023.</w:t>
            </w:r>
          </w:p>
        </w:tc>
        <w:tc>
          <w:tcPr>
            <w:tcW w:w="7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w:t>
      </w:r>
    </w:p>
    <w:p>
      <w:pPr>
        <w:sectPr>
          <w:pgSz w:w="11900" w:h="16838" w:orient="portrait"/>
          <w:cols w:equalWidth="0" w:num="1">
            <w:col w:w="11340"/>
          </w:cols>
          <w:pgMar w:left="320" w:top="448" w:right="23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ind w:firstLine="932"/>
        <w:spacing w:after="0" w:line="250" w:lineRule="auto"/>
        <w:rPr>
          <w:sz w:val="20"/>
          <w:szCs w:val="20"/>
          <w:color w:val="auto"/>
        </w:rPr>
      </w:pPr>
      <w:r>
        <w:rPr>
          <w:rFonts w:ascii="Times New Roman" w:cs="Times New Roman" w:eastAsia="Times New Roman" w:hAnsi="Times New Roman"/>
          <w:sz w:val="18"/>
          <w:szCs w:val="18"/>
          <w:color w:val="auto"/>
        </w:rPr>
        <w:t>shares of Class A common stock, which gives effect to (1) the Series G-4 Financing, (2) the conversion of all outstanding shares of convertible preferred stock, other than Series B preferred stock, into shares of Class A common stock, including the issuance of the Additional Class A Conversion Shares (based on an assumed initial public offering price of $ per share, the midpoint of the estimated</w:t>
      </w:r>
    </w:p>
    <w:p>
      <w:pPr>
        <w:spacing w:after="0" w:line="1"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jc w:val="both"/>
        <w:ind w:left="1000"/>
        <w:spacing w:after="0" w:line="244" w:lineRule="auto"/>
        <w:rPr>
          <w:sz w:val="20"/>
          <w:szCs w:val="20"/>
          <w:color w:val="auto"/>
        </w:rPr>
      </w:pPr>
      <w:r>
        <w:rPr>
          <w:rFonts w:ascii="Times New Roman" w:cs="Times New Roman" w:eastAsia="Times New Roman" w:hAnsi="Times New Roman"/>
          <w:sz w:val="18"/>
          <w:szCs w:val="18"/>
          <w:color w:val="auto"/>
        </w:rPr>
        <w:t>price range set forth on the cover page of this prospectus), (3) the conversion of all outstanding shares of nonvoting common stock into 4,917,823 shares of Class A common stock, and (4) the issuance of approximately 13,388,209 shares of Class A common stock upon settlement of RSUs and PSUs for which the service-based vesting condition was satisfied on or before September 30, 2023 and for which the performance-based vesting condition will be satisfied in connection with this offering, which settlement will occur upon the expiration of the lock-up period in connection with this offering;</w:t>
      </w:r>
    </w:p>
    <w:p>
      <w:pPr>
        <w:spacing w:after="0" w:line="98" w:lineRule="exact"/>
        <w:rPr>
          <w:sz w:val="20"/>
          <w:szCs w:val="20"/>
          <w:color w:val="auto"/>
        </w:rPr>
      </w:pPr>
    </w:p>
    <w:p>
      <w:pPr>
        <w:ind w:left="1000" w:hanging="549"/>
        <w:spacing w:after="0" w:line="267"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5,374,899 shares of Class B common stock, which assumes the conversion of all outstanding shares of convertible Series B preferred stock into 5,374,899 shares of Class B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86 stockholders of record as of September 30, 2023.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type w:val="continuous"/>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twenty-year anniversary of the filing of the certificate of amendment to our ninth amended and restated certificate of incorporation, which is March 15, 2041; (3) the termination of Mr. Lefkofsky’s employment or service with us as an executive officer and member of our board of directors; and (4) the date that Mr. Lefkofsky and his controlled entities hold, in the aggregate, fewer than 10,000,000 shares of our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September 30, 2023,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$198.9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 of September 30, 2023, there were 62,740,708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estimated price range set forth on the cover page of this prospectus, which we refer to as the Additional Class A Conversion Shares. See “Prospectus Summary—The Offering” for additional information.</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 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 20,719,695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we had outstanding 17,450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ind w:left="460"/>
        <w:spacing w:after="0"/>
        <w:tabs>
          <w:tab w:leader="none" w:pos="3280" w:val="left"/>
        </w:tabs>
        <w:rPr>
          <w:sz w:val="20"/>
          <w:szCs w:val="20"/>
          <w:color w:val="auto"/>
        </w:rPr>
      </w:pPr>
      <w:r>
        <w:rPr>
          <w:rFonts w:ascii="Times New Roman" w:cs="Times New Roman" w:eastAsia="Times New Roman" w:hAnsi="Times New Roman"/>
          <w:sz w:val="18"/>
          <w:szCs w:val="18"/>
          <w:color w:val="auto"/>
        </w:rPr>
        <w:t>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 exercise of the underwriters’ option</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ind w:left="460"/>
        <w:spacing w:after="0"/>
        <w:tabs>
          <w:tab w:leader="none" w:pos="5740" w:val="left"/>
        </w:tabs>
        <w:rPr>
          <w:sz w:val="20"/>
          <w:szCs w:val="20"/>
          <w:color w:val="auto"/>
        </w:rPr>
      </w:pPr>
      <w:r>
        <w:rPr>
          <w:rFonts w:ascii="Times New Roman" w:cs="Times New Roman" w:eastAsia="Times New Roman" w:hAnsi="Times New Roman"/>
          <w:sz w:val="18"/>
          <w:szCs w:val="18"/>
          <w:color w:val="auto"/>
        </w:rPr>
        <w:t>In connection with this offering, the holders of an aggregate of</w:t>
      </w:r>
      <w:r>
        <w:rPr>
          <w:sz w:val="20"/>
          <w:szCs w:val="20"/>
          <w:color w:val="auto"/>
        </w:rPr>
        <w:tab/>
      </w:r>
      <w:r>
        <w:rPr>
          <w:rFonts w:ascii="Times New Roman" w:cs="Times New Roman" w:eastAsia="Times New Roman" w:hAnsi="Times New Roman"/>
          <w:sz w:val="16"/>
          <w:szCs w:val="16"/>
          <w:color w:val="auto"/>
        </w:rPr>
        <w:t>shares of our Class A common stock and Class B common stock (assuming no</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“TEM.”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Based on our shares outstanding as of September 30, 2023, on the closing of this offering, a total of shares of Class A common stock and 5,374,899 shares of Class B common stock will be outstanding, assuming the automatic conversion of (1) all of our outstanding shares of convertible preferred</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prospectus), (2) all of our outstanding shares of Series B convertible preferred stock into an aggregate of 5,374,899 shares of Class B common stock and (3) all of our outstanding shares of nonvoting common stock into 4,917,823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6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after the date of this prospectus, within any three-month period, such stockholders may sell a number of shares that does not exceed the greater of:</w:t>
      </w:r>
    </w:p>
    <w:p>
      <w:pPr>
        <w:sectPr>
          <w:pgSz w:w="11900" w:h="16838" w:orient="portrait"/>
          <w:cols w:equalWidth="0" w:num="1">
            <w:col w:w="11340"/>
          </w:cols>
          <w:pgMar w:left="320" w:top="448" w:right="239" w:bottom="1440" w:gutter="0" w:footer="0" w:header="0"/>
        </w:sectPr>
      </w:pPr>
    </w:p>
    <w:p>
      <w:pPr>
        <w:spacing w:after="0" w:line="14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color w:val="auto"/>
        </w:rPr>
        <w:t>1% of the number of shares of Class A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immediately after this</w:t>
      </w:r>
    </w:p>
    <w:p>
      <w:pPr>
        <w:spacing w:after="0" w:line="354" w:lineRule="exact"/>
        <w:rPr>
          <w:sz w:val="20"/>
          <w:szCs w:val="20"/>
          <w:color w:val="auto"/>
        </w:rPr>
      </w:pPr>
    </w:p>
    <w:p>
      <w:pPr>
        <w:sectPr>
          <w:pgSz w:w="11900" w:h="16838" w:orient="portrait"/>
          <w:cols w:equalWidth="0" w:num="3">
            <w:col w:w="520" w:space="480"/>
            <w:col w:w="7580" w:space="720"/>
            <w:col w:w="2040"/>
          </w:cols>
          <w:pgMar w:left="320" w:top="448" w:right="239" w:bottom="1440" w:gutter="0" w:footer="0" w:header="0"/>
          <w:type w:val="continuous"/>
        </w:sectPr>
      </w:pPr>
    </w:p>
    <w:p>
      <w:pPr>
        <w:ind w:left="1000" w:hanging="549"/>
        <w:spacing w:after="0" w:line="267"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2024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ectPr>
          <w:pgSz w:w="11900" w:h="16838" w:orient="portrait"/>
          <w:cols w:equalWidth="0" w:num="1">
            <w:col w:w="11340"/>
          </w:cols>
          <w:pgMar w:left="320" w:top="448" w:right="239" w:bottom="1440" w:gutter="0" w:footer="0" w:header="0"/>
          <w:type w:val="continuous"/>
        </w:sectPr>
      </w:pP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Upon the closing of this offering, the holders of transferees, will be entitled to certain rights with respect to the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our Class A common stock and of all shares of our Class B common stock, or their</w:t>
      </w:r>
    </w:p>
    <w:p>
      <w:pPr>
        <w:spacing w:after="0" w:line="380" w:lineRule="exact"/>
        <w:rPr>
          <w:sz w:val="20"/>
          <w:szCs w:val="20"/>
          <w:color w:val="auto"/>
        </w:rPr>
      </w:pPr>
    </w:p>
    <w:p>
      <w:pPr>
        <w:sectPr>
          <w:pgSz w:w="11900" w:h="16838" w:orient="portrait"/>
          <w:cols w:equalWidth="0" w:num="2">
            <w:col w:w="4380" w:space="340"/>
            <w:col w:w="6620"/>
          </w:cols>
          <w:pgMar w:left="320" w:top="448"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240</w:t>
      </w:r>
    </w:p>
    <w:p>
      <w:pPr>
        <w:sectPr>
          <w:pgSz w:w="11900" w:h="16838" w:orient="portrait"/>
          <w:cols w:equalWidth="0" w:num="1">
            <w:col w:w="11340"/>
          </w:cols>
          <w:pgMar w:left="320" w:top="448" w:right="23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p>
      <w:pPr>
        <w:ind w:left="86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13335</wp:posOffset>
            </wp:positionV>
            <wp:extent cx="6118860" cy="133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Allen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-130175</wp:posOffset>
            </wp:positionV>
            <wp:extent cx="6118860" cy="133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118860" cy="133350"/>
                    </a:xfrm>
                    <a:prstGeom prst="rect">
                      <a:avLst/>
                    </a:prstGeom>
                    <a:noFill/>
                  </pic:spPr>
                </pic:pic>
              </a:graphicData>
            </a:graphic>
          </wp:anchor>
        </w:drawing>
      </w:r>
    </w:p>
    <w:p>
      <w:pPr>
        <w:ind w:left="8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5796915</wp:posOffset>
            </wp:positionH>
            <wp:positionV relativeFrom="paragraph">
              <wp:posOffset>2540</wp:posOffset>
            </wp:positionV>
            <wp:extent cx="825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w:t>
      </w:r>
    </w:p>
    <w:p>
      <w:pPr>
        <w:spacing w:after="0" w:line="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selling stockholders identified in this prospectus have granted to the underwriters an option, exercisable for 30 days from the date of this prospectus, to</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0"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w:t>
      </w:r>
    </w:p>
    <w:p>
      <w:pPr>
        <w:spacing w:after="0" w:line="2"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additional</w:t>
      </w:r>
      <w:r>
        <w:rPr>
          <w:sz w:val="20"/>
          <w:szCs w:val="20"/>
          <w:color w:val="auto"/>
        </w:rPr>
        <w:tab/>
      </w:r>
      <w:r>
        <w:rPr>
          <w:rFonts w:ascii="Times New Roman" w:cs="Times New Roman" w:eastAsia="Times New Roman" w:hAnsi="Times New Roman"/>
          <w:sz w:val="18"/>
          <w:szCs w:val="18"/>
          <w:color w:val="auto"/>
        </w:rPr>
        <w:t>shares of Class A common stock.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w:t>
            </w:r>
          </w:p>
        </w:tc>
        <w:tc>
          <w:tcPr>
            <w:tcW w:w="5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3"/>
        </w:trPr>
        <w:tc>
          <w:tcPr>
            <w:tcW w:w="64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500" w:type="dxa"/>
            <w:vAlign w:val="bottom"/>
            <w:tcBorders>
              <w:top w:val="single" w:sz="8" w:color="auto"/>
            </w:tcBorders>
          </w:tcPr>
          <w:p>
            <w:pPr>
              <w:ind w:left="16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3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3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03"/>
        </w:trPr>
        <w:tc>
          <w:tcPr>
            <w:tcW w:w="64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2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2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060" w:type="dxa"/>
            <w:vAlign w:val="bottom"/>
            <w:gridSpan w:val="2"/>
            <w:shd w:val="clear" w:color="auto" w:fill="CCEEFF"/>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3060" w:type="dxa"/>
            <w:vAlign w:val="bottom"/>
            <w:gridSpan w:val="2"/>
          </w:tcPr>
          <w:p>
            <w:pPr>
              <w:jc w:val="right"/>
              <w:ind w:right="32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90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w:t>
            </w: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4"/>
              </w:rPr>
              <w:t>million. We have</w:t>
            </w:r>
          </w:p>
        </w:tc>
        <w:tc>
          <w:tcPr>
            <w:tcW w:w="0" w:type="dxa"/>
            <w:vAlign w:val="bottom"/>
          </w:tcPr>
          <w:p>
            <w:pPr>
              <w:spacing w:after="0"/>
              <w:rPr>
                <w:sz w:val="1"/>
                <w:szCs w:val="1"/>
                <w:color w:val="auto"/>
              </w:rPr>
            </w:pPr>
          </w:p>
        </w:tc>
      </w:tr>
      <w:tr>
        <w:trPr>
          <w:trHeight w:val="228"/>
        </w:trPr>
        <w:tc>
          <w:tcPr>
            <w:tcW w:w="10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agreed to reimburse the underwriters for expenses relating to clearance of this offering with the Financial Industry Regulatory Authority up to $</w:t>
            </w:r>
          </w:p>
        </w:tc>
        <w:tc>
          <w:tcPr>
            <w:tcW w:w="900" w:type="dxa"/>
            <w:vAlign w:val="bottom"/>
            <w:gridSpan w:val="2"/>
          </w:tcPr>
          <w:p>
            <w:pPr>
              <w:jc w:val="right"/>
              <w:ind w:right="426"/>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“TEM.”</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all directors and officers and the holders of substantially all of our outstanding stock and stock options will agree that, subject to certain conditions, without the prior written consent of the representatives on behalf of the underwriters, we and they will not, and will not publicly disclose an intention to, during the period ending on and including the 180th day after the date of this prospectus, referred to as the restricted period:</w:t>
      </w:r>
    </w:p>
    <w:p>
      <w:pPr>
        <w:spacing w:after="0" w:line="89" w:lineRule="exact"/>
        <w:rPr>
          <w:sz w:val="20"/>
          <w:szCs w:val="20"/>
          <w:color w:val="auto"/>
        </w:rPr>
      </w:pPr>
    </w:p>
    <w:p>
      <w:pPr>
        <w:jc w:val="both"/>
        <w:ind w:left="1000" w:hanging="549"/>
        <w:spacing w:after="0" w:line="255"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or the SEC, relating to the offering of any shares of common stock or any securities convertible into or exercisable or exchangeable for common stock;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will agree that, without the prior written consent of the representatives on behalf of the underwriters, we or such other person will not, during the restricted period, make any demand for, or exercise any right with respect to, the registration of any shares of our common stock or any security convertible into or exercisable or exchangeable for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549"/>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to the underwriters;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93" w:lineRule="auto"/>
        <w:tabs>
          <w:tab w:leader="none" w:pos="10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549"/>
        <w:spacing w:after="0" w:line="255"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(i) as a bona fide gift, (ii) to an immediate family member or to any trust for the direct or indirect benefit of the holder or an immediate family member of the holder, (iii) to any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95" w:lineRule="exact"/>
        <w:rPr>
          <w:sz w:val="20"/>
          <w:szCs w:val="20"/>
          <w:color w:val="auto"/>
        </w:rPr>
      </w:pPr>
    </w:p>
    <w:p>
      <w:pPr>
        <w:jc w:val="both"/>
        <w:ind w:left="1000" w:hanging="549"/>
        <w:spacing w:after="0" w:line="248"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shares of common stock or any security convertible into or exercisable or exchangeable for common stock to general or limited partners, managers or members, stockholders, other equityholders or direct or indirect affiliates (within the meaning of Rule 405 under the Securities Act) of the undersigned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4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to the company of shares of common stock or any securities convertible into or exercisable or exchangeable for common stock to satisfy any tax, including estimated tax, remittance, or other payment obligations of the holder arising in connection with a vesting event of the company’s securities, upon the settlement of restricted stock units or the payment due for the exercise of options or other rights to purchase securities of the company (including, in each case, by way of a “cashless” or “net exercise” basis and any transfer to the company necessary in respect of such amount needed for the payment of taxes, including estimated taxes, and remittance payments due as a result of such vesting, settlement or exercise including by means of a “net settlement,” “sell to cover” or otherwise), in all such cases pursuant to equity awards granted under a stock incentive plan or other equity award plan of the company described in this prospectus, provided that (i) any remaining shares of common stock received upon such vesting, settlement or exercise are subject to the aforementioned restrictions, (ii)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the company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the company’s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549"/>
        <w:spacing w:after="0" w:line="251"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48"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shares of common stock or any security convertible into or exercisable or exchangeable for common stock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 disclosure, of such transfer by or on behalf of the holder, shall be required or shall be voluntarily made during the restricted period.</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Morgan Stanley &amp; Co. LLC and J.P. Morgan Securities LLC, in their joint discretion, may release the common stock and other securities subject to the lock-up agreements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19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 Any such stabilization activities will be conducted in accordance with Regulation M.</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subject to obtaining the prior consent of the representatives;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5" w:lineRule="exact"/>
        <w:rPr>
          <w:sz w:val="20"/>
          <w:szCs w:val="20"/>
          <w:color w:val="auto"/>
        </w:rPr>
      </w:pPr>
    </w:p>
    <w:p>
      <w:pPr>
        <w:ind w:left="1000" w:hanging="41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Article 2 of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Article 2 of the UK Prospectus Regulation), subject to obtaining the prior consent of the Representative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or the FMSA,</w:t>
      </w: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underwriter has represented and agreed that:</w:t>
      </w:r>
    </w:p>
    <w:p>
      <w:pPr>
        <w:spacing w:after="0" w:line="121" w:lineRule="exact"/>
        <w:rPr>
          <w:sz w:val="20"/>
          <w:szCs w:val="20"/>
          <w:color w:val="auto"/>
        </w:rPr>
      </w:pPr>
    </w:p>
    <w:p>
      <w:pPr>
        <w:jc w:val="both"/>
        <w:ind w:left="1000" w:hanging="414"/>
        <w:spacing w:after="0" w:line="25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Class A common stock in circumstances in which Section 21(1) of the FSMA does not apply to us; and</w:t>
      </w:r>
    </w:p>
    <w:p>
      <w:pPr>
        <w:spacing w:after="0" w:line="92"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and will comply with all applicable provisions of the FSMA with respect to anything done by it in relation to the shares of our Class A common stock in, from or otherwise involving the United Kingdom.</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shares of Class A common stock may be sold only to purchasers purchasing, or deemed to be purchasing, as principal that are accredited investors, as defined in National Instrument 45-106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our Class A common stock may not be offered or sold in Hong Kong by means of any document other than (i) in circumstances which do not constitute an offer to the public within the meaning of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Class A common stock which are or are intended to be disposed of only to persons outside Hong Kong or only to “professional investors” in Hong Kong as defined in the Securities and Futures Ordinance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w:t>
      </w:r>
    </w:p>
    <w:p>
      <w:pPr>
        <w:spacing w:after="0" w:line="4" w:lineRule="exact"/>
        <w:rPr>
          <w:sz w:val="20"/>
          <w:szCs w:val="20"/>
          <w:color w:val="auto"/>
        </w:rPr>
      </w:pPr>
    </w:p>
    <w:p>
      <w:pPr>
        <w:ind w:firstLine="5"/>
        <w:spacing w:after="0" w:line="247" w:lineRule="auto"/>
        <w:tabs>
          <w:tab w:leader="none" w:pos="31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 in each case subject to conditions set forth in the SFA.</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shares of our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purposes of the notification requirements under Section 309B(1)(c) of the Securities and Futures Act, Chapter 289 of Singapore, the shares of our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each of the two years in the period ended December 31, 2022,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340"/>
          </w:cols>
          <w:pgMar w:left="320" w:top="448" w:right="23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6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5"/>
              </w:rPr>
              <w:t>Tempus AI, Inc.</w:t>
            </w:r>
          </w:p>
        </w:tc>
        <w:tc>
          <w:tcPr>
            <w:tcW w:w="206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6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60" w:type="dxa"/>
            <w:vAlign w:val="bottom"/>
          </w:tcPr>
          <w:p>
            <w:pPr>
              <w:spacing w:after="0"/>
              <w:rPr>
                <w:sz w:val="19"/>
                <w:szCs w:val="19"/>
                <w:color w:val="auto"/>
              </w:rPr>
            </w:pPr>
          </w:p>
        </w:tc>
      </w:tr>
      <w:tr>
        <w:trPr>
          <w:trHeight w:val="4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0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2"/>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F-5</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F-8</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F-10-F-49</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5"/>
              </w:rPr>
              <w:t>F-1</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43" w:right="3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AI,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Tempus AI, Inc. (formerly known as Tempus Labs, Inc.) and its subsidiaries (the “Company”) as of December 31, 2022 and 2021,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28,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277,686</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302,938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Accounts receivable, net of allowances of $284, $2,942 and $2,372 at December 31, 2021 and 2022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88,684</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22,282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19,450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44,105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53,100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37,278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8,830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24,948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283</w:t>
            </w:r>
          </w:p>
        </w:tc>
        <w:tc>
          <w:tcPr>
            <w:tcW w:w="1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23,398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793</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531,354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631,364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504,071</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45,987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50,142</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6,070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174,239</w:t>
            </w: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 liabilities,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37,125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6,613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221,094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rent, less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42,500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9,604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payable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39,485</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168,452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35,136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440,554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734,248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777,131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F-3</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40" w:type="dxa"/>
            <w:vAlign w:val="bottom"/>
            <w:gridSpan w:val="3"/>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gridSpan w:val="3"/>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36"/>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w w:val="98"/>
              </w:rPr>
              <w:t>Convertible redeemable preferred stock, $0.0001 par value, 64,760,746, 65,441,289, and 65,441,289,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shares authorized at December 31, 2021 and 2022 and September 30, 2023,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61,078,813, 62,692,927 and 62,740,708 shares issued and outstanding at December 31, 2021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September 30, 2023, respectively; aggregate liquidation preference of $913,138,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$1,043,757, and $1,072,867 at December 31, 2021 and 2022 and September 30, 2023, respectively</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898,291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1,051,637</w:t>
            </w:r>
          </w:p>
        </w:tc>
      </w:tr>
      <w:tr>
        <w:trPr>
          <w:trHeight w:val="211"/>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756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w w:val="98"/>
              </w:rPr>
              <w:t>Voting Common Stock, $0.0001 par value, 187,075,184 shares authorized at December 31, 2021 and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September 30, 2023, respectively, 58,367,961 shares issued and outstanding at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2021 and 2022 and September 30, 2023, respectively</w:t>
            </w:r>
          </w:p>
        </w:tc>
        <w:tc>
          <w:tcPr>
            <w:tcW w:w="32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r>
      <w:tr>
        <w:trPr>
          <w:trHeight w:val="192"/>
        </w:trPr>
        <w:tc>
          <w:tcPr>
            <w:tcW w:w="20" w:type="dxa"/>
            <w:vAlign w:val="bottom"/>
          </w:tcPr>
          <w:p>
            <w:pPr>
              <w:spacing w:after="0"/>
              <w:rPr>
                <w:sz w:val="16"/>
                <w:szCs w:val="16"/>
                <w:color w:val="auto"/>
              </w:rPr>
            </w:pPr>
          </w:p>
        </w:tc>
        <w:tc>
          <w:tcPr>
            <w:tcW w:w="756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63,946,627, 66,946,627, and 66,946,627 shares</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authorized at December 31, 2021 and 2022 and September 30, 2023, respectively; 4,612,450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4,932,415 shares issued and outstanding at December 31, 2021 and 2022, respectively, and</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7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5,063,289 shares issued and 4,917,823 shares outstanding at September 30, 2023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145,466 shares at September 30, 2023, at cost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13,556</w:t>
            </w:r>
          </w:p>
        </w:tc>
      </w:tr>
      <w:tr>
        <w:trPr>
          <w:trHeight w:val="210"/>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(807,486)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(1,138,302)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(1,334,646)</w:t>
            </w:r>
          </w:p>
        </w:tc>
      </w:tr>
      <w:tr>
        <w:trPr>
          <w:trHeight w:val="22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(807,491</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(1,129,027</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(1,324,697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3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531,354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631,364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504,071</w:t>
            </w: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gridSpan w:val="6"/>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940" w:type="dxa"/>
            <w:vAlign w:val="bottom"/>
            <w:gridSpan w:val="5"/>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3"/>
          </w:tcPr>
          <w:p>
            <w:pPr>
              <w:jc w:val="center"/>
              <w:ind w:left="395"/>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195,012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197,984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140,055</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270,797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62,841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122,684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79,987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113,301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220,042</w:t>
            </w:r>
          </w:p>
        </w:tc>
        <w:tc>
          <w:tcPr>
            <w:tcW w:w="3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162,276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150,255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108,752</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138,781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40,227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29,503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40" w:type="dxa"/>
            <w:vAlign w:val="bottom"/>
          </w:tcPr>
          <w:p>
            <w:pPr>
              <w:spacing w:after="0"/>
              <w:rPr>
                <w:sz w:val="18"/>
                <w:szCs w:val="18"/>
                <w:color w:val="auto"/>
              </w:rPr>
            </w:pPr>
          </w:p>
        </w:tc>
        <w:tc>
          <w:tcPr>
            <w:tcW w:w="84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67,190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79,093</w:t>
            </w:r>
          </w:p>
        </w:tc>
        <w:tc>
          <w:tcPr>
            <w:tcW w:w="140" w:type="dxa"/>
            <w:vAlign w:val="bottom"/>
          </w:tcPr>
          <w:p>
            <w:pPr>
              <w:spacing w:after="0"/>
              <w:rPr>
                <w:sz w:val="18"/>
                <w:szCs w:val="18"/>
                <w:color w:val="auto"/>
              </w:rPr>
            </w:pPr>
          </w:p>
        </w:tc>
        <w:tc>
          <w:tcPr>
            <w:tcW w:w="100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58,258</w:t>
            </w:r>
          </w:p>
        </w:tc>
        <w:tc>
          <w:tcPr>
            <w:tcW w:w="18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70,485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61,161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83,158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61,552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233,377</w:t>
            </w: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168,804</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501,564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586,110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426,869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527,886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(243,711</w:t>
            </w:r>
          </w:p>
        </w:tc>
        <w:tc>
          <w:tcPr>
            <w:tcW w:w="1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(206,827</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(143,788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3,032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889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(21,894)</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(4,846)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(4,453)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(258,588)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(223,062)</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(163,260)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Dividends on Series A, B, B-1, B-2, C, D, E, F, G and G-3 preferred shares</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(35,758)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(40,975)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(30,415)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(2,841)</w:t>
            </w:r>
          </w:p>
        </w:tc>
        <w:tc>
          <w:tcPr>
            <w:tcW w:w="140" w:type="dxa"/>
            <w:vAlign w:val="bottom"/>
          </w:tcPr>
          <w:p>
            <w:pPr>
              <w:spacing w:after="0"/>
              <w:rPr>
                <w:sz w:val="18"/>
                <w:szCs w:val="18"/>
                <w:color w:val="auto"/>
              </w:rPr>
            </w:pP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(2,125)</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(297,736)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(333,928)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(256,367)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(198,574)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62,975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63,032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62,980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63,267</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(259,192)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(289,811)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(223,526)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Pr>
          <w:p>
            <w:pPr>
              <w:spacing w:after="0"/>
              <w:rPr>
                <w:sz w:val="18"/>
                <w:szCs w:val="18"/>
                <w:color w:val="auto"/>
              </w:rPr>
            </w:pPr>
          </w:p>
        </w:tc>
        <w:tc>
          <w:tcPr>
            <w:tcW w:w="8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w w:val="99"/>
              </w:rPr>
              <w:t>(259,202)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(289,782)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99"/>
              </w:rPr>
              <w:t>(223,429)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6"/>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3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jc w:val="center"/>
              <w:ind w:left="414"/>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(259,192)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6"/>
              </w:rPr>
              <w:t>(289,811)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w w:val="99"/>
              </w:rPr>
              <w:t>(223,526)</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(163,635)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4,200</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382</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(3,881)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warrant asset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4,034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4,961</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23,881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30,029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21,780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24,509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3,867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1,538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301</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6,427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4,820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5,077</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292</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7,359</w:t>
            </w:r>
          </w:p>
        </w:tc>
      </w:tr>
      <w:tr>
        <w:trPr>
          <w:trHeight w:val="210"/>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2,123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9,926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(25,365)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14,649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(2,849)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(30,474)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(7,915)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(8,502)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(12,253)</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9,489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67,626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65,695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(16,644)</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(6,746)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(8,374)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22,803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11,752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20,749</w:t>
            </w:r>
          </w:p>
        </w:tc>
      </w:tr>
      <w:tr>
        <w:trPr>
          <w:trHeight w:val="210"/>
        </w:trPr>
        <w:tc>
          <w:tcPr>
            <w:tcW w:w="20" w:type="dxa"/>
            <w:vAlign w:val="bottom"/>
          </w:tcPr>
          <w:p>
            <w:pPr>
              <w:spacing w:after="0"/>
              <w:rPr>
                <w:sz w:val="18"/>
                <w:szCs w:val="18"/>
                <w:color w:val="auto"/>
              </w:rPr>
            </w:pPr>
          </w:p>
        </w:tc>
        <w:tc>
          <w:tcPr>
            <w:tcW w:w="5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payable</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15,103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16,395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12,263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11,724</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(7,439)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(5,405)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(211,984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(168,204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(109,710</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(174,072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(11,767)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(18,377)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(16,464)</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(31,899)</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subsidiary</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(5,957)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escrow related to AKESOgen purchase (Note 3)</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(39,562)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(35,549)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(21,724</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G-2 Preferred Stock, net of offering costs</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8,894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92,199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92,199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33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740" w:type="dxa"/>
            <w:vAlign w:val="bottom"/>
            <w:gridSpan w:val="2"/>
          </w:tcPr>
          <w:p>
            <w:pPr>
              <w:jc w:val="right"/>
              <w:ind w:right="1158"/>
              <w:spacing w:after="0"/>
              <w:rPr>
                <w:sz w:val="20"/>
                <w:szCs w:val="20"/>
                <w:color w:val="auto"/>
              </w:rPr>
            </w:pPr>
            <w:r>
              <w:rPr>
                <w:rFonts w:ascii="Times New Roman" w:cs="Times New Roman" w:eastAsia="Times New Roman" w:hAnsi="Times New Roman"/>
                <w:sz w:val="18"/>
                <w:szCs w:val="18"/>
                <w:color w:val="auto"/>
              </w:rPr>
              <w:t>F-6</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8" w:right="2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8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3"/>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jc w:val="center"/>
              <w:ind w:right="13"/>
              <w:spacing w:after="0" w:line="138"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00" w:type="dxa"/>
            <w:vAlign w:val="bottom"/>
          </w:tcPr>
          <w:p>
            <w:pPr>
              <w:spacing w:after="0"/>
              <w:rPr>
                <w:sz w:val="18"/>
                <w:szCs w:val="18"/>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170,625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170,625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251,391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252,971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(235,750)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91,365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(170,203)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278,466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278,466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303,731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369,831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133,528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302,938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369,045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132,706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303,731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369,831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133,528</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2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w w:val="88"/>
              </w:rPr>
              <w:t>101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642</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2,727</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w w:val="88"/>
              </w:rPr>
              <w:t>2,849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Redemption of convertible promissory note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10,221</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22,220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Non-voting common stock issued in connection with business combination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280"/>
              <w:spacing w:after="0" w:line="202" w:lineRule="exact"/>
              <w:rPr>
                <w:sz w:val="20"/>
                <w:szCs w:val="20"/>
                <w:color w:val="auto"/>
              </w:rPr>
            </w:pPr>
            <w:r>
              <w:rPr>
                <w:rFonts w:ascii="Times New Roman" w:cs="Times New Roman" w:eastAsia="Times New Roman" w:hAnsi="Times New Roman"/>
                <w:sz w:val="18"/>
                <w:szCs w:val="18"/>
                <w:color w:val="auto"/>
                <w:w w:val="88"/>
              </w:rPr>
              <w:t>4,305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Issuance of Series G-3 Preferred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Deferred financing fees, accrued but not yet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ind w:left="4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340"/>
          </w:cols>
          <w:pgMar w:left="320" w:top="448"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gridSpan w:val="6"/>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2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740" w:type="dxa"/>
            <w:vAlign w:val="bottom"/>
            <w:gridSpan w:val="6"/>
          </w:tcPr>
          <w:p>
            <w:pPr>
              <w:jc w:val="center"/>
              <w:ind w:right="26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740" w:type="dxa"/>
            <w:vAlign w:val="bottom"/>
            <w:gridSpan w:val="6"/>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0" w:type="dxa"/>
            <w:vAlign w:val="bottom"/>
            <w:gridSpan w:val="2"/>
          </w:tcPr>
          <w:p>
            <w:pPr>
              <w:jc w:val="right"/>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20" w:type="dxa"/>
            <w:vAlign w:val="bottom"/>
            <w:tcBorders>
              <w:bottom w:val="single" w:sz="8" w:color="auto"/>
            </w:tcBorders>
            <w:gridSpan w:val="4"/>
          </w:tcPr>
          <w:p>
            <w:pPr>
              <w:jc w:val="center"/>
              <w:ind w:left="49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5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Borders>
              <w:bottom w:val="single" w:sz="8" w:color="auto"/>
            </w:tcBorders>
            <w:gridSpan w:val="3"/>
          </w:tcPr>
          <w:p>
            <w:pPr>
              <w:ind w:left="22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Borders>
              <w:bottom w:val="single" w:sz="8" w:color="auto"/>
            </w:tcBorders>
            <w:gridSpan w:val="4"/>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106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Borders>
              <w:bottom w:val="single" w:sz="8" w:color="CCEEFF"/>
            </w:tcBorders>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2"/>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January 1, 2021</w:t>
            </w:r>
          </w:p>
        </w:tc>
        <w:tc>
          <w:tcPr>
            <w:tcW w:w="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60,921,767</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859,156</w:t>
            </w:r>
          </w:p>
        </w:tc>
        <w:tc>
          <w:tcPr>
            <w:tcW w:w="24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6</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4,595,000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80"/>
              <w:spacing w:after="0" w:line="138"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(512,984)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G-2 Preferred Stock,</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157,046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8,894</w:t>
            </w: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stock issuance costs of $106</w:t>
            </w: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Stock compensation related to RSU</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559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w:t>
            </w:r>
          </w:p>
        </w:tc>
        <w:tc>
          <w:tcPr>
            <w:tcW w:w="8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w w:val="95"/>
              </w:rPr>
              <w:t>106</w:t>
            </w:r>
          </w:p>
        </w:tc>
        <w:tc>
          <w:tcPr>
            <w:tcW w:w="2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redemption value</w:t>
            </w: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Settlement of Common Shares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17,450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19"/>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30,135</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(35,305)</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(35,758)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620" w:type="dxa"/>
            <w:vAlign w:val="bottom"/>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(259,192)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898,291</w:t>
            </w:r>
          </w:p>
        </w:tc>
        <w:tc>
          <w:tcPr>
            <w:tcW w:w="2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58,367,961</w:t>
            </w:r>
          </w:p>
        </w:tc>
        <w:tc>
          <w:tcPr>
            <w:tcW w:w="2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w w:val="79"/>
              </w:rPr>
              <w:t>6</w:t>
            </w:r>
          </w:p>
        </w:tc>
        <w:tc>
          <w:tcPr>
            <w:tcW w:w="90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4,612,450</w:t>
            </w:r>
          </w:p>
        </w:tc>
        <w:tc>
          <w:tcPr>
            <w:tcW w:w="540" w:type="dxa"/>
            <w:vAlign w:val="bottom"/>
            <w:gridSpan w:val="2"/>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(807,486)</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gridSpan w:val="2"/>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(807,491)</w:t>
            </w:r>
          </w:p>
        </w:tc>
        <w:tc>
          <w:tcPr>
            <w:tcW w:w="0" w:type="dxa"/>
            <w:vAlign w:val="bottom"/>
          </w:tcPr>
          <w:p>
            <w:pPr>
              <w:spacing w:after="0"/>
              <w:rPr>
                <w:sz w:val="1"/>
                <w:szCs w:val="1"/>
                <w:color w:val="auto"/>
              </w:rPr>
            </w:pPr>
          </w:p>
        </w:tc>
      </w:tr>
      <w:tr>
        <w:trPr>
          <w:trHeight w:val="20"/>
        </w:trPr>
        <w:tc>
          <w:tcPr>
            <w:tcW w:w="2440" w:type="dxa"/>
            <w:vAlign w:val="bottom"/>
            <w:gridSpan w:val="2"/>
            <w:vMerge w:val="restart"/>
          </w:tcPr>
          <w:p>
            <w:pPr>
              <w:spacing w:after="0" w:line="155" w:lineRule="exact"/>
              <w:rPr>
                <w:sz w:val="20"/>
                <w:szCs w:val="20"/>
                <w:color w:val="auto"/>
              </w:rPr>
            </w:pPr>
            <w:r>
              <w:rPr>
                <w:rFonts w:ascii="Times New Roman" w:cs="Times New Roman" w:eastAsia="Times New Roman" w:hAnsi="Times New Roman"/>
                <w:sz w:val="14"/>
                <w:szCs w:val="14"/>
                <w:color w:val="auto"/>
              </w:rPr>
              <w:t>Issuance of Series G-3 Preferred Stock,</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40" w:type="dxa"/>
            <w:vAlign w:val="bottom"/>
            <w:gridSpan w:val="2"/>
            <w:vMerge w:val="continue"/>
          </w:tcPr>
          <w:p>
            <w:pPr>
              <w:spacing w:after="0"/>
              <w:rPr>
                <w:sz w:val="9"/>
                <w:szCs w:val="9"/>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9"/>
                <w:szCs w:val="9"/>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92,199</w:t>
            </w:r>
          </w:p>
        </w:tc>
        <w:tc>
          <w:tcPr>
            <w:tcW w:w="20" w:type="dxa"/>
            <w:vAlign w:val="bottom"/>
            <w:shd w:val="clear" w:color="auto" w:fill="000000"/>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9"/>
                <w:szCs w:val="9"/>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9"/>
                <w:szCs w:val="9"/>
                <w:color w:val="auto"/>
              </w:rPr>
            </w:pP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9"/>
                <w:szCs w:val="9"/>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of stock issuance costs of $301</w:t>
            </w: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 stock</w:t>
            </w:r>
          </w:p>
        </w:tc>
        <w:tc>
          <w:tcPr>
            <w:tcW w:w="8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w w:val="95"/>
              </w:rPr>
              <w:t>301</w:t>
            </w:r>
          </w:p>
        </w:tc>
        <w:tc>
          <w:tcPr>
            <w:tcW w:w="2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 redemption value</w:t>
            </w:r>
          </w:p>
        </w:tc>
        <w:tc>
          <w:tcPr>
            <w:tcW w:w="8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 connection</w:t>
            </w:r>
          </w:p>
        </w:tc>
        <w:tc>
          <w:tcPr>
            <w:tcW w:w="84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145,466</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4,304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contingent consideration</w:t>
            </w: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 connection</w:t>
            </w:r>
          </w:p>
        </w:tc>
        <w:tc>
          <w:tcPr>
            <w:tcW w:w="840" w:type="dxa"/>
            <w:vAlign w:val="bottom"/>
            <w:gridSpan w:val="3"/>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174,499</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4,947</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business combination</w:t>
            </w:r>
          </w:p>
        </w:tc>
        <w:tc>
          <w:tcPr>
            <w:tcW w:w="84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Impact of adoption of Topic 842</w:t>
            </w:r>
          </w:p>
        </w:tc>
        <w:tc>
          <w:tcPr>
            <w:tcW w:w="8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60" w:type="dxa"/>
            <w:vAlign w:val="bottom"/>
          </w:tcPr>
          <w:p>
            <w:pPr>
              <w:spacing w:after="0"/>
              <w:rPr>
                <w:sz w:val="12"/>
                <w:szCs w:val="12"/>
                <w:color w:val="auto"/>
              </w:rPr>
            </w:pPr>
          </w:p>
        </w:tc>
        <w:tc>
          <w:tcPr>
            <w:tcW w:w="100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3"/>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39"/>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151"/>
        </w:trPr>
        <w:tc>
          <w:tcPr>
            <w:tcW w:w="24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99"/>
              </w:rPr>
              <w:t>1,026,143</w:t>
            </w:r>
          </w:p>
        </w:tc>
        <w:tc>
          <w:tcPr>
            <w:tcW w:w="24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2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w w:val="79"/>
              </w:rPr>
              <w:t>6</w:t>
            </w:r>
          </w:p>
        </w:tc>
        <w:tc>
          <w:tcPr>
            <w:tcW w:w="2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4,932,415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9,251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(1,138,302</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1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gridSpan w:val="9"/>
            <w:vMerge w:val="restart"/>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9"/>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8"/>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80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8"/>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7"/>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9"/>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1300" w:type="dxa"/>
            <w:vAlign w:val="bottom"/>
            <w:gridSpan w:val="9"/>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760" w:type="dxa"/>
            <w:vAlign w:val="bottom"/>
            <w:gridSpan w:val="5"/>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740" w:type="dxa"/>
            <w:vAlign w:val="bottom"/>
            <w:gridSpan w:val="3"/>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Borders>
              <w:top w:val="single" w:sz="8" w:color="auto"/>
            </w:tcBorders>
            <w:gridSpan w:val="5"/>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4"/>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4"/>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340" w:type="dxa"/>
            <w:vAlign w:val="bottom"/>
            <w:tcBorders>
              <w:top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3"/>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1"/>
                <w:szCs w:val="11"/>
                <w:color w:val="auto"/>
              </w:rPr>
            </w:pPr>
          </w:p>
        </w:tc>
        <w:tc>
          <w:tcPr>
            <w:tcW w:w="820" w:type="dxa"/>
            <w:vAlign w:val="bottom"/>
            <w:gridSpan w:val="2"/>
          </w:tcPr>
          <w:p>
            <w:pPr>
              <w:jc w:val="right"/>
              <w:ind w:right="31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19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18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right w:val="single" w:sz="8" w:color="CCEEFF"/>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898,291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3"/>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6"/>
              </w:rPr>
              <w:t>4,612,450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5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40"/>
              <w:spacing w:after="0" w:line="138"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gridSpan w:val="2"/>
            <w:shd w:val="clear" w:color="auto" w:fill="CCEEFF"/>
          </w:tcPr>
          <w:p>
            <w:pPr>
              <w:jc w:val="right"/>
              <w:ind w:right="10"/>
              <w:spacing w:after="0" w:line="138" w:lineRule="exact"/>
              <w:rPr>
                <w:sz w:val="20"/>
                <w:szCs w:val="20"/>
                <w:color w:val="auto"/>
              </w:rPr>
            </w:pPr>
            <w:r>
              <w:rPr>
                <w:rFonts w:ascii="Times New Roman" w:cs="Times New Roman" w:eastAsia="Times New Roman" w:hAnsi="Times New Roman"/>
                <w:sz w:val="14"/>
                <w:szCs w:val="14"/>
                <w:color w:val="auto"/>
                <w:w w:val="97"/>
              </w:rPr>
              <w:t>$ —</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center"/>
              <w:ind w:left="30"/>
              <w:spacing w:after="0" w:line="138"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right w:val="single" w:sz="8" w:color="CCEEFF"/>
            </w:tcBorders>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(807,486)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 Preferred</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20" w:type="dxa"/>
            <w:vAlign w:val="bottom"/>
            <w:gridSpan w:val="3"/>
          </w:tcPr>
          <w:p>
            <w:pPr>
              <w:ind w:left="140"/>
              <w:spacing w:after="0" w:line="145" w:lineRule="exact"/>
              <w:rPr>
                <w:sz w:val="20"/>
                <w:szCs w:val="20"/>
                <w:color w:val="auto"/>
              </w:rPr>
            </w:pPr>
            <w:r>
              <w:rPr>
                <w:rFonts w:ascii="Times New Roman" w:cs="Times New Roman" w:eastAsia="Times New Roman" w:hAnsi="Times New Roman"/>
                <w:sz w:val="14"/>
                <w:szCs w:val="14"/>
                <w:color w:val="auto"/>
              </w:rPr>
              <w:t>Stock, net of stock issuance costs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color w:val="auto"/>
              </w:rPr>
              <w:t>92,199</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$301</w:t>
            </w:r>
          </w:p>
        </w:tc>
        <w:tc>
          <w:tcPr>
            <w:tcW w:w="102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1,614,114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Impact of adoption of Topic 842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22"/>
        </w:trPr>
        <w:tc>
          <w:tcPr>
            <w:tcW w:w="252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w:t>
            </w:r>
          </w:p>
        </w:tc>
        <w:tc>
          <w:tcPr>
            <w:tcW w:w="120" w:type="dxa"/>
            <w:vAlign w:val="bottom"/>
          </w:tcPr>
          <w:p>
            <w:pPr>
              <w:spacing w:after="0"/>
              <w:rPr>
                <w:sz w:val="10"/>
                <w:szCs w:val="10"/>
                <w:color w:val="auto"/>
              </w:rPr>
            </w:pPr>
          </w:p>
        </w:tc>
        <w:tc>
          <w:tcPr>
            <w:tcW w:w="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301</w:t>
            </w:r>
          </w:p>
        </w:tc>
        <w:tc>
          <w:tcPr>
            <w:tcW w:w="1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to redemption value</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5"/>
          </w:tcPr>
          <w:p>
            <w:pPr>
              <w:ind w:left="180"/>
              <w:spacing w:after="0" w:line="145" w:lineRule="exact"/>
              <w:rPr>
                <w:sz w:val="20"/>
                <w:szCs w:val="20"/>
                <w:color w:val="auto"/>
              </w:rPr>
            </w:pPr>
            <w:r>
              <w:rPr>
                <w:rFonts w:ascii="Times New Roman" w:cs="Times New Roman" w:eastAsia="Times New Roman" w:hAnsi="Times New Roman"/>
                <w:sz w:val="14"/>
                <w:szCs w:val="14"/>
                <w:color w:val="auto"/>
              </w:rPr>
              <w:t>26,196</w:t>
            </w: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(30,716)</w:t>
            </w:r>
          </w:p>
        </w:tc>
        <w:tc>
          <w:tcPr>
            <w:tcW w:w="6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(30,415)</w:t>
            </w: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(223,526)</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(223,526)</w:t>
            </w:r>
          </w:p>
        </w:tc>
        <w:tc>
          <w:tcPr>
            <w:tcW w:w="0" w:type="dxa"/>
            <w:vAlign w:val="bottom"/>
          </w:tcPr>
          <w:p>
            <w:pPr>
              <w:spacing w:after="0"/>
              <w:rPr>
                <w:sz w:val="1"/>
                <w:szCs w:val="1"/>
                <w:color w:val="auto"/>
              </w:rPr>
            </w:pPr>
          </w:p>
        </w:tc>
      </w:tr>
      <w:tr>
        <w:trPr>
          <w:trHeight w:val="151"/>
        </w:trPr>
        <w:tc>
          <w:tcPr>
            <w:tcW w:w="186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32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1,016,987</w:t>
            </w:r>
          </w:p>
        </w:tc>
        <w:tc>
          <w:tcPr>
            <w:tcW w:w="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center"/>
              <w:ind w:right="50"/>
              <w:spacing w:after="0" w:line="151"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0"/>
                <w:szCs w:val="10"/>
                <w:color w:val="auto"/>
                <w:w w:val="79"/>
              </w:rPr>
              <w:t>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gridSpan w:val="3"/>
          </w:tcPr>
          <w:p>
            <w:pPr>
              <w:ind w:left="40"/>
              <w:spacing w:after="0" w:line="151" w:lineRule="exact"/>
              <w:rPr>
                <w:sz w:val="20"/>
                <w:szCs w:val="20"/>
                <w:color w:val="auto"/>
              </w:rPr>
            </w:pPr>
            <w:r>
              <w:rPr>
                <w:rFonts w:ascii="Times New Roman" w:cs="Times New Roman" w:eastAsia="Times New Roman" w:hAnsi="Times New Roman"/>
                <w:sz w:val="14"/>
                <w:szCs w:val="14"/>
                <w:color w:val="auto"/>
                <w:w w:val="96"/>
              </w:rPr>
              <w:t>4,612,450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5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color w:val="auto"/>
                <w:w w:val="85"/>
              </w:rPr>
              <w:t>0</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10"/>
              <w:spacing w:after="0" w:line="151" w:lineRule="exact"/>
              <w:rPr>
                <w:sz w:val="20"/>
                <w:szCs w:val="20"/>
                <w:color w:val="auto"/>
              </w:rPr>
            </w:pPr>
            <w:r>
              <w:rPr>
                <w:rFonts w:ascii="Times New Roman" w:cs="Times New Roman" w:eastAsia="Times New Roman" w:hAnsi="Times New Roman"/>
                <w:sz w:val="14"/>
                <w:szCs w:val="14"/>
                <w:color w:val="auto"/>
                <w:w w:val="97"/>
              </w:rPr>
              <w:t>$ —</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center"/>
              <w:ind w:left="30"/>
              <w:spacing w:after="0" w:line="151"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0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(1,061,457</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(1,061,365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1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40" w:type="dxa"/>
            <w:vAlign w:val="bottom"/>
            <w:gridSpan w:val="7"/>
            <w:vMerge w:val="continue"/>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5"/>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8"/>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gridSpan w:val="5"/>
          </w:tcPr>
          <w:p>
            <w:pPr>
              <w:jc w:val="center"/>
              <w:ind w:left="1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8"/>
          </w:tcPr>
          <w:p>
            <w:pPr>
              <w:jc w:val="right"/>
              <w:ind w:right="11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1300" w:type="dxa"/>
            <w:vAlign w:val="bottom"/>
            <w:gridSpan w:val="10"/>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60" w:type="dxa"/>
            <w:vAlign w:val="bottom"/>
            <w:gridSpan w:val="8"/>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18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9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6"/>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right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3"/>
          </w:tcPr>
          <w:p>
            <w:pPr>
              <w:jc w:val="center"/>
              <w:ind w:right="3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4"/>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3"/>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3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9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86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62,692,927</w:t>
            </w:r>
          </w:p>
        </w:tc>
        <w:tc>
          <w:tcPr>
            <w:tcW w:w="760" w:type="dxa"/>
            <w:vAlign w:val="bottom"/>
            <w:gridSpan w:val="7"/>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$1,026,143</w:t>
            </w:r>
          </w:p>
        </w:tc>
        <w:tc>
          <w:tcPr>
            <w:tcW w:w="40" w:type="dxa"/>
            <w:vAlign w:val="bottom"/>
            <w:shd w:val="clear" w:color="auto" w:fill="CCEEFF"/>
          </w:tcPr>
          <w:p>
            <w:pPr>
              <w:spacing w:after="0"/>
              <w:rPr>
                <w:sz w:val="8"/>
                <w:szCs w:val="8"/>
                <w:color w:val="auto"/>
              </w:rPr>
            </w:pPr>
          </w:p>
        </w:tc>
        <w:tc>
          <w:tcPr>
            <w:tcW w:w="160" w:type="dxa"/>
            <w:vAlign w:val="bottom"/>
            <w:tcBorders>
              <w:right w:val="single" w:sz="8" w:color="auto"/>
            </w:tcBorders>
            <w:shd w:val="clear" w:color="auto" w:fill="CCEEFF"/>
          </w:tcPr>
          <w:p>
            <w:pPr>
              <w:spacing w:after="0"/>
              <w:rPr>
                <w:sz w:val="8"/>
                <w:szCs w:val="8"/>
                <w:color w:val="auto"/>
              </w:rPr>
            </w:pPr>
          </w:p>
        </w:tc>
        <w:tc>
          <w:tcPr>
            <w:tcW w:w="760" w:type="dxa"/>
            <w:vAlign w:val="bottom"/>
            <w:gridSpan w:val="6"/>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58,367,961</w:t>
            </w:r>
          </w:p>
        </w:tc>
        <w:tc>
          <w:tcPr>
            <w:tcW w:w="28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6"/>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4,932,415</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9,251</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(1,138,302)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169"/>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7"/>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760" w:type="dxa"/>
            <w:vAlign w:val="bottom"/>
            <w:gridSpan w:val="6"/>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0" w:type="dxa"/>
            <w:vAlign w:val="bottom"/>
            <w:gridSpan w:val="6"/>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47,781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2,738</w:t>
            </w: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w:t>
            </w:r>
          </w:p>
        </w:tc>
        <w:tc>
          <w:tcPr>
            <w:tcW w:w="3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4"/>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w w:val="98"/>
              </w:rPr>
              <w:t>22,756</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(32,709)</w:t>
            </w:r>
          </w:p>
        </w:tc>
        <w:tc>
          <w:tcPr>
            <w:tcW w:w="60" w:type="dxa"/>
            <w:vAlign w:val="bottom"/>
          </w:tcPr>
          <w:p>
            <w:pPr>
              <w:spacing w:after="0"/>
              <w:rPr>
                <w:sz w:val="12"/>
                <w:szCs w:val="12"/>
                <w:color w:val="auto"/>
              </w:rPr>
            </w:pPr>
          </w:p>
        </w:tc>
        <w:tc>
          <w:tcPr>
            <w:tcW w:w="98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(32,709)</w:t>
            </w:r>
          </w:p>
        </w:tc>
        <w:tc>
          <w:tcPr>
            <w:tcW w:w="0" w:type="dxa"/>
            <w:vAlign w:val="bottom"/>
          </w:tcPr>
          <w:p>
            <w:pPr>
              <w:spacing w:after="0"/>
              <w:rPr>
                <w:sz w:val="1"/>
                <w:szCs w:val="1"/>
                <w:color w:val="auto"/>
              </w:rPr>
            </w:pPr>
          </w:p>
        </w:tc>
      </w:tr>
      <w:tr>
        <w:trPr>
          <w:trHeight w:val="122"/>
        </w:trPr>
        <w:tc>
          <w:tcPr>
            <w:tcW w:w="18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3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(145,466)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4"/>
                <w:szCs w:val="14"/>
                <w:color w:val="auto"/>
                <w:w w:val="97"/>
              </w:rPr>
              <w:t>(3,602)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60" w:type="dxa"/>
            <w:vAlign w:val="bottom"/>
            <w:gridSpan w:val="4"/>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Common stock issued in</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3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130,874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4,305</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3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30"/>
              <w:spacing w:after="0" w:line="14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ind w:left="3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(163,635)</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(163,635)</w:t>
            </w:r>
          </w:p>
        </w:tc>
        <w:tc>
          <w:tcPr>
            <w:tcW w:w="0" w:type="dxa"/>
            <w:vAlign w:val="bottom"/>
          </w:tcPr>
          <w:p>
            <w:pPr>
              <w:spacing w:after="0"/>
              <w:rPr>
                <w:sz w:val="1"/>
                <w:szCs w:val="1"/>
                <w:color w:val="auto"/>
              </w:rPr>
            </w:pPr>
          </w:p>
        </w:tc>
      </w:tr>
      <w:tr>
        <w:trPr>
          <w:trHeight w:val="20"/>
        </w:trPr>
        <w:tc>
          <w:tcPr>
            <w:tcW w:w="1860" w:type="dxa"/>
            <w:vAlign w:val="bottom"/>
            <w:vMerge w:val="restart"/>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860" w:type="dxa"/>
            <w:vAlign w:val="bottom"/>
            <w:vMerge w:val="continue"/>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62,740,708</w:t>
            </w:r>
          </w:p>
        </w:tc>
        <w:tc>
          <w:tcPr>
            <w:tcW w:w="7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1,051,637</w:t>
            </w: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7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58,367,961</w:t>
            </w:r>
          </w:p>
        </w:tc>
        <w:tc>
          <w:tcPr>
            <w:tcW w:w="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5,063,289</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3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w w:val="97"/>
              </w:rPr>
              <w:t>$ (145,466)</w:t>
            </w:r>
          </w:p>
        </w:tc>
        <w:tc>
          <w:tcPr>
            <w:tcW w:w="7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 (3,602)</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13,556</w:t>
            </w:r>
          </w:p>
        </w:tc>
        <w:tc>
          <w:tcPr>
            <w:tcW w:w="140" w:type="dxa"/>
            <w:vAlign w:val="bottom"/>
          </w:tcPr>
          <w:p>
            <w:pPr>
              <w:spacing w:after="0"/>
              <w:rPr>
                <w:sz w:val="10"/>
                <w:szCs w:val="10"/>
                <w:color w:val="auto"/>
              </w:rPr>
            </w:pPr>
          </w:p>
        </w:tc>
        <w:tc>
          <w:tcPr>
            <w:tcW w:w="8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(1,334,646)</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(1,324,697)</w:t>
            </w:r>
          </w:p>
        </w:tc>
        <w:tc>
          <w:tcPr>
            <w:tcW w:w="0" w:type="dxa"/>
            <w:vAlign w:val="bottom"/>
          </w:tcPr>
          <w:p>
            <w:pPr>
              <w:spacing w:after="0"/>
              <w:rPr>
                <w:sz w:val="1"/>
                <w:szCs w:val="1"/>
                <w:color w:val="auto"/>
              </w:rPr>
            </w:pPr>
          </w:p>
        </w:tc>
      </w:tr>
      <w:tr>
        <w:trPr>
          <w:trHeight w:val="169"/>
        </w:trPr>
        <w:tc>
          <w:tcPr>
            <w:tcW w:w="1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vMerge w:val="continue"/>
          </w:tcPr>
          <w:p>
            <w:pPr>
              <w:spacing w:after="0"/>
              <w:rPr>
                <w:sz w:val="14"/>
                <w:szCs w:val="14"/>
                <w:color w:val="auto"/>
              </w:rPr>
            </w:pPr>
          </w:p>
        </w:tc>
        <w:tc>
          <w:tcPr>
            <w:tcW w:w="760" w:type="dxa"/>
            <w:vAlign w:val="bottom"/>
            <w:gridSpan w:val="7"/>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760" w:type="dxa"/>
            <w:vAlign w:val="bottom"/>
            <w:gridSpan w:val="6"/>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327" w:lineRule="exact"/>
        <w:rPr>
          <w:sz w:val="20"/>
          <w:szCs w:val="20"/>
          <w:color w:val="auto"/>
        </w:rPr>
      </w:pPr>
    </w:p>
    <w:p>
      <w:pPr>
        <w:ind w:left="460" w:right="6320" w:hanging="455"/>
        <w:spacing w:after="0" w:line="412" w:lineRule="auto"/>
        <w:tabs>
          <w:tab w:leader="none" w:pos="453"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at September 30, 2023, inclusive of proceeds from the Series G-4 Financing and additional Ares term debt received in October 2023, will be sufficient to allow the Company to fund its current operating plan through at least a period of one year from the date of issuance.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Unaudited Interim Consolidated Financial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accompanying interim consolidated balance sheet as of September 30, 2023, the consolidated statements of operations and comprehensive income (loss) for the nine months ended September 30, 2022 and 2023, redeemable convertible preferred stock, common stock and stockholders’ deficit, and cash flows for the nine months ended September 30, 2022 and 2023, and the related footnote disclosures are unaudited. In management’s opinion, the unaudited interim consolidated financial statements include all adjustments necessary to state fairly the Company’s financial position as of September 30, 2023 and its results of operations for the nine months ended September 30, 2022 and 2023 and the cash flows for the nine months ended September 30, 2022 and 2023. The results of operations for the nine months ended September 30, 2023 are not necessary indicative of the results expected for the year ending December 31, 2023 or any other future period.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Revenue from COVID-19 testing accounted for $94.7 million, or 36.7%, of our revenue in the year ended December 31, 2021, $22.2 million, or 6.9%, of our revenue in the year ended December 31, 2022, and $17.5 million, or 7.9%, of total revenue for the nine months ended September 30, 2022. Revenue from COVID-19 testing was $2.7 million, or 0.7% of total revenue, for the nine months ended September 30, 2023.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The Company stopped offering COVID-19 PCR diagnostic tests in the first quarter of 2023, at which time we shifted resources from COVID-19 testing to other aspects of the business.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an equipment lease. The Company had $0.8 million of restricted cash as of December 31, 2021 and 2022, and September 30, 2023, respectively.</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$0.3 million, $2.9 million and $2.4 million as of December 31, 2021 and 2022 and September 30, 2023,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Revenue from one customer accounted for 7.2%, 8.3%, 6.9%, and 7.5% of the Company’s revenues for the years ended December 31, 2021 and 2022, and the nine months ended September 30, 2022 and 2023, respectively. The amount due from this customer was approximately $9.7 million or 11.8%, $6.9 million or 7.8%, $0 or 0%, and $3.0 million or 2.7%, of accounts receivable as of December 31, 2021 and 2022, and September 30, 2022 and 2023, respectively.</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Revenue from one other customer accounted for 5.4% of the Company’s revenues for the nine months ended September 30, 2023. This customer did not represent a significant portion of total revenues for the years ended December 31, 2021 or 2022 or for the nine months ended September 30, 2022.</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the nine months ended September 30, 2022, revenue from two customers accounted for approximately 5.3% and 5.1% of our total revenues, respectively. The amounts due from these two customers, respectively, are approximately $5.6 million, or 7.7%, and $7.2 million, or 9.9%, of accounts receivable as of September 30, 2022. The same two customers did not represent a significant portion of total revenues for the years ended December 31, 2021 and 2022, or the nine months ended September 30, 2023.</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Three additional customers did not represent a significant portion of total revenues for the years ended December 31, 2021 and 2022, or for the nine months ended September 30, 2022 or 2023 but accounted for $10.1 million or 11.4%, $6.3 million or 7.1%, and $6.1 million or 6.8%, respectively, of accounts receivable as of December 31, 2022. These three customers did not represent a significant portion of accounts receivable as of December 31, 2021 or September 30, 2022 or 2023.</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One additional customer, which did not represent a significant portion of total revenues for the years ended December 31, 2021 or 2022 or for the nine months ended September 30, 2022 or September 30, 2023 accounted for $14.5 million, or 13.0%, of accounts receivable as of September 30, 2023. This additional customer did not represent a significant portion of accounts receivable as of December 31, 2021 or 2022 or as of September 30, 2022.</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also has concentration risk around revenue generated from COVID-19 testing. Revenue from COVID-19 testing was $94.7 million and $22.2 million or 36.7% and 6.9% of the Company’s total revenues for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years ended December 31, 2021 and 2022, respectively. Revenue from COVID-19 testing was $17.5 million, or 7.9%, of total revenue for the nine months ended September 30, 2022. Revenue from COVID-19 testing was not material for the nine months ended September 30, 2023.</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For the year ended December 31, 2021, the Company recorded $5.1 million of inventory write-downs to Cost of revenues, genomics, primarily related to the expiration of COVID-19 testing kits and oncology lab supplies. For the year ended December 31, 2022 and for the nine months ended September 30, 2022, the Company increased its inventory reserve by $1.9 million related to the expiration of COVID-19 testing kits. As of December 31, 2021, the Company had approximately $22.2 million of inventory and $0.7 million of inventory in process in the labs. As of December 31, 2022, the Company had approximately $21.1 million of inventory and $1.2 million of inventory in process in the labs. As of September 30, 2023, the Company had approximately $25.6 million of inventory and $1.6 million of inventory in process in the labs.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25% and 35% of total vendor payments for the year ended December 31, 2021 and 2022, respectively, and approximately 38% and 34% of total vendor payments for the nine months ended September 30, 2022 and 2023, respectively. Amounts due to this vendor approximated $0.9 million, $8.2 million, and $11.6 million at December 31, 2021 and 2022, and September 30,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$17.3 million, $19.5 million, and $22.1 million at December 31, 2021 and 2022, and September 30,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 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There were no impairment charges recognized related to long-lived assets during the years ended December 31, 2021 and 2022 or during the nine months ended September 30, 2022 and 2023.</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2021 and 2022 or the nine months ended September 30, 2022 and 2023.</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2022 and September 30, 2023,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2"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commences revenue recognition when control of these products is transferred to customers in an amount that reflects the consideration the Company expects to be entitled to in exchange for such products. This principle is achieved by applying the five-step approach:</w:t>
      </w:r>
    </w:p>
    <w:p>
      <w:pPr>
        <w:spacing w:after="0" w:line="180" w:lineRule="exact"/>
        <w:rPr>
          <w:sz w:val="20"/>
          <w:szCs w:val="20"/>
          <w:color w:val="auto"/>
        </w:rPr>
      </w:pPr>
    </w:p>
    <w:p>
      <w:pPr>
        <w:jc w:val="both"/>
        <w:ind w:firstLine="459"/>
        <w:spacing w:after="0" w:line="255" w:lineRule="auto"/>
        <w:tabs>
          <w:tab w:leader="none" w:pos="67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or other third parties for direct bill orders. The Company recognized Genomics revenue of $195.0 million and $198.0 million for the years ended December 31, 2021 and 2022, respectively. The Company recognized Genomics revenue of $140.1 million and $270.8 million for the nine months ended September 30, 2022 and 2023, respectively.</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$151.1 million and $157.2 million for the years ended December 31, 2021 and 2022, respectively. The Company recognized revenue for clinical orders of $110.5 million and $245.2 million for the nine months ended September 30, 2022 and 2023, respectively.</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$43.9 million and $40.8 million for the years ended December 31, 2021 and 2022, respectively. The Company recognized Genomics revenue for direct bill orders of $29.6 million and $25.6 million for the nine months ended September 30, 2022 and 2023, respectively.</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A description of the Company’s two product offerings are as follows: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 </w:t>
      </w:r>
      <w:r>
        <w:rPr>
          <w:rFonts w:ascii="Times New Roman" w:cs="Times New Roman" w:eastAsia="Times New Roman" w:hAnsi="Times New Roman"/>
          <w:sz w:val="18"/>
          <w:szCs w:val="18"/>
          <w:color w:val="auto"/>
        </w:rPr>
        <w:t>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 </w:t>
      </w:r>
      <w:r>
        <w:rPr>
          <w:rFonts w:ascii="Times New Roman" w:cs="Times New Roman" w:eastAsia="Times New Roman" w:hAnsi="Times New Roman"/>
          <w:sz w:val="18"/>
          <w:szCs w:val="18"/>
          <w:color w:val="auto"/>
        </w:rPr>
        <w:t>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 </w:t>
      </w:r>
      <w:r>
        <w:rPr>
          <w:rFonts w:ascii="Times New Roman" w:cs="Times New Roman" w:eastAsia="Times New Roman" w:hAnsi="Times New Roman"/>
          <w:sz w:val="18"/>
          <w:szCs w:val="18"/>
          <w:color w:val="auto"/>
        </w:rPr>
        <w:t>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 </w:t>
      </w:r>
      <w:r>
        <w:rPr>
          <w:rFonts w:ascii="Times New Roman" w:cs="Times New Roman" w:eastAsia="Times New Roman" w:hAnsi="Times New Roman"/>
          <w:sz w:val="18"/>
          <w:szCs w:val="18"/>
          <w:color w:val="auto"/>
        </w:rPr>
        <w:t>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Insights products of $56.0 million and $90.1 million for the years ended December 31, 2021 and 2022, respectively. The Company recognized revenue from Insights products of $56.9 million and $78.4 million for the nine months ended September 30, 2022 and 2023,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of costs to complete its projects on an ongoing basis. Contract costs principally include direct labor and reimbursable out-of-pocket costs.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$6.0 million and $31.2 million for the years ended December 31, 2021 and 2022, respectively.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revenue from Trials products of $21.9 million and $31.6 million for the nine months ended September 30, 2022 and 2023, respectively.</w:t>
      </w:r>
    </w:p>
    <w:p>
      <w:pPr>
        <w:spacing w:after="0" w:line="21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services revenue from pharmaceutical companies, not-for-profits, and researchers of $62.8 million and $122.7 million for the years ended December 31, 2021 and 2022, respectively. The Company recognized Data and services revenue from pharmaceutical companies, not-for-profits, and researchers of $80.0 million and $113.3 million for the nine months ended September 30, 2022 and 2023, respectively.</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 defined, noncancelable performance obligations that will be fulfilled in future years. The Company’s remaining performance obligations related to multi-year contracts was $129.1 million as of December 31, 2022, respectively, of which the Company expects to recognize approximately 42% of its remaining performance obligations as revenue next year, and the remaining 39%, and 19%, of its remaining performance obligations as revenue in years two and three, and respectively. The Company’s remaining performance obligations related to these contracts was $116.5 million as of September 30, 2023, of which the Company expects to recognize approximately 58% as revenue over the next year, and the remaining 35%, and 7%, of its remaining performance obligations as revenue in years two and three, and respectively.</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2021 and December 31, 2022 and September 30, 2023 included contract assets of $18.5 million, $7.6 million, and $4.3 million, respectively.</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Prepaids expenses and other current assets.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2021 and 2022 and September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260" w:type="dxa"/>
            <w:vAlign w:val="bottom"/>
            <w:tcBorders>
              <w:bottom w:val="single" w:sz="8" w:color="CCEEFF"/>
            </w:tcBorders>
          </w:tcPr>
          <w:p>
            <w:pPr>
              <w:spacing w:after="0"/>
              <w:rPr>
                <w:sz w:val="14"/>
                <w:szCs w:val="14"/>
                <w:color w:val="auto"/>
              </w:rPr>
            </w:pPr>
          </w:p>
        </w:tc>
        <w:tc>
          <w:tcPr>
            <w:tcW w:w="2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03"/>
        </w:trPr>
        <w:tc>
          <w:tcPr>
            <w:tcW w:w="52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23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5,216</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40" w:type="dxa"/>
            <w:vAlign w:val="bottom"/>
            <w:shd w:val="clear" w:color="auto" w:fill="CCEEFF"/>
          </w:tcPr>
          <w:p>
            <w:pPr>
              <w:spacing w:after="0"/>
              <w:rPr>
                <w:sz w:val="17"/>
                <w:szCs w:val="17"/>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31,067</w:t>
            </w: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24,948</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19,987</w:t>
            </w:r>
          </w:p>
        </w:tc>
      </w:tr>
      <w:tr>
        <w:trPr>
          <w:trHeight w:val="26"/>
        </w:trPr>
        <w:tc>
          <w:tcPr>
            <w:tcW w:w="52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25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36,283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31,563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26,602</w:t>
            </w:r>
          </w:p>
        </w:tc>
      </w:tr>
      <w:tr>
        <w:trPr>
          <w:trHeight w:val="20"/>
        </w:trPr>
        <w:tc>
          <w:tcPr>
            <w:tcW w:w="5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and Services product offerings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$7.0 million and $13.8 million during the years ended December 31, 2021 and 2022, respectively, that was included in deferred revenue at the beginning of the period. For the nine months ended September 30, 2022 and 2023, the Company recognized revenue of $10.4 million and $35.7 million, respectively, that was included in the corresponding deferred revenue balance at the beginning of the periods.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laboratory rent expense,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services includes data acquisition and royalty fees, and personnel costs related to our delivery of our data services and platform, cloud costs, and certain allocated overhead expenses. Costs associated with performing data services are recorded as incurred.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2021 and 2022 and the nine months ended September 30, 2022 and 2023, the Company did not match any employee contributions.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Company had tax effected federal and state net operating loss (“NOL”) carry forwards of approximately $164.0 million and $32.8 million, respectively, which may be available to offset future taxable income. The NOLs will begin to expire in 2037.</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2021 and 2022 and September 30, 2023, there are no uncertain positions taken or expected to be taken that would require recognition of a liability in the financial statements.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2022 and September 30, 2023, the Company was not under audit in any jurisdiction.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is presented in conformity with the two-class method required for participating securities. The Company considers all series of its redeemable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$3.9 million, $5.3 million, and $6.3 million of deferred offering costs as of December 31, 2021 and 2022 and September 30,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8"/>
          <w:szCs w:val="18"/>
          <w:i w:val="1"/>
          <w:iCs w:val="1"/>
          <w:color w:val="auto"/>
        </w:rPr>
        <w:t>Distinguishing Liabilities from Equity (“</w:t>
      </w:r>
      <w:r>
        <w:rPr>
          <w:rFonts w:ascii="Times New Roman" w:cs="Times New Roman" w:eastAsia="Times New Roman" w:hAnsi="Times New Roman"/>
          <w:sz w:val="18"/>
          <w:szCs w:val="18"/>
          <w:color w:val="auto"/>
        </w:rPr>
        <w:t>ASC 480”). The fair value of the warrant liability is measured each reporting period and any change in fair value of the warrant liability is recorded in Other expense,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and G-3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The FASB issued ASU 2018-15, </w:t>
      </w:r>
      <w:r>
        <w:rPr>
          <w:rFonts w:ascii="Times New Roman" w:cs="Times New Roman" w:eastAsia="Times New Roman" w:hAnsi="Times New Roman"/>
          <w:sz w:val="18"/>
          <w:szCs w:val="18"/>
          <w:i w:val="1"/>
          <w:iCs w:val="1"/>
          <w:color w:val="auto"/>
        </w:rPr>
        <w:t>Customer’s Accounting for Implementation Costs Incurred in a Cloud Computing Arrangement that is a Service Contract</w:t>
      </w:r>
      <w:r>
        <w:rPr>
          <w:rFonts w:ascii="Times New Roman" w:cs="Times New Roman" w:eastAsia="Times New Roman" w:hAnsi="Times New Roman"/>
          <w:sz w:val="18"/>
          <w:szCs w:val="18"/>
          <w:color w:val="auto"/>
        </w:rPr>
        <w:t>, In August 2018. ASU 2018-15 requires a customer in a cloud computing arrangement that is a service contract to follow the internal-use software guidance in ASC 350-40 to determine which implementation costs to defer and recognize as an asset. The guidance is effective for the fiscal year beginning January 1, 2021, and interim periods within annual periods beginning after December 15, 2021. Early adoption is permitted. The Company adopted the guidance as of January 1, 2021 on a prospective basis. The adoption did not have a material effect on the Company’s consolidated financial statements.</w:t>
      </w:r>
    </w:p>
    <w:p>
      <w:pPr>
        <w:spacing w:after="0" w:line="18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November 2018, the FASB issued ASU 2018-18, Collaborative Arrangements (Topic 808</w:t>
      </w:r>
      <w:r>
        <w:rPr>
          <w:rFonts w:ascii="Times New Roman" w:cs="Times New Roman" w:eastAsia="Times New Roman" w:hAnsi="Times New Roman"/>
          <w:sz w:val="18"/>
          <w:szCs w:val="18"/>
          <w:i w:val="1"/>
          <w:iCs w:val="1"/>
          <w:color w:val="auto"/>
        </w:rPr>
        <w:t>): Clarifying the Interaction between Topic 808 and Topic 606</w:t>
      </w:r>
      <w:r>
        <w:rPr>
          <w:rFonts w:ascii="Times New Roman" w:cs="Times New Roman" w:eastAsia="Times New Roman" w:hAnsi="Times New Roman"/>
          <w:sz w:val="18"/>
          <w:szCs w:val="18"/>
          <w:color w:val="auto"/>
        </w:rPr>
        <w:t>. This ASU provides guidance that clarifies when certain transactions between participants in a collaborative arrangement should be accounted for under ASC 606 when the counterparty is a customer, and amends ASC 808 to refer to the unit-of-account guidance in ASC 606. The guidance specifically precludes an entity from presenting consideration from a transaction in a collaborative arrangement as revenue from contracts with customers if the counterparty is not a customer for that transaction. The Company adopted the guidance as of January 1, 2021. The adoption did not have a material effect on the Company’s consolidated financial statements.</w:t>
      </w:r>
    </w:p>
    <w:p>
      <w:pPr>
        <w:spacing w:after="0" w:line="187"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color w:val="auto"/>
        </w:rPr>
        <w:t xml:space="preserve">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(Topic 842) (ASU 2016-02), in February 2016. ASU 2016-02 requires lessees to recognize, at commencement date, a lease liability representing the lessee’s obligation to make payments arising from the lease and a right-of-use asset representing the lessee’s right to use or control the use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which clarifies that an acquirer of a business should recognize and measure contract assets and contract liabilities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191"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Measurement of Credit Losses on Financial Instruments (“ASU No. 2016-13”). ASU No. 2016-13 requires the measurement and recognition of expected credit losses for financial assets that are held at amortized cost, including trade receivables. ASU No. 2016-13 replaces the previous incurred loss impairment model with an expected loss model which requires the use of forward-looking information to calculate credit loss estimates. The Company adopted the guidance as of January 1, 2023. The adoption of the standard did not have a material impact the Company’s financial statements. As part of our adoption of Topic 326, we assess our accounts receivables for expected credit losses at each reporting period by disaggregating by customers with similar characteristics, such as customer type and industry. The Company reviews for expected credit losses based on the age of an invoice, historical payment trends, as well as forward looking data and current economic trends. If a credit loss is determined, we record a reduction to our accounts receivable balance with a corresponding selling, general, and administrative expense.</w:t>
      </w:r>
    </w:p>
    <w:p>
      <w:pPr>
        <w:spacing w:after="0" w:line="303" w:lineRule="exact"/>
        <w:rPr>
          <w:sz w:val="20"/>
          <w:szCs w:val="20"/>
          <w:color w:val="auto"/>
        </w:rPr>
      </w:pPr>
    </w:p>
    <w:p>
      <w:pPr>
        <w:ind w:left="460" w:hanging="455"/>
        <w:spacing w:after="0"/>
        <w:tabs>
          <w:tab w:leader="none" w:pos="46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Mpirik</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non-voting common stock, $4.7 million of cash, and contingent consideration payable in cash with an acquisition date fair value of $0.4 million. In accordance with the terms of the agreement, $0.8 million in cash consideration and $0.3 million in equity consideration was held back and is payable on March 11, 2024.</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Cash consideration of $4.7 million is net of a $0.3 million net working capital adjustment. In accordance with the terms of the agreement, the securityholders of the acquired business will be entitled to receive contingent consideration from the Company payable in an aggregate value of $1.0 million in cash, contingent upon the acquired business reaching a revenue target of $1.5 million for the twelve-month period ending December 31, 2023. The contingent consideration has an acquisition fair value date of $0.4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See Note 14 for more information. In addition, the Company issued 17,450 performance stock units to certain retained Mpirik employees on the closing date of the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paid back to Tempus in March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services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estimated net working capital deficiency of $0.5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deemed to be a purchase of assets for tax purposes, the tax basis in goodwill is equal to the book basis in goodwill, and it will be amortized over a 15 year period for tax purposes. The trade names and customer relationships intangible assets were established with seven year and three year remaining useful lives, respectively.</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unaudited pro forma information shows the results of the Company’s operations as though the acquisition had occurred as of the beginning of the comparable period, January 1, 2021,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r>
      <w:tr>
        <w:trPr>
          <w:trHeight w:val="144"/>
        </w:trPr>
        <w:tc>
          <w:tcPr>
            <w:tcW w:w="66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660" w:type="dxa"/>
            <w:vAlign w:val="bottom"/>
          </w:tcPr>
          <w:p>
            <w:pPr>
              <w:spacing w:after="0"/>
              <w:rPr>
                <w:sz w:val="14"/>
                <w:szCs w:val="14"/>
                <w:color w:val="auto"/>
              </w:rPr>
            </w:pPr>
          </w:p>
        </w:tc>
        <w:tc>
          <w:tcPr>
            <w:tcW w:w="4580" w:type="dxa"/>
            <w:vAlign w:val="bottom"/>
            <w:gridSpan w:val="2"/>
          </w:tcPr>
          <w:p>
            <w:pPr>
              <w:jc w:val="center"/>
              <w:ind w:left="370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4"/>
                <w:szCs w:val="14"/>
                <w:color w:val="auto"/>
              </w:rPr>
            </w:pPr>
          </w:p>
        </w:tc>
      </w:tr>
      <w:tr>
        <w:trPr>
          <w:trHeight w:val="203"/>
        </w:trPr>
        <w:tc>
          <w:tcPr>
            <w:tcW w:w="66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37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269,211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applicable to common shares</w:t>
            </w:r>
          </w:p>
        </w:tc>
        <w:tc>
          <w:tcPr>
            <w:tcW w:w="4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(263,134)</w:t>
            </w:r>
          </w:p>
        </w:tc>
      </w:tr>
    </w:tbl>
    <w:p>
      <w:pPr>
        <w:spacing w:after="0" w:line="17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pro forma results have been prepared for comparative purposes only and are not necessarily indicative of the actual results of operations had the acquisition taken place as of the beginning of the period presented, or the results that may occur in the future. The results were prepared utilizing the actual results of the business, adjusted to include $2.1 million of amortization expense and $2.5 million of selling, general and administrative expense related to the contingent payments.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2022, Highline contributed $19.8 million in net revenue within the Data and services revenue line and $5.0 million of net loss to the consolidated Tempus results.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AI, Inc. purchased 100% of the issued and outstanding shares of capital stock of AKESOgen for $30.3 million, with an adjustment for working capital. In accordance with the terms of the agreement, $4.0 million of the consideration was held back, which was subsequently paid in July 2021. The transaction also included a contingent consideration arrangement to transfer</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 and subsequently repurchased by the Company in January 2023.</w:t>
      </w:r>
    </w:p>
    <w:p>
      <w:pPr>
        <w:spacing w:after="0" w:line="329" w:lineRule="exact"/>
        <w:rPr>
          <w:sz w:val="20"/>
          <w:szCs w:val="20"/>
          <w:color w:val="auto"/>
        </w:rPr>
      </w:pPr>
    </w:p>
    <w:p>
      <w:pPr>
        <w:ind w:right="8100" w:firstLine="5"/>
        <w:spacing w:after="0" w:line="412" w:lineRule="auto"/>
        <w:tabs>
          <w:tab w:leader="none" w:pos="446"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2021 and 2022 and September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7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3"/>
        </w:trPr>
        <w:tc>
          <w:tcPr>
            <w:tcW w:w="77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47,750</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89,377</w:t>
            </w:r>
          </w:p>
        </w:tc>
        <w:tc>
          <w:tcPr>
            <w:tcW w:w="100" w:type="dxa"/>
            <w:vAlign w:val="bottom"/>
            <w:shd w:val="clear" w:color="auto" w:fill="CCEEFF"/>
          </w:tcPr>
          <w:p>
            <w:pPr>
              <w:spacing w:after="0"/>
              <w:rPr>
                <w:sz w:val="17"/>
                <w:szCs w:val="17"/>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23,716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30,390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41,031</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6,573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7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137,041</w:t>
            </w:r>
          </w:p>
        </w:tc>
        <w:tc>
          <w:tcPr>
            <w:tcW w:w="100" w:type="dxa"/>
            <w:vAlign w:val="bottom"/>
          </w:tcPr>
          <w:p>
            <w:pPr>
              <w:spacing w:after="0"/>
              <w:rPr>
                <w:sz w:val="18"/>
                <w:szCs w:val="18"/>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(42,644)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(58,245)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(73,903)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2022 and the nine months ended September 30, 2022 and 2023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3"/>
        </w:trPr>
        <w:tc>
          <w:tcPr>
            <w:tcW w:w="5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00" w:type="dxa"/>
            <w:vAlign w:val="bottom"/>
            <w:tcBorders>
              <w:top w:val="single" w:sz="8" w:color="auto"/>
            </w:tcBorders>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tcPr>
          <w:p>
            <w:pPr>
              <w:jc w:val="right"/>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Borders>
              <w:top w:val="single" w:sz="8" w:color="auto"/>
            </w:tcBorders>
            <w:gridSpan w:val="4"/>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5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7,504</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5,462</w:t>
            </w: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9,729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7,133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5,929</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1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0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0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18,769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32,439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41,786</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5,906</w:t>
            </w:r>
          </w:p>
        </w:tc>
        <w:tc>
          <w:tcPr>
            <w:tcW w:w="0" w:type="dxa"/>
            <w:vAlign w:val="bottom"/>
          </w:tcPr>
          <w:p>
            <w:pPr>
              <w:spacing w:after="0"/>
              <w:rPr>
                <w:sz w:val="1"/>
                <w:szCs w:val="1"/>
                <w:color w:val="auto"/>
              </w:rPr>
            </w:pPr>
          </w:p>
        </w:tc>
      </w:tr>
      <w:tr>
        <w:trPr>
          <w:trHeight w:val="216"/>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F-26</w:t>
            </w: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0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and Other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21, 2021, the Company contributed $5.9 million in cash for a minority interest in a research platform in service of advancing data-driven medicine in psychiatry. The Company concurrently entered a Commercial partnership agreement with the investee for the purpose of furthering the commercialization efforts of the associated research platform. The commercial partnership agreement includes committed payments for access to the data and additional payments contingent on the commercialization of such data. The annual license fee commitment is not materially significant.</w:t>
      </w:r>
    </w:p>
    <w:p>
      <w:pPr>
        <w:spacing w:after="0" w:line="327" w:lineRule="exact"/>
        <w:rPr>
          <w:sz w:val="20"/>
          <w:szCs w:val="20"/>
          <w:color w:val="auto"/>
        </w:rPr>
      </w:pPr>
    </w:p>
    <w:p>
      <w:pPr>
        <w:ind w:left="460" w:hanging="455"/>
        <w:spacing w:after="0"/>
        <w:tabs>
          <w:tab w:leader="none" w:pos="4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1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The changes in the carrying amount of goodwill for the years ended December 31, 2021 and 2022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53,100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During the nine months ended September 30, 2022 and 2023, goodwill of $26.0 million and $10.6 million was recorded in connection with the acquisitions of Highline and Mpirik, respectively.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2021 and 2022 or for the nine months ended September 30, 2022 and 2023.</w:t>
      </w:r>
    </w:p>
    <w:p>
      <w:pPr>
        <w:spacing w:after="0" w:line="21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2021, the gross amount of intangible assets increased $3.0 million, resulting from the extension of a research collaboration agreement. 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nine months ended September 30, 2023. A $7.9 million gain resulting from the related reduction of future data license payments was also recorded in Research and development during the nine months ended September 30, 2023. The impairment resulted in a reduction of $40.1 million and $32.7 million to gross intangible assets and accumulated amortization,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2021 and 2022 and September 30,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gridSpan w:val="2"/>
          </w:tcPr>
          <w:p>
            <w:pPr>
              <w:jc w:val="center"/>
              <w:ind w:right="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640" w:type="dxa"/>
            <w:vAlign w:val="bottom"/>
            <w:gridSpan w:val="2"/>
          </w:tcPr>
          <w:p>
            <w:pPr>
              <w:jc w:val="right"/>
              <w:ind w:right="16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9"/>
                <w:szCs w:val="9"/>
                <w:color w:val="auto"/>
              </w:rPr>
            </w:pPr>
          </w:p>
        </w:tc>
        <w:tc>
          <w:tcPr>
            <w:tcW w:w="10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2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8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$17,300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4,943</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$12,357</w:t>
            </w:r>
          </w:p>
        </w:tc>
        <w:tc>
          <w:tcPr>
            <w:tcW w:w="2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$11,969</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$20,550</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11,372</w:t>
            </w: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9,178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28,625</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24,910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37,179</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18,433</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9,638</w:t>
            </w: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1,143</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6,857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70,854</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33,568</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37,286</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84,181</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46,903</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37,278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47,890</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23,055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24,835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$10.1 million and $13.3 million for the years ended December 31, 2021 and December 31, 2022, respectively, and $9.9 million and $8.9 million for the nine months ended September 30, 2022 and 2023, respectively, and is recorded in cost of revenues, technology research and development or research and development, depending on use of the asset. The weighted average life of our intangibles is approximately six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2022, the estimated future amortization expense related to intangible assets is as follows (in thousands):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$ 13,724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$ 37,259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7540" w:hanging="455"/>
        <w:spacing w:after="0" w:line="366" w:lineRule="auto"/>
        <w:tabs>
          <w:tab w:leader="none" w:pos="45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2021 and 2022, the Company recognized data licensing and cloud computing expenses of $39.3 million and $31.1 million, respectively, related to non-cancelable arrangements.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195"/>
        </w:trPr>
        <w:tc>
          <w:tcPr>
            <w:tcW w:w="10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922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05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 of December 31, 2022, future payments under these contractual obligations were as follows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105,749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105,349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As of September 30, 2023, future payments under these contractual obligations were as follows (in thousands):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9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9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115,055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114,939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79,450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 Company had no outstanding litigation as of December 31, 2022 or as of September 30, 2023.</w:t>
      </w:r>
    </w:p>
    <w:p>
      <w:pPr>
        <w:spacing w:after="0" w:line="312" w:lineRule="exact"/>
        <w:rPr>
          <w:sz w:val="20"/>
          <w:szCs w:val="20"/>
          <w:color w:val="auto"/>
        </w:rPr>
      </w:pPr>
    </w:p>
    <w:p>
      <w:pPr>
        <w:ind w:left="460" w:hanging="455"/>
        <w:spacing w:after="0"/>
        <w:tabs>
          <w:tab w:leader="none" w:pos="4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total lease costs for the year ended December 31, 2022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6,426</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6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r>
      <w:tr>
        <w:trPr>
          <w:trHeight w:val="210"/>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65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11,508</w:t>
            </w:r>
          </w:p>
        </w:tc>
        <w:tc>
          <w:tcPr>
            <w:tcW w:w="1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46"/>
        </w:trPr>
        <w:tc>
          <w:tcPr>
            <w:tcW w:w="4160" w:type="dxa"/>
            <w:vAlign w:val="bottom"/>
          </w:tcPr>
          <w:p>
            <w:pPr>
              <w:spacing w:after="0"/>
              <w:rPr>
                <w:sz w:val="24"/>
                <w:szCs w:val="24"/>
                <w:color w:val="auto"/>
              </w:rPr>
            </w:pPr>
          </w:p>
        </w:tc>
        <w:tc>
          <w:tcPr>
            <w:tcW w:w="6580" w:type="dxa"/>
            <w:vAlign w:val="bottom"/>
            <w:gridSpan w:val="2"/>
          </w:tcPr>
          <w:p>
            <w:pPr>
              <w:jc w:val="right"/>
              <w:ind w:right="4818"/>
              <w:spacing w:after="0"/>
              <w:rPr>
                <w:sz w:val="20"/>
                <w:szCs w:val="20"/>
                <w:color w:val="auto"/>
              </w:rPr>
            </w:pPr>
            <w:r>
              <w:rPr>
                <w:rFonts w:ascii="Times New Roman" w:cs="Times New Roman" w:eastAsia="Times New Roman" w:hAnsi="Times New Roman"/>
                <w:sz w:val="18"/>
                <w:szCs w:val="18"/>
                <w:color w:val="auto"/>
              </w:rPr>
              <w:t>F-29</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40"/>
          </w:cols>
          <w:pgMar w:left="320" w:top="443" w:right="239" w:bottom="1440" w:gutter="0" w:footer="0" w:header="0"/>
        </w:sectPr>
      </w:pPr>
    </w:p>
    <w:bookmarkStart w:id="288" w:name="page289"/>
    <w:bookmarkEnd w:id="2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9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814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9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Lease term and discount rate as of December 31, 2022 are as follows: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30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the future payments under operating and finance leases for each of the next five years and thereafter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88"/>
              </w:rPr>
              <w:t>294</w:t>
            </w:r>
          </w:p>
        </w:tc>
        <w:tc>
          <w:tcPr>
            <w:tcW w:w="4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8,760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w w:val="74"/>
              </w:rPr>
              <w:t>6</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288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there were no material changes to the Company’s total lease costs, lease term and discount rate, or lease obligations.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elected the modified retrospective approach and is required to present previously disclosed information under the prior accounting standards for leases. Rent expense recorded under ASC 840 for the year ended December 31, 2021 was $9.3 million. As of December 31, 2021, the future payments under operating and capital leases for each of the next five years and thereafter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Capital Leases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2022</w:t>
            </w:r>
          </w:p>
        </w:tc>
        <w:tc>
          <w:tcPr>
            <w:tcW w:w="37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Times New Roman" w:cs="Times New Roman" w:eastAsia="Times New Roman" w:hAnsi="Times New Roman"/>
                <w:sz w:val="18"/>
                <w:szCs w:val="18"/>
                <w:color w:val="auto"/>
                <w:w w:val="88"/>
              </w:rPr>
              <w:t>454</w:t>
            </w:r>
          </w:p>
        </w:tc>
        <w:tc>
          <w:tcPr>
            <w:tcW w:w="9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765</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360"/>
              <w:spacing w:after="0" w:line="202" w:lineRule="exact"/>
              <w:rPr>
                <w:sz w:val="20"/>
                <w:szCs w:val="20"/>
                <w:color w:val="auto"/>
              </w:rPr>
            </w:pPr>
            <w:r>
              <w:rPr>
                <w:rFonts w:ascii="Times New Roman" w:cs="Times New Roman" w:eastAsia="Times New Roman" w:hAnsi="Times New Roman"/>
                <w:sz w:val="18"/>
                <w:szCs w:val="18"/>
                <w:color w:val="auto"/>
                <w:w w:val="77"/>
              </w:rPr>
              <w:t>55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710</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capital lease liabilities</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capital lease liabilities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1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F-30</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3"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640" w:hanging="455"/>
        <w:spacing w:after="0" w:line="366" w:lineRule="auto"/>
        <w:tabs>
          <w:tab w:leader="none" w:pos="453"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has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twenty-year anniversary of the filing of the certificate of amendment to the Company’s ninth amended and restated certificate of incorporation, which is March 15, 2041; (3) the termination of Mr. Lefkofsky’s employment or service with the Company as an executive officer and member of the board of directors; and (4) the date that Mr. Lefkofsky and his controlled entities hold, in the aggregate, fewer than 10,000,000 shares of the Company’s capital stock (as adjusted for stock splits, stock dividends, combinations, subdivisions and recapitalizations).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G-4 Preferred Stock,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preferred 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$200 million to $300 million through December 2026.</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These shares were accounted for as treasury stock. The Company records treasury stock at cost.</w:t>
      </w:r>
    </w:p>
    <w:p>
      <w:pPr>
        <w:spacing w:after="0" w:line="312" w:lineRule="exact"/>
        <w:rPr>
          <w:sz w:val="20"/>
          <w:szCs w:val="20"/>
          <w:color w:val="auto"/>
        </w:rPr>
      </w:pPr>
    </w:p>
    <w:p>
      <w:pPr>
        <w:ind w:left="460" w:hanging="455"/>
        <w:spacing w:after="0"/>
        <w:tabs>
          <w:tab w:leader="none" w:pos="4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has a par value of $0.0001. The Company will use the proceeds for working capital and general corporate purposes.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Redeemable convertible preferred stock outstanding as of December 31, 2021 and 2022 and September 30, 2023, consisted of the following (in thousands, except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00" w:type="dxa"/>
            <w:vAlign w:val="bottom"/>
            <w:gridSpan w:val="3"/>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80" w:type="dxa"/>
            <w:vAlign w:val="bottom"/>
            <w:gridSpan w:val="3"/>
          </w:tcPr>
          <w:p>
            <w:pPr>
              <w:ind w:left="88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000" w:type="dxa"/>
            <w:vAlign w:val="bottom"/>
            <w:gridSpan w:val="3"/>
          </w:tcPr>
          <w:p>
            <w:pPr>
              <w:jc w:val="right"/>
              <w:ind w:right="2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00" w:type="dxa"/>
            <w:vAlign w:val="bottom"/>
          </w:tcPr>
          <w:p>
            <w:pPr>
              <w:jc w:val="right"/>
              <w:ind w:right="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0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gridSpan w:val="2"/>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80" w:type="dxa"/>
            <w:vAlign w:val="bottom"/>
            <w:gridSpan w:val="3"/>
          </w:tcPr>
          <w:p>
            <w:pPr>
              <w:ind w:left="16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78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4"/>
              </w:rPr>
              <w:t>2015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80,865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95,855</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94,873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134,939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232,934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107,656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2020/2021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64,760,746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61,078,813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913,138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460" w:hanging="455"/>
        <w:spacing w:after="0"/>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20" w:type="dxa"/>
            <w:vAlign w:val="bottom"/>
            <w:gridSpan w:val="4"/>
          </w:tcPr>
          <w:p>
            <w:pPr>
              <w:ind w:left="90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60" w:type="dxa"/>
            <w:vAlign w:val="bottom"/>
          </w:tcPr>
          <w:p>
            <w:pPr>
              <w:spacing w:after="0"/>
              <w:rPr>
                <w:sz w:val="9"/>
                <w:szCs w:val="9"/>
                <w:color w:val="auto"/>
              </w:rPr>
            </w:pPr>
          </w:p>
        </w:tc>
        <w:tc>
          <w:tcPr>
            <w:tcW w:w="880" w:type="dxa"/>
            <w:vAlign w:val="bottom"/>
          </w:tcPr>
          <w:p>
            <w:pPr>
              <w:jc w:val="right"/>
              <w:ind w:right="15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2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60" w:type="dxa"/>
            <w:vAlign w:val="bottom"/>
            <w:gridSpan w:val="2"/>
          </w:tcPr>
          <w:p>
            <w:pPr>
              <w:jc w:val="right"/>
              <w:ind w:right="4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5,374,899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4,191,173</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9,779,403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8,534,330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6,630,905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8,077,674</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2,537,290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3,453,139</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1,614,114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the conversion of convertible note</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Excludes amounts related to embedded conversion features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31,122</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82,620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98,963</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98,335</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140,995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243,388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112,038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112,038</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94,342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94,342</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1,032,479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31,122</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85,572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103,629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149,409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257,907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118,286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118,286</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2022/2023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1,661,895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97,931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62,740,708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1,072,867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2021 and 2022 and September 30, 2023,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Series G-3 Preferred, and Series G-4 Preferred, collectively, are referenced below as the “Series Preferred.” The rights, preferences, privileges, restrictions and other matters relating to the Series Preferred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Except for the holders of Series G-2 Preferred, Series G-3 Preferred and Series G-4 Preferred, the holders of Series Preferred are entitled to dividends at a rate of 5% or 6% of the original issue price (subject to adjustment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 The holders of Series G-4 Preferred are entitled to dividends at a rate of 5.25% of the original issue price, paid in non-assessable shares of Series G-4 Preferred Stock (“Series G-4 PIK Dividends”).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With the exception of the Series B Preferred stockholders, Preferred stockholders are entitled to the number of votes equal to the product obtained by multiplying the number of shares of voting common stock into which their shares could be converted.</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G-4, Series G-3, Series G-2, Series G, Series F, Series E, Series D, Series C, Series B-2, Series B-1, Series B, Series A.</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G-4 Preferred,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G-4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 ended December 31, 2021 and December 31, 2022. In the event of an initial public offering (“IPO”),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conversion price of each of the Series G-3 Preferred and the Series G-4 Preferred is subject to a discount equal to the greater of (i) 15% discount off of the public offering price and (ii) 10% discount off of the original issue price of the Series G-3 Preferred and Series G-4 Preferred (“Special IPO Adjustment”). In addition, holders of Series G-4 Preferred will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a 15% discount off of the public offering price, less (b) the product of 287,923 and the price per share of Class A Common Stock sold in the IPO. The agreement was signed with only one investor as an incentive to invest in Series G-3 Preferred.</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Plan), which has been amended and restated numerous times to increase the aggregate shares authorized to be issued to employees, consultants, and directors of the Company. As of December 31, 2021, there were 22,115,750 shares authorized under the Plan. In February 2022, the Plan was amended to increase the aggregate shares authorized to be issued, and as of December 31, 2022, there were 25,115,750 authorized under the Plan. In April 2023, the Plan was amended to increase the aggregate shares authorized to 28,115,750.</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2021 and 2022, 971,331 shares and 2,476,611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of $0.6 million in the year ended December 31, 2021 within Selling, general, and administrative expense. No stock-based compensation expense was recorded in the year ended December 31, 2022 or in the nine months ended September 30, 2022 and 2023. The Company accounts for forfeitures as they occur.</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$35.3 million.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 agreement. The fair value of each RSU is estimated on the date of grant using the 409a value of a non-voting share of common stock on such date. The table below summarizes restricted stock unit activity under the Plan for the year ended December 31, 2022 and the nine months ended September 30,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Restricked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10,344,419</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2,808,742</w:t>
            </w:r>
          </w:p>
        </w:tc>
        <w:tc>
          <w:tcPr>
            <w:tcW w:w="36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(741,740)</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12,411,421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2,802,075</w:t>
            </w:r>
          </w:p>
        </w:tc>
        <w:tc>
          <w:tcPr>
            <w:tcW w:w="3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4"/>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(380,397)</w:t>
            </w: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(12,000)</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36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20,719,695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and 2022, the Company granted 2,255,425 and 2,808,742 Restricted Stock Units (“RSUs”), respectively. There were no restricted stock units that vested during the years ended December 31, 2021 and 2022. As of December 31, 2021 and 2022, there was $115.6 million and $200.4 million of unrecognized stock compensation expense relating to RSUs, respectively. Because of the liquidity event requirement, the Company cannot estimate the weighted-average period over which this expense will be recognized.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there was $544.9 million of unrecognized stock compensation expense related to RSUs.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The first condition is the achievement of a valuation target. The second vesting condition is the occurrence of a liquidity event, as defined in the grant agreement. The fair value of each PSU is estimated on the date of grant using the 409a value of a non-voting share of common stock on such date. The table below summarizes performance stock unit activity under the Plan for the year ended December 31, 2022 and the nine months ended September 30,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2021</w:t>
            </w:r>
          </w:p>
        </w:tc>
        <w:tc>
          <w:tcPr>
            <w:tcW w:w="48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5,995,000</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40.97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8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6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(96,404)</w:t>
            </w:r>
          </w:p>
        </w:tc>
        <w:tc>
          <w:tcPr>
            <w:tcW w:w="5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4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6000" w:type="dxa"/>
            <w:vAlign w:val="bottom"/>
            <w:gridSpan w:val="3"/>
            <w:shd w:val="clear" w:color="auto" w:fill="CCEEFF"/>
          </w:tcPr>
          <w:p>
            <w:pPr>
              <w:jc w:val="right"/>
              <w:ind w:right="360"/>
              <w:spacing w:after="0" w:line="202" w:lineRule="exact"/>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shd w:val="clear" w:color="auto" w:fill="CCEEFF"/>
          </w:tcPr>
          <w:p>
            <w:pPr>
              <w:jc w:val="right"/>
              <w:ind w:right="63"/>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8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6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(5,898,596)</w:t>
            </w:r>
          </w:p>
        </w:tc>
        <w:tc>
          <w:tcPr>
            <w:tcW w:w="52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September 30, 2023</w:t>
            </w:r>
          </w:p>
        </w:tc>
        <w:tc>
          <w:tcPr>
            <w:tcW w:w="48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900" w:type="dxa"/>
            <w:vAlign w:val="bottom"/>
          </w:tcPr>
          <w:p>
            <w:pPr>
              <w:spacing w:after="0"/>
              <w:rPr>
                <w:sz w:val="24"/>
                <w:szCs w:val="24"/>
                <w:color w:val="auto"/>
              </w:rPr>
            </w:pPr>
          </w:p>
        </w:tc>
        <w:tc>
          <w:tcPr>
            <w:tcW w:w="6000" w:type="dxa"/>
            <w:vAlign w:val="bottom"/>
            <w:gridSpan w:val="3"/>
          </w:tcPr>
          <w:p>
            <w:pPr>
              <w:jc w:val="right"/>
              <w:ind w:right="4060"/>
              <w:spacing w:after="0"/>
              <w:rPr>
                <w:sz w:val="20"/>
                <w:szCs w:val="20"/>
                <w:color w:val="auto"/>
              </w:rPr>
            </w:pPr>
            <w:r>
              <w:rPr>
                <w:rFonts w:ascii="Times New Roman" w:cs="Times New Roman" w:eastAsia="Times New Roman" w:hAnsi="Times New Roman"/>
                <w:sz w:val="18"/>
                <w:szCs w:val="18"/>
                <w:color w:val="auto"/>
              </w:rPr>
              <w:t>F-37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2021, the Company granted 6,000,000 PSUs. During the year ended December 31, 2022, the Company granted no PSUs. As of December 31, 2021 and December 31, 2022, there was $244.0 and $242.4 million of unrecognized compensation expense related to Performance Stock Units, respectively. Because of the liquidity event requirement, the Company cannot estimate the weighted-average period over which this expense will be recognized should the performance condition be met.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2023, there was $0.6 million of unrecognized stock compensation expense related to PSUs.</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8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center"/>
              <w:ind w:left="59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center"/>
              <w:ind w:left="515"/>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center"/>
              <w:ind w:left="59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2021 and 2022,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2021 and 2022, respectively, and as of December 31, 2021 and 2022, there was no unrecognized compensation cost related to non-vested restricted stock awards, respectively.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As of September 30, 2023, the interest rate on the $175 million originally borrowed under the Term Loan Facility was 10.25% and 10.39% on the $50 million borrowed under the amended Credit Agreement. 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w:t>
      </w:r>
    </w:p>
    <w:p>
      <w:pPr>
        <w:spacing w:after="0" w:line="186" w:lineRule="exact"/>
        <w:rPr>
          <w:sz w:val="20"/>
          <w:szCs w:val="20"/>
          <w:color w:val="auto"/>
        </w:rPr>
      </w:pPr>
    </w:p>
    <w:p>
      <w:pPr>
        <w:ind w:firstLine="5"/>
        <w:spacing w:after="0" w:line="247" w:lineRule="auto"/>
        <w:tabs>
          <w:tab w:leader="none" w:pos="26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or a SOFR Borrowing, which bears interest based on Term SOFR. Additionally, the Company may make either a PIK election or a Cash election. Based on these elections, the Term Loan Facility will bear interest at one of the following rates:</w:t>
      </w:r>
    </w:p>
    <w:p>
      <w:pPr>
        <w:spacing w:after="0" w:line="94" w:lineRule="exact"/>
        <w:rPr>
          <w:rFonts w:ascii="Times New Roman" w:cs="Times New Roman" w:eastAsia="Times New Roman" w:hAnsi="Times New Roman"/>
          <w:sz w:val="18"/>
          <w:szCs w:val="18"/>
          <w:color w:val="auto"/>
        </w:rPr>
      </w:pPr>
    </w:p>
    <w:p>
      <w:pPr>
        <w:ind w:left="1020" w:hanging="392"/>
        <w:spacing w:after="0" w:line="267"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41"/>
        <w:spacing w:after="0"/>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121" w:lineRule="exact"/>
        <w:rPr>
          <w:rFonts w:ascii="Times New Roman" w:cs="Times New Roman" w:eastAsia="Times New Roman" w:hAnsi="Times New Roman"/>
          <w:sz w:val="18"/>
          <w:szCs w:val="18"/>
          <w:color w:val="auto"/>
        </w:rPr>
      </w:pPr>
    </w:p>
    <w:p>
      <w:pPr>
        <w:ind w:left="1020" w:hanging="490"/>
        <w:spacing w:after="0" w:line="267" w:lineRule="auto"/>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480"/>
        <w:spacing w:after="0"/>
        <w:tabs>
          <w:tab w:leader="none" w:pos="102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2023 and 2024, the Company is required to generate consolidated revenues of $342.7 million and $459.1 million, respectively. The Company was in compliance with all covenants of the Credit Agreement as of December 31, 2022 and September 30, 2023.</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original issue discount of $5.6 million and deferred financing fees of $2.6 million are amortized over the term of the underlying debt and unamortized amounts have been offset against long-term debt in the consolidated balance sheets. As of December 31, 2022 and September 30, 2023, the unamortized original issue discount was $4.2 million and $4.6 million, respectively, and the unamortized deferred financing fees were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$2.4 million and $2.0 million, respectively.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 Amortization of the original discount and deferred financing fees totaled $0.8 million and $0.4 million, respectively, for the nine months ended September 30, 2023.</w:t>
      </w:r>
    </w:p>
    <w:p>
      <w:pPr>
        <w:spacing w:after="0" w:line="184"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Through September 30, 2023, the Company has not made any principal repayments on the Term Loan Facility. During the year ended December 31, 2022 and the nine months ended September 30, 2023, the Company made $4.6 million and $12.3 million in interest payments, respectively. As of December 31, 2022, the interest rate on the Term Loan Facility is 10.5%. As of September 30, 2023, the interest rate on the $175 million originally borrowed under the Term Loan Facility is 10.25% and 10.39% on the $50 million borrowed under the amended Credit Agreement. The Company recognized interest expense of $5.1 million and $19.9 million related to the Term Loan Facility during the year ended December 31, 2022 and the nine months ended September 30, 2023, respectively.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$15.2 million and $16.4 million during the year ended December 31, 2021 and 2022, respectively, and $12.7 million and $11.7 million during the nine months ended September 30, 2022 and 2023, respectively.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 ended December 31, 2021 and 2022, and the nine months ended September 30, 2022 and 2023, respectively, all potentially dilutive common stock equivalents have been excluded from the calculation of diluted net loss per share attributable to common stockholders as their effect is anti-dilutive.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10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2020" w:type="dxa"/>
            <w:vAlign w:val="bottom"/>
            <w:gridSpan w:val="5"/>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38"/>
        </w:trPr>
        <w:tc>
          <w:tcPr>
            <w:tcW w:w="49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1"/>
                <w:szCs w:val="11"/>
                <w:color w:val="auto"/>
              </w:rPr>
            </w:pPr>
          </w:p>
        </w:tc>
      </w:tr>
      <w:tr>
        <w:trPr>
          <w:trHeight w:val="190"/>
        </w:trPr>
        <w:tc>
          <w:tcPr>
            <w:tcW w:w="49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120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w w:val="93"/>
              </w:rPr>
              <w:t>(259,192)</w:t>
            </w:r>
          </w:p>
        </w:tc>
        <w:tc>
          <w:tcPr>
            <w:tcW w:w="80" w:type="dxa"/>
            <w:vAlign w:val="bottom"/>
          </w:tcPr>
          <w:p>
            <w:pPr>
              <w:spacing w:after="0"/>
              <w:rPr>
                <w:sz w:val="18"/>
                <w:szCs w:val="18"/>
                <w:color w:val="auto"/>
              </w:rPr>
            </w:pPr>
          </w:p>
        </w:tc>
        <w:tc>
          <w:tcPr>
            <w:tcW w:w="120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w w:val="96"/>
              </w:rPr>
              <w:t>(289,811)</w:t>
            </w:r>
          </w:p>
        </w:tc>
        <w:tc>
          <w:tcPr>
            <w:tcW w:w="100" w:type="dxa"/>
            <w:vAlign w:val="bottom"/>
          </w:tcPr>
          <w:p>
            <w:pPr>
              <w:spacing w:after="0"/>
              <w:rPr>
                <w:sz w:val="18"/>
                <w:szCs w:val="18"/>
                <w:color w:val="auto"/>
              </w:rPr>
            </w:pPr>
          </w:p>
        </w:tc>
        <w:tc>
          <w:tcPr>
            <w:tcW w:w="118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w w:val="93"/>
              </w:rPr>
              <w:t>(223,526)</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(163,635)</w:t>
            </w:r>
          </w:p>
        </w:tc>
      </w:tr>
      <w:tr>
        <w:trPr>
          <w:trHeight w:val="192"/>
        </w:trPr>
        <w:tc>
          <w:tcPr>
            <w:tcW w:w="49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Accretion of convertible preferred stock to redemption</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4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192"/>
        </w:trPr>
        <w:tc>
          <w:tcPr>
            <w:tcW w:w="49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Dividends on Series A, B, B-1, B-2, C, D, E, F, G and G-3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4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preferred shares</w:t>
            </w:r>
          </w:p>
        </w:tc>
        <w:tc>
          <w:tcPr>
            <w:tcW w:w="100" w:type="dxa"/>
            <w:vAlign w:val="bottom"/>
          </w:tcPr>
          <w:p>
            <w:pPr>
              <w:spacing w:after="0"/>
              <w:rPr>
                <w:sz w:val="19"/>
                <w:szCs w:val="19"/>
                <w:color w:val="auto"/>
              </w:rPr>
            </w:pPr>
          </w:p>
        </w:tc>
        <w:tc>
          <w:tcPr>
            <w:tcW w:w="120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(35,758)</w:t>
            </w:r>
          </w:p>
        </w:tc>
        <w:tc>
          <w:tcPr>
            <w:tcW w:w="80" w:type="dxa"/>
            <w:vAlign w:val="bottom"/>
          </w:tcPr>
          <w:p>
            <w:pPr>
              <w:spacing w:after="0"/>
              <w:rPr>
                <w:sz w:val="19"/>
                <w:szCs w:val="19"/>
                <w:color w:val="auto"/>
              </w:rPr>
            </w:pPr>
          </w:p>
        </w:tc>
        <w:tc>
          <w:tcPr>
            <w:tcW w:w="120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(40,975)</w:t>
            </w:r>
          </w:p>
        </w:tc>
        <w:tc>
          <w:tcPr>
            <w:tcW w:w="100" w:type="dxa"/>
            <w:vAlign w:val="bottom"/>
          </w:tcPr>
          <w:p>
            <w:pPr>
              <w:spacing w:after="0"/>
              <w:rPr>
                <w:sz w:val="19"/>
                <w:szCs w:val="19"/>
                <w:color w:val="auto"/>
              </w:rPr>
            </w:pPr>
          </w:p>
        </w:tc>
        <w:tc>
          <w:tcPr>
            <w:tcW w:w="118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(30,415)</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(32,709)</w:t>
            </w:r>
          </w:p>
        </w:tc>
      </w:tr>
      <w:tr>
        <w:trPr>
          <w:trHeight w:val="192"/>
        </w:trPr>
        <w:tc>
          <w:tcPr>
            <w:tcW w:w="494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Cumulative Undeclared Dividends on Series C preferred</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8"/>
        </w:trPr>
        <w:tc>
          <w:tcPr>
            <w:tcW w:w="4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23"/>
        </w:trPr>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(297,736</w:t>
            </w:r>
          </w:p>
        </w:tc>
        <w:tc>
          <w:tcPr>
            <w:tcW w:w="58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(333,928</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(256,367</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(198,574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2"/>
        </w:trPr>
        <w:tc>
          <w:tcPr>
            <w:tcW w:w="494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Weighted-average common shared outstanding, basic and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4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62,975</w:t>
            </w:r>
          </w:p>
        </w:tc>
        <w:tc>
          <w:tcPr>
            <w:tcW w:w="80" w:type="dxa"/>
            <w:vAlign w:val="bottom"/>
          </w:tcPr>
          <w:p>
            <w:pPr>
              <w:spacing w:after="0"/>
              <w:rPr>
                <w:sz w:val="20"/>
                <w:szCs w:val="20"/>
                <w:color w:val="auto"/>
              </w:rPr>
            </w:pPr>
          </w:p>
        </w:tc>
        <w:tc>
          <w:tcPr>
            <w:tcW w:w="120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tcPr>
          <w:p>
            <w:pPr>
              <w:spacing w:after="0"/>
              <w:rPr>
                <w:sz w:val="20"/>
                <w:szCs w:val="20"/>
                <w:color w:val="auto"/>
              </w:rPr>
            </w:pPr>
          </w:p>
        </w:tc>
        <w:tc>
          <w:tcPr>
            <w:tcW w:w="1180" w:type="dxa"/>
            <w:vAlign w:val="bottom"/>
            <w:gridSpan w:val="2"/>
          </w:tcPr>
          <w:p>
            <w:pPr>
              <w:jc w:val="right"/>
              <w:ind w:right="478"/>
              <w:spacing w:after="0"/>
              <w:rPr>
                <w:sz w:val="20"/>
                <w:szCs w:val="20"/>
                <w:color w:val="auto"/>
              </w:rPr>
            </w:pPr>
            <w:r>
              <w:rPr>
                <w:rFonts w:ascii="Times New Roman" w:cs="Times New Roman" w:eastAsia="Times New Roman" w:hAnsi="Times New Roman"/>
                <w:sz w:val="18"/>
                <w:szCs w:val="18"/>
                <w:color w:val="auto"/>
              </w:rPr>
              <w:t>62,980</w:t>
            </w:r>
          </w:p>
        </w:tc>
        <w:tc>
          <w:tcPr>
            <w:tcW w:w="100" w:type="dxa"/>
            <w:vAlign w:val="bottom"/>
          </w:tcPr>
          <w:p>
            <w:pPr>
              <w:spacing w:after="0"/>
              <w:rPr>
                <w:sz w:val="20"/>
                <w:szCs w:val="20"/>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63,267</w:t>
            </w:r>
          </w:p>
        </w:tc>
      </w:tr>
      <w:tr>
        <w:trPr>
          <w:trHeight w:val="190"/>
        </w:trPr>
        <w:tc>
          <w:tcPr>
            <w:tcW w:w="49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4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5100" w:type="dxa"/>
            <w:vAlign w:val="bottom"/>
          </w:tcPr>
          <w:p>
            <w:pPr>
              <w:spacing w:after="0"/>
              <w:rPr>
                <w:sz w:val="14"/>
                <w:szCs w:val="14"/>
                <w:color w:val="auto"/>
              </w:rPr>
            </w:pPr>
          </w:p>
        </w:tc>
        <w:tc>
          <w:tcPr>
            <w:tcW w:w="22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30,</w:t>
            </w:r>
          </w:p>
        </w:tc>
        <w:tc>
          <w:tcPr>
            <w:tcW w:w="22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38"/>
        </w:trPr>
        <w:tc>
          <w:tcPr>
            <w:tcW w:w="510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7"/>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27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297"/>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29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203"/>
        </w:trPr>
        <w:tc>
          <w:tcPr>
            <w:tcW w:w="5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Shares associated with contingent consideration</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145,466</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61,078,813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62,692,927</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62,692,927</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62,740,708</w:t>
            </w: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Warrant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1,744,991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1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63,179,270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64,647,918</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64,793,384</w:t>
            </w:r>
          </w:p>
        </w:tc>
        <w:tc>
          <w:tcPr>
            <w:tcW w:w="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64,704,423</w:t>
            </w:r>
          </w:p>
        </w:tc>
        <w:tc>
          <w:tcPr>
            <w:tcW w:w="8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8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As disclosed in Note 9, the Company’s Series G-3 Preferred contains two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2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2021 and 2022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$ 163,656</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7"/>
              </w:rPr>
              <w:t>$ 196,643</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10,784</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37,590</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$ 174,769</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$ 260,487</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w w:val="93"/>
              </w:rPr>
              <w:t>(161,749)</w:t>
            </w: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(244,064)</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(6,129)</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(8,169)</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Book Basis over Tax Basis Intangibles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(16,423)</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2021 and 2022 (in thousands):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(44,698)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4"/>
              </w:rPr>
              <w:t>(59,141)</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6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(14,071)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(7,686)</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(58,769)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4"/>
              </w:rPr>
              <w:t>(66,827)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58,769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6"/>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F-42</w:t>
            </w: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300" w:type="dxa"/>
            <w:vAlign w:val="bottom"/>
          </w:tcPr>
          <w:p>
            <w:pPr>
              <w:spacing w:after="0"/>
              <w:rPr>
                <w:sz w:val="14"/>
                <w:szCs w:val="14"/>
                <w:color w:val="auto"/>
              </w:rPr>
            </w:pPr>
          </w:p>
        </w:tc>
        <w:tc>
          <w:tcPr>
            <w:tcW w:w="20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38"/>
        </w:trPr>
        <w:tc>
          <w:tcPr>
            <w:tcW w:w="9300" w:type="dxa"/>
            <w:vAlign w:val="bottom"/>
          </w:tcPr>
          <w:p>
            <w:pPr>
              <w:spacing w:after="0"/>
              <w:rPr>
                <w:sz w:val="11"/>
                <w:szCs w:val="11"/>
                <w:color w:val="auto"/>
              </w:rPr>
            </w:pPr>
          </w:p>
        </w:tc>
        <w:tc>
          <w:tcPr>
            <w:tcW w:w="780" w:type="dxa"/>
            <w:vAlign w:val="bottom"/>
            <w:tcBorders>
              <w:top w:val="single" w:sz="8" w:color="auto"/>
            </w:tcBorders>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172"/>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1"/>
                <w:szCs w:val="11"/>
                <w:color w:val="auto"/>
              </w:rPr>
            </w:pPr>
          </w:p>
        </w:tc>
      </w:tr>
      <w:tr>
        <w:trPr>
          <w:trHeight w:val="203"/>
        </w:trPr>
        <w:tc>
          <w:tcPr>
            <w:tcW w:w="9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(258,770)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(289,556)</w:t>
            </w:r>
          </w:p>
        </w:tc>
        <w:tc>
          <w:tcPr>
            <w:tcW w:w="120" w:type="dxa"/>
            <w:vAlign w:val="bottom"/>
            <w:tcBorders>
              <w:top w:val="single" w:sz="8" w:color="CCEEFF"/>
            </w:tcBorders>
            <w:shd w:val="clear" w:color="auto" w:fill="CCEEFF"/>
          </w:tcPr>
          <w:p>
            <w:pPr>
              <w:spacing w:after="0"/>
              <w:rPr>
                <w:sz w:val="17"/>
                <w:szCs w:val="17"/>
                <w:color w:val="auto"/>
              </w:rPr>
            </w:pPr>
          </w:p>
        </w:tc>
      </w:tr>
      <w:tr>
        <w:trPr>
          <w:trHeight w:val="228"/>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2021 and 2022: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860" w:type="dxa"/>
            <w:vAlign w:val="bottom"/>
            <w:gridSpan w:val="4"/>
            <w:shd w:val="clear" w:color="auto" w:fill="CCEEFF"/>
          </w:tcPr>
          <w:p>
            <w:pPr>
              <w:jc w:val="right"/>
              <w:ind w:right="121"/>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0"/>
              </w:rPr>
              <w:t>5.44%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(22.73)%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(23.11)%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0"/>
              </w:rPr>
              <w:t>0.00%</w:t>
            </w:r>
          </w:p>
        </w:tc>
        <w:tc>
          <w:tcPr>
            <w:tcW w:w="2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jc w:val="right"/>
              <w:ind w:right="141"/>
              <w:spacing w:after="0" w:line="138"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102,981</w:t>
            </w:r>
          </w:p>
        </w:tc>
        <w:tc>
          <w:tcPr>
            <w:tcW w:w="2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58,768</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15,488</w:t>
            </w: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161,749</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2021 or 2022.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(“NOL”) carry forwards of $163.8 million (tax effected) and state NOL carry forwards of approximately $32.8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2021 and 2022,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340"/>
          </w:cols>
          <w:pgMar w:left="320" w:top="448"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2021.</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2021,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2021 and 2022.</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 and 2023</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Accounting for income taxes for interim periods generally requires the provision for income taxes to be determined by applying an estimate of the annual effective tax rate for the full fiscal year to income or los before income taxes, adjusted for discrete items, if any, for the reporting period. The Company updates its estimate of the annual effective tax rate each quarter and makes a cumulative adjustment in such period.</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There is no current income tax expense (benefit) for the nine months ended September 30, 2022 and there is less than $0.1 million income tax expense for the nine months ended September 30, 2023.</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Due to the Company’s history of losses in the United States, a full valuation allowance on all of the Company’s deferred tax assets, including net operating loss carryforwards and other book versus tax differences, was maintained.</w:t>
      </w:r>
    </w:p>
    <w:p>
      <w:pPr>
        <w:spacing w:after="0" w:line="312" w:lineRule="exact"/>
        <w:rPr>
          <w:sz w:val="20"/>
          <w:szCs w:val="20"/>
          <w:color w:val="auto"/>
        </w:rPr>
      </w:pPr>
    </w:p>
    <w:p>
      <w:pPr>
        <w:ind w:left="460" w:hanging="455"/>
        <w:spacing w:after="0"/>
        <w:tabs>
          <w:tab w:leader="none" w:pos="4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93" w:lineRule="auto"/>
        <w:rPr>
          <w:sz w:val="20"/>
          <w:szCs w:val="20"/>
          <w:color w:val="auto"/>
        </w:rPr>
      </w:pPr>
      <w:r>
        <w:rPr>
          <w:rFonts w:ascii="Times New Roman" w:cs="Times New Roman" w:eastAsia="Times New Roman" w:hAnsi="Times New Roman"/>
          <w:sz w:val="16"/>
          <w:szCs w:val="16"/>
          <w:i w:val="1"/>
          <w:iCs w:val="1"/>
          <w:color w:val="auto"/>
        </w:rPr>
        <w:t>Contingent consideration</w:t>
      </w:r>
      <w:r>
        <w:rPr>
          <w:rFonts w:ascii="Times New Roman" w:cs="Times New Roman" w:eastAsia="Times New Roman" w:hAnsi="Times New Roman"/>
          <w:sz w:val="16"/>
          <w:szCs w:val="16"/>
          <w:color w:val="auto"/>
        </w:rPr>
        <w:t>—The Company is subject to a contingent consideration arrangement to transfer non-voting shares of common stock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former owners of AKESOgen. This arrangement was paid out in December 2022. In connection with the acquisition of Mpirik, the Company is subject to another consideration arrangement to make a cash payment in an aggregate value of $1.0 million, contingent upon Mpirik reaching a revenue target of $1.5 million for the twelve-month period ending December 31, 2023. See Note 3, Business Combinations, for further discussion of these acquisitions.</w:t>
      </w:r>
    </w:p>
    <w:p>
      <w:pPr>
        <w:spacing w:after="0" w:line="49"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320" w:top="448"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63" w:lineRule="exact"/>
        <w:rPr>
          <w:sz w:val="20"/>
          <w:szCs w:val="20"/>
          <w:color w:val="auto"/>
        </w:rPr>
      </w:pPr>
    </w:p>
    <w:p>
      <w:pPr>
        <w:jc w:val="both"/>
        <w:ind w:left="460"/>
        <w:spacing w:after="0" w:line="252"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2022 and September 30, 2023:</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418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74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180" w:type="dxa"/>
            <w:vAlign w:val="bottom"/>
          </w:tcPr>
          <w:p>
            <w:pPr>
              <w:spacing w:after="0"/>
              <w:rPr>
                <w:sz w:val="9"/>
                <w:szCs w:val="9"/>
                <w:color w:val="auto"/>
              </w:rPr>
            </w:pPr>
          </w:p>
        </w:tc>
        <w:tc>
          <w:tcPr>
            <w:tcW w:w="1520" w:type="dxa"/>
            <w:vAlign w:val="bottom"/>
            <w:gridSpan w:val="2"/>
          </w:tcPr>
          <w:p>
            <w:pPr>
              <w:jc w:val="right"/>
              <w:ind w:right="72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148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1520" w:type="dxa"/>
            <w:vAlign w:val="bottom"/>
            <w:gridSpan w:val="2"/>
          </w:tcPr>
          <w:p>
            <w:pPr>
              <w:jc w:val="right"/>
              <w:ind w:right="74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80" w:type="dxa"/>
            <w:vAlign w:val="bottom"/>
            <w:gridSpan w:val="2"/>
            <w:vMerge w:val="continue"/>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4.02%</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4.32%</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4.46%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30.00%</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65"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color w:val="auto"/>
        </w:rPr>
        <w:t>The Term Loan Facility and the Amended Note were not recorded at fair value. The fair values of the Term Loan Facility and the Amended Note approximated their carrying values as of December 31, 2022 and September 30, 2023. Estimates of the fair values of the Term Loan Facility and the Amended Note are classified as Level 3 due to the lack of relevant observable market data over fair value inputs.</w:t>
      </w:r>
    </w:p>
    <w:p>
      <w:pPr>
        <w:spacing w:after="0" w:line="18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liabilities that are measured at fair value on a recurring basis as of December 31, 2021 and 2022 and September 30, 2023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1"/>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3"/>
          </w:tcPr>
          <w:p>
            <w:pPr>
              <w:jc w:val="center"/>
              <w:ind w:right="20"/>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8,005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8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37,800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381"/>
        </w:trPr>
        <w:tc>
          <w:tcPr>
            <w:tcW w:w="3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5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5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8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42,500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363"/>
        </w:trPr>
        <w:tc>
          <w:tcPr>
            <w:tcW w:w="38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38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3"/>
          </w:tcPr>
          <w:p>
            <w:pPr>
              <w:jc w:val="center"/>
              <w:ind w:right="1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5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gridSpan w:val="4"/>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5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Market for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540" w:type="dxa"/>
            <w:vAlign w:val="bottom"/>
          </w:tcPr>
          <w:p>
            <w:pPr>
              <w:spacing w:after="0"/>
              <w:rPr>
                <w:sz w:val="12"/>
                <w:szCs w:val="12"/>
                <w:color w:val="auto"/>
              </w:rPr>
            </w:pPr>
          </w:p>
        </w:tc>
        <w:tc>
          <w:tcPr>
            <w:tcW w:w="900" w:type="dxa"/>
            <w:vAlign w:val="bottom"/>
            <w:gridSpan w:val="4"/>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82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18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0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34,500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F-45</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Consideration</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2020</w:t>
            </w:r>
          </w:p>
        </w:tc>
        <w:tc>
          <w:tcPr>
            <w:tcW w:w="2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10,271</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cash</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warrant</w:t>
            </w:r>
          </w:p>
        </w:tc>
        <w:tc>
          <w:tcPr>
            <w:tcW w:w="2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37,800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60" w:type="dxa"/>
            <w:vAlign w:val="bottom"/>
            <w:tcBorders>
              <w:left w:val="single" w:sz="8" w:color="CCEEFF"/>
            </w:tcBorders>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Consideration</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2021</w:t>
            </w:r>
          </w:p>
        </w:tc>
        <w:tc>
          <w:tcPr>
            <w:tcW w:w="2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8,005</w:t>
            </w: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$37,800</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(3,701)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2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Settlement paid in non-voting common shares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(4,304)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920" w:type="dxa"/>
            <w:vAlign w:val="bottom"/>
            <w:gridSpan w:val="3"/>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6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2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$42,500</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lef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from Mpirik acquisition</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2660" w:type="dxa"/>
            <w:vAlign w:val="bottom"/>
          </w:tcPr>
          <w:p>
            <w:pPr>
              <w:spacing w:after="0"/>
              <w:rPr>
                <w:sz w:val="18"/>
                <w:szCs w:val="18"/>
                <w:color w:val="auto"/>
              </w:rPr>
            </w:pPr>
          </w:p>
        </w:tc>
        <w:tc>
          <w:tcPr>
            <w:tcW w:w="1000" w:type="dxa"/>
            <w:vAlign w:val="bottom"/>
            <w:gridSpan w:val="4"/>
          </w:tcPr>
          <w:p>
            <w:pPr>
              <w:jc w:val="right"/>
              <w:ind w:right="272"/>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6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34,500</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the year ended December 31, 2021, the Company recognized expense of $5.2 million in selling, general and administrative expense due to the change in the fair value of the contingent consideration liability.</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2023, the Company recognized a gain of $0.4 million in selling, general and administrative expense due to the change in fair value of contingent consideration and a gain of $8.0 million in other income, net due to the change in the fair value of warrant liability determined by Level 3 valuation techniques.</w:t>
      </w:r>
    </w:p>
    <w:p>
      <w:pPr>
        <w:spacing w:after="0" w:line="323" w:lineRule="exact"/>
        <w:rPr>
          <w:sz w:val="20"/>
          <w:szCs w:val="20"/>
          <w:color w:val="auto"/>
        </w:rPr>
      </w:pPr>
    </w:p>
    <w:p>
      <w:pPr>
        <w:ind w:left="460" w:hanging="455"/>
        <w:spacing w:after="0"/>
        <w:tabs>
          <w:tab w:leader="none" w:pos="4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In 2018, the Company received $1.5 million from a related party for assuming an office lease from such party. The Company is amortizing this amount over the course of its lease with the building. The Company had a remaining related liability of $1.0 million and $0.9 million for the years ended December 31, 2021 and 2022, respectively, and $0.8 million for the nine months ended September 30, 2023, respectively. Upon the adoption of ASC 842, the liability is amortized through the right-of-use asset as a reduction of rent expense over the lease term. See Note 6, Commitments and Contingencies, for additional information on the Company’s operating leases. The Company subleases a portion of office space to this related party on a month-to-month basis. Sublease income received from the related party was insignificant for the years ended December 31, 2021 and 2022, and the nine months ended September 30, 2023.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340"/>
          </w:cols>
          <w:pgMar w:left="320" w:top="448" w:right="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2021 and 2022, and September 30, 2023, there was no amount due to related parties. As of December 31, 2021 and 2022, and September 30, 2023, respectively, the amount due from related parties was $0.4 million, $0.4 million, and $0.6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On August 19, 2021, the Company entered into a related party arrangement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 exclusive, revocable, non-transferable right and license, without right of sublicense, to access and download 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Company recognized $0.4 million and $0.3 million in revenue for this access fee in the year ended December 31, 2022 and the nine months ended September 30, 2023, respectively.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$0.3 million in revenue for both arrangements for the year ended December 31, 2022 and September 30, 2023, respectively. In 2023, the Company entered into an additional related party arrangement with Pathos for other data services. The Company recognized less than $0.1 million in revenue for the nine months ended September 30, 2023.</w:t>
      </w:r>
    </w:p>
    <w:p>
      <w:pPr>
        <w:spacing w:after="0" w:line="327" w:lineRule="exact"/>
        <w:rPr>
          <w:sz w:val="20"/>
          <w:szCs w:val="20"/>
          <w:color w:val="auto"/>
        </w:rPr>
      </w:pPr>
    </w:p>
    <w:p>
      <w:pPr>
        <w:ind w:left="460" w:hanging="455"/>
        <w:spacing w:after="0"/>
        <w:tabs>
          <w:tab w:leader="none" w:pos="4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2022, the Company evaluated subsequent events through April 28, 2023, the date on which these financial statements were available to be issued.</w:t>
      </w:r>
    </w:p>
    <w:p>
      <w:pPr>
        <w:spacing w:after="0" w:line="17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On April 25, 2023, the Company signed an amendment to its Credit Agreement with Ares which provided an additional $50 million in term debt. The Company received $48.7 million in cash, which is the aggregate principal amount of $50 million less debt issuance costs of $1.3 million. The amendment increased the interest rate on both the original $175 million borrowing as well as the additional $50 million. After giving effect to the amendment, (x) for any interest period for which the Company elects to pay interest in cash, the cash interest rate for Base Rate and Term SOFR borrowings will be the Base Rate plus 6.25% and Term SOFR plus 7.25%, respectively, and (y) for any interest period for which the Company elects to pay interest in kind, the cash interest rate for Base Rate and Term SOFR borrowings will be the Base Rate plus 4% and Term SOFR plus 5%, respectively, and the paid-in-kind interest rate will be 3.25%.</w:t>
      </w:r>
    </w:p>
    <w:p>
      <w:pPr>
        <w:spacing w:after="0" w:line="302" w:lineRule="exact"/>
        <w:rPr>
          <w:sz w:val="20"/>
          <w:szCs w:val="20"/>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SUBSEQUENT EVENTS</w:t>
      </w:r>
    </w:p>
    <w:p>
      <w:pPr>
        <w:spacing w:after="0" w:line="11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The Company evaluated subsequent events through December 15, 2023, the date on which these interim financial statements were available to be issued.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340"/>
          </w:cols>
          <w:pgMar w:left="320" w:top="448" w:right="2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 of SEngine Precision Medicine LLC</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Combining these advancements with the Company’s existing business will allow the Company to accelerate our shared missions of getting the right patient on the right drug at the right time, while also advancing innovation in drug development.</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Consideration was made up of $2.8 million in cash and $6.6 million in shares of non-voting common stock. The transaction also includes contingent consideration of up to 35,000 additional shares of non-voting common stock, to be determined based on the per share price of the Company’s non-voting common stock in a liquidity event completed prior to December 31, 2027.</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Due to the limited time since the closing of the transaction, the initial accounting for the SEngine acquisition is still in process, but a significant portion of the purchase price is expected to be allocated to intangible assets and goodwill. The remaining disclosures under ASC 805, Business Combinations, will be available upon finalization of our preliminary purchase accounting in the fourth quarter of 2023.</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G-4 Financing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October 11, 2023, the Company authorized 4,362,476 and issued 785,245 shares of Series G-4 Preferred stock (“Series G-4 Preferred”) for aggregate proceeds of $45.0 million (See Note 9, Redeemable Convertible Preferred Stock).</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to Credit Agreement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October 11, 2023, the Company signed a second amendment to its Credit Agreement with Ares which provided an additional $35.0 million in term debt. The Company received $34.1 million in cash, which is the aggregate principal amount of $35.0 million less original issue discount of $0.9 million. Terms of the second amendment are consistent with existing terms of the Credit Agreement.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November 3, 2023, the Company entered into a Master Agreement (the “Recursion Agreement”) with Recursion Pharmaceuticals, Inc. (“Recursion”). Under the Recursion Agreement, the Company agreed to provide certain of its services and to license certain data to Recursion, including a limited right to access the Company’s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the Company under the Recursion Agreement shall not exceed 19.9% of the aggregate total of shares of Class A common stock and Class B common stock outstanding on November 3, 2023, or the date immediately preceding the date of any shares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340"/>
          </w:cols>
          <w:pgMar w:left="320" w:top="448" w:right="2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Class A common stock issued pursuant to the Recursion Agreement, whichever is less. The Company has customary registration rights with respect to any shares of Recursion’s Class A common stock issued pursuant to the Recursion Agreement.</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Personalis Commercialization and Reference Laboratory Agreement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On November 25, 2023, the Company entered into a Commercialization and Reference Laboratory Agreement with Personalis, Inc. (“Personalis”) to co-commercialize Personalis’ whole genome-based liquid biopsy laboratory developed test for detection of molecular residual disease and recurrence in cancer. The Company will pay up to $12.0 million to Personalis over three years as certain milestones are met in exchange for exclusive rights to clinical use of the assay and Personalis maintaining laboratory capacity minimums to perform tests. Such exclusive rights shall terminate in their entirety on December 31, 2027. Personalis will compensate the Company for sales, marketing, order requisition and results delivery services. Additionally, on November 28, 2023, in consideration of the Company’s obligations to Personalis under the agreement, Personalis issued certain warrants to the Company to purchase up to an aggregate of 9,218,800 shares of Personalis’ common stock, up to 4,609,400 shares of which are exercisable for cash at any time prior to December 31, 2024 at an exercise price of $1.50 per share, and up to 4,609,400 shares of which are exercisable for cash at any time prior to December 31, 2025 at an exercise price of $2.50 per share.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340"/>
          </w:cols>
          <w:pgMar w:left="320" w:top="448"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32"/>
          <w:szCs w:val="32"/>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8"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8"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8"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1340"/>
          </w:cols>
          <w:pgMar w:left="320" w:top="448" w:right="239" w:bottom="1440" w:gutter="0" w:footer="0" w:header="0"/>
          <w:type w:val="continuous"/>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Unless otherwise indicated, all references to “Tempus,” the “company,” “we,” “our,” “us” or similar terms refer to Tempus AI, Inc. and its subsidiaries.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ectPr>
          <w:pgSz w:w="11900" w:h="16838" w:orient="portrait"/>
          <w:cols w:equalWidth="0" w:num="1">
            <w:col w:w="11340"/>
          </w:cols>
          <w:pgMar w:left="320" w:top="447" w:right="2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FINRA filing fee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97725" cy="133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Miscellaneous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97725" cy="133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97725" cy="133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138430</wp:posOffset>
            </wp:positionV>
            <wp:extent cx="79184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*Tobe completed by amendment.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489" w:hanging="489"/>
        <w:spacing w:after="0"/>
        <w:tabs>
          <w:tab w:leader="none" w:pos="48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43"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6" w:lineRule="exact"/>
        <w:rPr>
          <w:rFonts w:ascii="Times New Roman" w:cs="Times New Roman" w:eastAsia="Times New Roman" w:hAnsi="Times New Roman"/>
          <w:sz w:val="16"/>
          <w:szCs w:val="16"/>
          <w:color w:val="auto"/>
        </w:rPr>
      </w:pPr>
    </w:p>
    <w:p>
      <w:pPr>
        <w:ind w:left="48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086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4" w:lineRule="exact"/>
        <w:rPr>
          <w:sz w:val="20"/>
          <w:szCs w:val="20"/>
          <w:color w:val="auto"/>
        </w:rPr>
      </w:pPr>
    </w:p>
    <w:p>
      <w:pPr>
        <w:ind w:left="489" w:hanging="489"/>
        <w:spacing w:after="0"/>
        <w:tabs>
          <w:tab w:leader="none" w:pos="489"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30861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wp:posOffset>
            </wp:positionV>
            <wp:extent cx="30861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115" w:lineRule="exact"/>
        <w:rPr>
          <w:sz w:val="20"/>
          <w:szCs w:val="20"/>
          <w:color w:val="auto"/>
        </w:rPr>
      </w:pPr>
    </w:p>
    <w:p>
      <w:pPr>
        <w:sectPr>
          <w:pgSz w:w="11900" w:h="16838" w:orient="portrait"/>
          <w:cols w:equalWidth="0" w:num="2">
            <w:col w:w="10011" w:space="720"/>
            <w:col w:w="609"/>
          </w:cols>
          <w:pgMar w:left="320" w:top="447" w:right="239" w:bottom="1440" w:gutter="0" w:footer="0" w:header="0"/>
          <w:type w:val="continuous"/>
        </w:sect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AI, Inc., provided that such director or executive officer acted in good faith and in a manner that the director or executive officer reasonably believed to be in, or not opposed to, the best interest of Tempus AI, Inc. At present, there is no pending litigation or proceeding involving a director or executive officer of Tempus AI,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7" w:right="239" w:bottom="1440" w:gutter="0" w:footer="0" w:header="0"/>
          <w:type w:val="continuous"/>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2020:</w:t>
      </w:r>
    </w:p>
    <w:p>
      <w:pPr>
        <w:spacing w:after="0" w:line="121" w:lineRule="exact"/>
        <w:rPr>
          <w:sz w:val="20"/>
          <w:szCs w:val="20"/>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8,893,083 shares of our Class A common stock to our employees, consultants, and directors, having a fair market value ranging from $8.26 to $54.97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88" w:lineRule="exact"/>
        <w:rPr>
          <w:rFonts w:ascii="Times New Roman" w:cs="Times New Roman" w:eastAsia="Times New Roman" w:hAnsi="Times New Roman"/>
          <w:sz w:val="18"/>
          <w:szCs w:val="18"/>
          <w:color w:val="auto"/>
        </w:rPr>
      </w:pPr>
    </w:p>
    <w:p>
      <w:pPr>
        <w:jc w:val="both"/>
        <w:ind w:left="1460" w:hanging="444"/>
        <w:spacing w:after="0" w:line="288" w:lineRule="auto"/>
        <w:tabs>
          <w:tab w:leader="none" w:pos="146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in connection with our acquisition of Arterys, Inc., we issued 174,499 shares of Class A common stock to former stockholders of Arterys,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7" w:right="2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60" w:hanging="444"/>
        <w:spacing w:after="0"/>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issued 47,965 shares of Series G-3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in connection with an agreement and plan of merger to acquire Mpirik, we issued 130,874 shares of Class A common stock to former stockholders of Mpirik.</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in connection with our acquisition of SEngine Precision Medicine LLC, we issued 186,137 shares of Class A common stock to former stockholders of SEngine Precision Medicine LLC.</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issued and sold an aggregate of 785,245 shares of our Series G-4 convertible preferred stock at a price per share of $57.3069, for an aggregate purchase price of approximately $45.0 million, in private placements to three accredited investors.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ind w:left="1240" w:hanging="670"/>
        <w:spacing w:after="0" w:line="267" w:lineRule="auto"/>
        <w:tabs>
          <w:tab w:leader="none" w:pos="12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7" w:right="2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260"/>
        <w:spacing w:after="0" w:line="267" w:lineRule="auto"/>
        <w:rPr>
          <w:sz w:val="20"/>
          <w:szCs w:val="20"/>
          <w:color w:val="auto"/>
        </w:rPr>
      </w:pPr>
      <w:r>
        <w:rPr>
          <w:rFonts w:ascii="Times New Roman" w:cs="Times New Roman" w:eastAsia="Times New Roman" w:hAnsi="Times New Roman"/>
          <w:sz w:val="18"/>
          <w:szCs w:val="18"/>
          <w:color w:val="auto"/>
        </w:rPr>
        <w:t>in a form of prospectus filed by the registrant under Rule 424(b)(1) or (4) or 497(h) under the Securities Act will be deemed to be part of this registration statement as of the time it was declared effective.</w:t>
      </w:r>
    </w:p>
    <w:p>
      <w:pPr>
        <w:spacing w:after="0" w:line="78" w:lineRule="exact"/>
        <w:rPr>
          <w:sz w:val="20"/>
          <w:szCs w:val="20"/>
          <w:color w:val="auto"/>
        </w:rPr>
      </w:pPr>
    </w:p>
    <w:p>
      <w:pPr>
        <w:jc w:val="both"/>
        <w:ind w:left="1240" w:hanging="670"/>
        <w:spacing w:after="0" w:line="255" w:lineRule="auto"/>
        <w:tabs>
          <w:tab w:leader="none" w:pos="12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7" w:right="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39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Eleventh Amended and Restated Certificate of Incorporation of the Registrant, as amended,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the Registrant dated November 17, 2021 (included in Exhibit 10.16).</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Eleventh Amended and Restated Investor Rights Agreement, dated October 11, 2023.</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Registrant’s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10.3+**</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Forms of Grant Notices and Award Agreements under the Registrant’s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10.4+**</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Registrant’s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10.5+**</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Registrant’s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10.6+**</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Registrant’s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10.7+**</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the Registrant and each director and executive officer.</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10.8+**</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Eric Lefkofsky, dated January 1, 2022.</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10.9+**</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Erik Phelps,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Ryan Fukushima,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James Rogers,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the Registrant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the Registrant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Convertible Promissory Note, by and between the Registrant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the Registrant and Pathos AI, Inc., dated August 19,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the Registrant and AstraZeneca AB, dated November 17,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Registrant’s 2022 Employee Stock Purchase Plan.</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540"/>
          </w:cols>
          <w:pgMar w:left="320" w:top="448" w:right="10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8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the Registrant and Glaxosmithkline LLC, dated August 1,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Credit Agreement, by and among the Registrant, the lenders party thereto, Ares Capital Corporation and Ares Capital Management LLC, dated</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September 22,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Limited Waiver and First Amendment to Credit Agreement, by and among the Registrant, the loan party signatories and lenders party thereto,</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Ares Capital Corporation as administrative agent, dated April 25, 2023.</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10.21#**</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Second Amendment to Credit Agreement, by and among the Registrant, the loan party signatories and lenders party thereto, and Ares Capital</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Corporation as administrative agent, dated October 11,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the Registrant and Recursion Pharmaceuticals, Inc., dated November 3, 2023.</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7" w:right="2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undersigned, thereunto duly authorized, in Chicago, Illinois, on</w:t>
            </w:r>
          </w:p>
        </w:tc>
        <w:tc>
          <w:tcPr>
            <w:tcW w:w="2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2023.</w:t>
            </w: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28"/>
        </w:trPr>
        <w:tc>
          <w:tcPr>
            <w:tcW w:w="4900" w:type="dxa"/>
            <w:vAlign w:val="bottom"/>
          </w:tcPr>
          <w:p>
            <w:pPr>
              <w:spacing w:after="0"/>
              <w:rPr>
                <w:sz w:val="24"/>
                <w:szCs w:val="24"/>
                <w:color w:val="auto"/>
              </w:rPr>
            </w:pPr>
          </w:p>
        </w:tc>
        <w:tc>
          <w:tcPr>
            <w:tcW w:w="644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TEMPUS AI, INC.</w:t>
            </w:r>
          </w:p>
        </w:tc>
      </w:tr>
      <w:tr>
        <w:trPr>
          <w:trHeight w:val="459"/>
        </w:trPr>
        <w:tc>
          <w:tcPr>
            <w:tcW w:w="4900" w:type="dxa"/>
            <w:vAlign w:val="bottom"/>
          </w:tcPr>
          <w:p>
            <w:pPr>
              <w:spacing w:after="0"/>
              <w:rPr>
                <w:sz w:val="24"/>
                <w:szCs w:val="24"/>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6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198"/>
        </w:trPr>
        <w:tc>
          <w:tcPr>
            <w:tcW w:w="4900" w:type="dxa"/>
            <w:vAlign w:val="bottom"/>
          </w:tcPr>
          <w:p>
            <w:pPr>
              <w:spacing w:after="0"/>
              <w:rPr>
                <w:sz w:val="17"/>
                <w:szCs w:val="17"/>
                <w:color w:val="auto"/>
              </w:rPr>
            </w:pPr>
          </w:p>
        </w:tc>
        <w:tc>
          <w:tcPr>
            <w:tcW w:w="2440" w:type="dxa"/>
            <w:vAlign w:val="bottom"/>
          </w:tcPr>
          <w:p>
            <w:pPr>
              <w:ind w:left="1920"/>
              <w:spacing w:after="0" w:line="199"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Pr>
          <w:p>
            <w:pPr>
              <w:spacing w:after="0"/>
              <w:rPr>
                <w:sz w:val="17"/>
                <w:szCs w:val="17"/>
                <w:color w:val="auto"/>
              </w:rPr>
            </w:pPr>
          </w:p>
        </w:tc>
        <w:tc>
          <w:tcPr>
            <w:tcW w:w="39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Eric Lefkofsky</w:t>
            </w:r>
          </w:p>
        </w:tc>
      </w:tr>
      <w:tr>
        <w:trPr>
          <w:trHeight w:val="228"/>
        </w:trPr>
        <w:tc>
          <w:tcPr>
            <w:tcW w:w="4900" w:type="dxa"/>
            <w:vAlign w:val="bottom"/>
          </w:tcPr>
          <w:p>
            <w:pPr>
              <w:spacing w:after="0"/>
              <w:rPr>
                <w:sz w:val="19"/>
                <w:szCs w:val="19"/>
                <w:color w:val="auto"/>
              </w:rPr>
            </w:pP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r>
    </w:tbl>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8"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2023</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40"/>
          </w:cols>
          <w:pgMar w:left="320" w:top="447" w:right="5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ELEVENTH AMENDED AND RESTATED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95" w:lineRule="exact"/>
        <w:rPr>
          <w:sz w:val="20"/>
          <w:szCs w:val="20"/>
          <w:color w:val="auto"/>
        </w:rPr>
      </w:pPr>
    </w:p>
    <w:p>
      <w:pPr>
        <w:ind w:right="400" w:firstLine="428"/>
        <w:spacing w:after="0" w:line="267" w:lineRule="auto"/>
        <w:rPr>
          <w:sz w:val="20"/>
          <w:szCs w:val="20"/>
          <w:color w:val="auto"/>
        </w:rPr>
      </w:pPr>
      <w:r>
        <w:rPr>
          <w:rFonts w:ascii="Times New Roman" w:cs="Times New Roman" w:eastAsia="Times New Roman" w:hAnsi="Times New Roman"/>
          <w:sz w:val="18"/>
          <w:szCs w:val="18"/>
          <w:color w:val="auto"/>
        </w:rPr>
        <w:t>Tempus Labs, Inc., a corporation organized and existing under and by virtue of the provisions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ind w:right="560" w:firstLine="436"/>
        <w:spacing w:after="0" w:line="267" w:lineRule="auto"/>
        <w:tabs>
          <w:tab w:leader="none" w:pos="73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name of this corporation is Tempus Labs, Inc., and that this corporation was originally incorporated pursuant to the DGCL on September 21, 2015 under the name Bioin, Inc.</w:t>
      </w:r>
    </w:p>
    <w:p>
      <w:pPr>
        <w:spacing w:after="0" w:line="169" w:lineRule="exact"/>
        <w:rPr>
          <w:rFonts w:ascii="Times New Roman" w:cs="Times New Roman" w:eastAsia="Times New Roman" w:hAnsi="Times New Roman"/>
          <w:sz w:val="18"/>
          <w:szCs w:val="18"/>
          <w:color w:val="auto"/>
        </w:rPr>
      </w:pPr>
    </w:p>
    <w:p>
      <w:pPr>
        <w:ind w:right="20" w:firstLine="436"/>
        <w:spacing w:after="0" w:line="245" w:lineRule="auto"/>
        <w:tabs>
          <w:tab w:leader="none" w:pos="73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original Certificate of Incorporation of this corporation was amended by a Certificate of Amendment filed with the Secretary of State 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 The Tenth Amended and Restated Certificate of Incorporation was filed on April 18, 2022 with the Secretary of State of the State of Delaware.</w:t>
      </w:r>
    </w:p>
    <w:p>
      <w:pPr>
        <w:spacing w:after="0" w:line="192" w:lineRule="exact"/>
        <w:rPr>
          <w:rFonts w:ascii="Times New Roman" w:cs="Times New Roman" w:eastAsia="Times New Roman" w:hAnsi="Times New Roman"/>
          <w:sz w:val="18"/>
          <w:szCs w:val="18"/>
          <w:color w:val="auto"/>
        </w:rPr>
      </w:pPr>
    </w:p>
    <w:p>
      <w:pPr>
        <w:jc w:val="both"/>
        <w:ind w:right="40" w:firstLine="436"/>
        <w:spacing w:after="0" w:line="251" w:lineRule="auto"/>
        <w:tabs>
          <w:tab w:leader="none" w:pos="73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duly adopted resolutions proposing to amend and restate the Tenth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2"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Tenth Amended and Restated Certificate of Incorporation of this corporation be amended and restated in its entirety to read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this corporation is Tempus Labs,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ectPr>
          <w:pgSz w:w="11900" w:h="16838" w:orient="portrait"/>
          <w:cols w:equalWidth="0" w:num="1">
            <w:col w:w="10720"/>
          </w:cols>
          <w:pgMar w:left="580" w:top="119" w:right="599" w:bottom="1440" w:gutter="0" w:footer="0" w:header="0"/>
        </w:sectPr>
      </w:pPr>
    </w:p>
    <w:bookmarkStart w:id="318" w:name="page319"/>
    <w:bookmarkEnd w:id="318"/>
    <w:p>
      <w:pPr>
        <w:ind w:right="1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SECOND: </w:t>
      </w:r>
      <w:r>
        <w:rPr>
          <w:rFonts w:ascii="Times New Roman" w:cs="Times New Roman" w:eastAsia="Times New Roman" w:hAnsi="Times New Roman"/>
          <w:sz w:val="18"/>
          <w:szCs w:val="18"/>
          <w:color w:val="auto"/>
        </w:rPr>
        <w:t>The address of the registered office of the Corporation in the State of Delaware is 1209 Orange Street, City of Wilmington, County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Castle, Delaware 19801. The name of its registered agent at such address is The Corporation Trust Company.</w:t>
      </w:r>
    </w:p>
    <w:p>
      <w:pPr>
        <w:spacing w:after="0" w:line="164" w:lineRule="exact"/>
        <w:rPr>
          <w:sz w:val="20"/>
          <w:szCs w:val="20"/>
          <w:color w:val="auto"/>
        </w:rPr>
      </w:pPr>
    </w:p>
    <w:p>
      <w:pPr>
        <w:ind w:right="46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of the Corporation shall be to engage in any lawful act or activity for which a corporation may be organized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64" w:lineRule="exact"/>
        <w:rPr>
          <w:sz w:val="20"/>
          <w:szCs w:val="20"/>
          <w:color w:val="auto"/>
        </w:rPr>
      </w:pPr>
    </w:p>
    <w:p>
      <w:pPr>
        <w:jc w:val="both"/>
        <w:ind w:right="540" w:firstLine="428"/>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FOURTH: </w:t>
      </w:r>
      <w:r>
        <w:rPr>
          <w:rFonts w:ascii="Times New Roman" w:cs="Times New Roman" w:eastAsia="Times New Roman" w:hAnsi="Times New Roman"/>
          <w:sz w:val="16"/>
          <w:szCs w:val="16"/>
          <w:color w:val="auto"/>
        </w:rPr>
        <w:t>The Corporation is authorized to issue four classes of stock to be designated, respectively, “Class A Common Stock,” “Class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Common Stock,” “Nonvoting Common Stock” and “Preferred Stock.” The total number of shares of all classes of stock which the Corporation is authorized to issue is 342,353,315 shares, of which (i) 200,228,024 shares shall be Class A Common Stock (the “</w:t>
      </w: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(ii)</w:t>
      </w:r>
    </w:p>
    <w:p>
      <w:pPr>
        <w:spacing w:after="0" w:line="1" w:lineRule="exact"/>
        <w:rPr>
          <w:sz w:val="20"/>
          <w:szCs w:val="20"/>
          <w:color w:val="auto"/>
        </w:rPr>
      </w:pPr>
    </w:p>
    <w:p>
      <w:pPr>
        <w:ind w:right="460"/>
        <w:spacing w:after="0" w:line="247" w:lineRule="auto"/>
        <w:rPr>
          <w:sz w:val="20"/>
          <w:szCs w:val="20"/>
          <w:color w:val="auto"/>
        </w:rPr>
      </w:pPr>
      <w:r>
        <w:rPr>
          <w:rFonts w:ascii="Times New Roman" w:cs="Times New Roman" w:eastAsia="Times New Roman" w:hAnsi="Times New Roman"/>
          <w:sz w:val="18"/>
          <w:szCs w:val="18"/>
          <w:color w:val="auto"/>
        </w:rPr>
        <w:t>5,374,899 shares shall be Class B Common Stock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(iii) 66,946,627 shares shall be Nonvoting Common Stock (the “</w:t>
      </w:r>
      <w:r>
        <w:rPr>
          <w:rFonts w:ascii="Times New Roman" w:cs="Times New Roman" w:eastAsia="Times New Roman" w:hAnsi="Times New Roman"/>
          <w:sz w:val="18"/>
          <w:szCs w:val="18"/>
          <w:b w:val="1"/>
          <w:bCs w:val="1"/>
          <w:i w:val="1"/>
          <w:iCs w:val="1"/>
          <w:color w:val="auto"/>
        </w:rPr>
        <w:t>Nonvoting Common Stock</w:t>
      </w:r>
      <w:r>
        <w:rPr>
          <w:rFonts w:ascii="Times New Roman" w:cs="Times New Roman" w:eastAsia="Times New Roman" w:hAnsi="Times New Roman"/>
          <w:sz w:val="18"/>
          <w:szCs w:val="18"/>
          <w:color w:val="auto"/>
        </w:rPr>
        <w:t>”), and (iv) 69,803,765 shares shall be Preferred Stock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20" w:firstLine="42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Each share of Class A Common Stock and Class B Common Stock (referred to herein, collectively, as the “</w:t>
      </w:r>
      <w:r>
        <w:rPr>
          <w:rFonts w:ascii="Times New Roman" w:cs="Times New Roman" w:eastAsia="Times New Roman" w:hAnsi="Times New Roman"/>
          <w:sz w:val="18"/>
          <w:szCs w:val="18"/>
          <w:b w:val="1"/>
          <w:bCs w:val="1"/>
          <w:i w:val="1"/>
          <w:iCs w:val="1"/>
          <w:color w:val="auto"/>
        </w:rPr>
        <w:t>Voting Common Stock</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 par value of $0.0001 per share. Each share of Nonvoting Common Stock shall have a par value of $0.0001 per share. The Voting Common Stock and Nonvoting Common Stock are referred to herein, collectively, as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10,000,000 of the authorized shares of Preferred Stock are hereby designated “Series A Preferred Stock” (referred to herein as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A Preferred Stock</w:t>
      </w:r>
      <w:r>
        <w:rPr>
          <w:rFonts w:ascii="Times New Roman" w:cs="Times New Roman" w:eastAsia="Times New Roman" w:hAnsi="Times New Roman"/>
          <w:sz w:val="16"/>
          <w:szCs w:val="16"/>
          <w:color w:val="auto"/>
        </w:rPr>
        <w:t>”), 5,374,899 of the authorized shares of Preferred Stock are hereby designated “Series B Preferred Stock” (referred to herein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the “</w:t>
      </w:r>
      <w:r>
        <w:rPr>
          <w:rFonts w:ascii="Times New Roman" w:cs="Times New Roman" w:eastAsia="Times New Roman" w:hAnsi="Times New Roman"/>
          <w:sz w:val="16"/>
          <w:szCs w:val="16"/>
          <w:b w:val="1"/>
          <w:bCs w:val="1"/>
          <w:i w:val="1"/>
          <w:iCs w:val="1"/>
          <w:color w:val="auto"/>
        </w:rPr>
        <w:t>Series B Preferred Stock</w:t>
      </w:r>
      <w:r>
        <w:rPr>
          <w:rFonts w:ascii="Times New Roman" w:cs="Times New Roman" w:eastAsia="Times New Roman" w:hAnsi="Times New Roman"/>
          <w:sz w:val="16"/>
          <w:szCs w:val="16"/>
          <w:color w:val="auto"/>
        </w:rPr>
        <w:t>”), 2,500,000 of the authorized shares of Preferred Stock are hereby designated “Series B-1 Preferred Stock” (referred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herein as the “</w:t>
      </w:r>
      <w:r>
        <w:rPr>
          <w:rFonts w:ascii="Times New Roman" w:cs="Times New Roman" w:eastAsia="Times New Roman" w:hAnsi="Times New Roman"/>
          <w:sz w:val="16"/>
          <w:szCs w:val="16"/>
          <w:b w:val="1"/>
          <w:bCs w:val="1"/>
          <w:i w:val="1"/>
          <w:iCs w:val="1"/>
          <w:color w:val="auto"/>
        </w:rPr>
        <w:t>Series B-1 Preferred Stock</w:t>
      </w:r>
      <w:r>
        <w:rPr>
          <w:rFonts w:ascii="Times New Roman" w:cs="Times New Roman" w:eastAsia="Times New Roman" w:hAnsi="Times New Roman"/>
          <w:sz w:val="16"/>
          <w:szCs w:val="16"/>
          <w:color w:val="auto"/>
        </w:rPr>
        <w:t>”), 4,191,173 of the authorized shares of Preferred Stock are hereby designated “Series B-2 Preferred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(referred to herein as the “</w:t>
      </w:r>
      <w:r>
        <w:rPr>
          <w:rFonts w:ascii="Times New Roman" w:cs="Times New Roman" w:eastAsia="Times New Roman" w:hAnsi="Times New Roman"/>
          <w:sz w:val="16"/>
          <w:szCs w:val="16"/>
          <w:b w:val="1"/>
          <w:bCs w:val="1"/>
          <w:i w:val="1"/>
          <w:iCs w:val="1"/>
          <w:color w:val="auto"/>
        </w:rPr>
        <w:t>Series B-2 Preferred Stock</w:t>
      </w:r>
      <w:r>
        <w:rPr>
          <w:rFonts w:ascii="Times New Roman" w:cs="Times New Roman" w:eastAsia="Times New Roman" w:hAnsi="Times New Roman"/>
          <w:sz w:val="16"/>
          <w:szCs w:val="16"/>
          <w:color w:val="auto"/>
        </w:rPr>
        <w:t>”), 9,779,403 of the authorized shares of Preferred Stock are hereby designated “Series C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(referred to herein as the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8,534,330 of the authorized shares of Preferred Stock are hereby designated “Series 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(referred to herein as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6,630,905 of the authorized shares of Preferred Stock are hereby designated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Preferred Stock” (referred to herein as the “</w:t>
      </w:r>
      <w:r>
        <w:rPr>
          <w:rFonts w:ascii="Times New Roman" w:cs="Times New Roman" w:eastAsia="Times New Roman" w:hAnsi="Times New Roman"/>
          <w:sz w:val="18"/>
          <w:szCs w:val="18"/>
          <w:b w:val="1"/>
          <w:bCs w:val="1"/>
          <w:i w:val="1"/>
          <w:iCs w:val="1"/>
          <w:color w:val="auto"/>
        </w:rPr>
        <w:t>Series E Preferred Stock</w:t>
      </w:r>
      <w:r>
        <w:rPr>
          <w:rFonts w:ascii="Times New Roman" w:cs="Times New Roman" w:eastAsia="Times New Roman" w:hAnsi="Times New Roman"/>
          <w:sz w:val="18"/>
          <w:szCs w:val="18"/>
          <w:color w:val="auto"/>
        </w:rPr>
        <w:t>”), 8,077,674 of the authorized shares of Preferred Stock are hereby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designated “Series F Preferred Stock” (referred to herein as the “</w:t>
      </w:r>
      <w:r>
        <w:rPr>
          <w:rFonts w:ascii="Times New Roman" w:cs="Times New Roman" w:eastAsia="Times New Roman" w:hAnsi="Times New Roman"/>
          <w:sz w:val="16"/>
          <w:szCs w:val="16"/>
          <w:b w:val="1"/>
          <w:bCs w:val="1"/>
          <w:i w:val="1"/>
          <w:iCs w:val="1"/>
          <w:color w:val="auto"/>
        </w:rPr>
        <w:t>Series F Preferred Stock</w:t>
      </w:r>
      <w:r>
        <w:rPr>
          <w:rFonts w:ascii="Times New Roman" w:cs="Times New Roman" w:eastAsia="Times New Roman" w:hAnsi="Times New Roman"/>
          <w:sz w:val="16"/>
          <w:szCs w:val="16"/>
          <w:color w:val="auto"/>
        </w:rPr>
        <w:t>”), 2,537,290 of the authorized shares of Preferred Stock 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designated “Series G Preferred Stock” (referred to herein as the “</w:t>
      </w:r>
      <w:r>
        <w:rPr>
          <w:rFonts w:ascii="Times New Roman" w:cs="Times New Roman" w:eastAsia="Times New Roman" w:hAnsi="Times New Roman"/>
          <w:sz w:val="18"/>
          <w:szCs w:val="18"/>
          <w:b w:val="1"/>
          <w:bCs w:val="1"/>
          <w:i w:val="1"/>
          <w:iCs w:val="1"/>
          <w:color w:val="auto"/>
        </w:rPr>
        <w:t>Series G Preferred Stock</w:t>
      </w:r>
      <w:r>
        <w:rPr>
          <w:rFonts w:ascii="Times New Roman" w:cs="Times New Roman" w:eastAsia="Times New Roman" w:hAnsi="Times New Roman"/>
          <w:sz w:val="18"/>
          <w:szCs w:val="18"/>
          <w:color w:val="auto"/>
        </w:rPr>
        <w:t>”), 3,453,139 of the authorized shares of Preferred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are hereby designated “Series G-2 Preferred Stock” (referred to herein as the “</w:t>
      </w:r>
      <w:r>
        <w:rPr>
          <w:rFonts w:ascii="Times New Roman" w:cs="Times New Roman" w:eastAsia="Times New Roman" w:hAnsi="Times New Roman"/>
          <w:sz w:val="16"/>
          <w:szCs w:val="16"/>
          <w:b w:val="1"/>
          <w:bCs w:val="1"/>
          <w:i w:val="1"/>
          <w:iCs w:val="1"/>
          <w:color w:val="auto"/>
        </w:rPr>
        <w:t>Series G-2 Preferred Stock</w:t>
      </w:r>
      <w:r>
        <w:rPr>
          <w:rFonts w:ascii="Times New Roman" w:cs="Times New Roman" w:eastAsia="Times New Roman" w:hAnsi="Times New Roman"/>
          <w:sz w:val="16"/>
          <w:szCs w:val="16"/>
          <w:color w:val="auto"/>
        </w:rPr>
        <w:t>”), 4,362,476 of the authorized shares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are hereby designated “Series G-3 Preferred Stock” (referred to herein as the “</w:t>
      </w:r>
      <w:r>
        <w:rPr>
          <w:rFonts w:ascii="Times New Roman" w:cs="Times New Roman" w:eastAsia="Times New Roman" w:hAnsi="Times New Roman"/>
          <w:sz w:val="18"/>
          <w:szCs w:val="18"/>
          <w:b w:val="1"/>
          <w:bCs w:val="1"/>
          <w:i w:val="1"/>
          <w:iCs w:val="1"/>
          <w:color w:val="auto"/>
        </w:rPr>
        <w:t>Series G-3 Preferred Stock</w:t>
      </w:r>
      <w:r>
        <w:rPr>
          <w:rFonts w:ascii="Times New Roman" w:cs="Times New Roman" w:eastAsia="Times New Roman" w:hAnsi="Times New Roman"/>
          <w:sz w:val="18"/>
          <w:szCs w:val="18"/>
          <w:color w:val="auto"/>
        </w:rPr>
        <w:t>”), and 4,362,476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shares of Preferred Stock are hereby designated “Series G-4 Preferred Stock” (referred to herein as the “</w:t>
      </w:r>
      <w:r>
        <w:rPr>
          <w:rFonts w:ascii="Times New Roman" w:cs="Times New Roman" w:eastAsia="Times New Roman" w:hAnsi="Times New Roman"/>
          <w:sz w:val="18"/>
          <w:szCs w:val="18"/>
          <w:b w:val="1"/>
          <w:bCs w:val="1"/>
          <w:i w:val="1"/>
          <w:iCs w:val="1"/>
          <w:color w:val="auto"/>
        </w:rPr>
        <w:t>Series G-4</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20"/>
          </w:cols>
          <w:pgMar w:left="580" w:top="263" w:right="599" w:bottom="1440" w:gutter="0" w:footer="0" w:header="0"/>
        </w:sectPr>
      </w:pPr>
    </w:p>
    <w:bookmarkStart w:id="319" w:name="page320"/>
    <w:bookmarkEnd w:id="319"/>
    <w:p>
      <w:pPr>
        <w:ind w:right="2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Preferred Stock</w:t>
      </w:r>
      <w:r>
        <w:rPr>
          <w:rFonts w:ascii="Times New Roman" w:cs="Times New Roman" w:eastAsia="Times New Roman" w:hAnsi="Times New Roman"/>
          <w:sz w:val="18"/>
          <w:szCs w:val="18"/>
          <w:color w:val="auto"/>
        </w:rPr>
        <w:t>”). Each share of Series A Preferred Stock, Series B Preferred Stock, Series B-1 Preferred Stock, Series B-2 Preferred Stock, Series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Series D Preferred Stock, Series E Preferred Stock, Series F Preferred Stock, Series G Preferred Stock, Series G-2 Preferred Stock, Series G-3 Preferred Stock and Series G-4 Preferred Stock shall have a par value of $0.0001 per share.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 xml:space="preserve">SEVENTH: </w:t>
      </w:r>
      <w:r>
        <w:rPr>
          <w:rFonts w:ascii="Times New Roman" w:cs="Times New Roman" w:eastAsia="Times New Roman" w:hAnsi="Times New Roman"/>
          <w:sz w:val="16"/>
          <w:szCs w:val="16"/>
          <w:color w:val="auto"/>
        </w:rPr>
        <w:t>The rights, preferences, privileges, restrictions and other matters relating to the Common Stock and Preferred Stock are as follows:</w:t>
      </w:r>
    </w:p>
    <w:p>
      <w:pPr>
        <w:spacing w:after="0" w:line="343" w:lineRule="exact"/>
        <w:rPr>
          <w:sz w:val="20"/>
          <w:szCs w:val="20"/>
          <w:color w:val="auto"/>
        </w:rPr>
      </w:pPr>
    </w:p>
    <w:p>
      <w:pPr>
        <w:ind w:left="440"/>
        <w:spacing w:after="0"/>
        <w:tabs>
          <w:tab w:leader="none" w:pos="7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COMMON STOCK</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Common Stock shall have the following rights, preferences, powers, privileges and restrictions, qualifications and limitations.</w:t>
      </w:r>
    </w:p>
    <w:p>
      <w:pPr>
        <w:spacing w:after="0" w:line="213" w:lineRule="exact"/>
        <w:rPr>
          <w:sz w:val="20"/>
          <w:szCs w:val="20"/>
          <w:color w:val="auto"/>
        </w:rPr>
      </w:pPr>
    </w:p>
    <w:p>
      <w:pPr>
        <w:ind w:right="20" w:firstLine="972"/>
        <w:spacing w:after="0" w:line="248" w:lineRule="auto"/>
        <w:tabs>
          <w:tab w:leader="none" w:pos="127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voting, dividend, liquidation and other rights, powers and preferences of the holders of the Class A Common Stock, Class B Common Stock and Nonvoting Common Stock are subject to and qualified by the rights, powers and preferences of the holders of the Preferred Stock set forth herein. Except as otherwise provided in this Eleventh Amended and Restated Certificate of Incorporation, as amended (the “</w:t>
      </w:r>
      <w:r>
        <w:rPr>
          <w:rFonts w:ascii="Times New Roman" w:cs="Times New Roman" w:eastAsia="Times New Roman" w:hAnsi="Times New Roman"/>
          <w:sz w:val="18"/>
          <w:szCs w:val="18"/>
          <w:b w:val="1"/>
          <w:bCs w:val="1"/>
          <w:i w:val="1"/>
          <w:iCs w:val="1"/>
          <w:color w:val="auto"/>
        </w:rPr>
        <w:t>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or required by applicable law, shares of Class A Common Stock, Class B Common Stock and Nonvoting Common Stock shall have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rights, privileges and powers, rank equally (including as to dividends and distributions, and upon any liquidation, dissolution, distribution of assets or winding up of the Corporation), share ratably and be identical in all respects and as to all matters.</w:t>
      </w:r>
    </w:p>
    <w:p>
      <w:pPr>
        <w:spacing w:after="0" w:line="187" w:lineRule="exact"/>
        <w:rPr>
          <w:rFonts w:ascii="Times New Roman" w:cs="Times New Roman" w:eastAsia="Times New Roman" w:hAnsi="Times New Roman"/>
          <w:sz w:val="18"/>
          <w:szCs w:val="18"/>
          <w:color w:val="auto"/>
        </w:rPr>
      </w:pPr>
    </w:p>
    <w:p>
      <w:pPr>
        <w:ind w:firstLine="972"/>
        <w:spacing w:after="0" w:line="278" w:lineRule="auto"/>
        <w:tabs>
          <w:tab w:leader="none" w:pos="127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Voting</w:t>
      </w:r>
      <w:r>
        <w:rPr>
          <w:rFonts w:ascii="Times New Roman" w:cs="Times New Roman" w:eastAsia="Times New Roman" w:hAnsi="Times New Roman"/>
          <w:sz w:val="16"/>
          <w:szCs w:val="16"/>
          <w:color w:val="auto"/>
        </w:rPr>
        <w:t>. Except as otherwise required by applicable law, at all meetings of stockholders and on all matters submitted to a vote of stockholders of the Corporation generally (including written actions in lieu of meetings), each holder of the Class A Common Stock shall be entitled to one (1) vote for each share of Class A Common Stock held of record by such holder, and each holder of Class B Common Stock shall be entitled to fifteen (15) votes for each share of Class B Common Stock held of record by such holder. Except as otherwise required by applicable law or provided in this Restated Certificate, the holders of shares of Class A Common Stock and Class B Common Stock, as such, shall (a) at all times vote together as a single class on all matters (including the election of directors) submitted to a vote of the stockholders of the Corporation generally, (b)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16"/>
          <w:szCs w:val="16"/>
          <w:b w:val="1"/>
          <w:bCs w:val="1"/>
          <w:i w:val="1"/>
          <w:iCs w:val="1"/>
          <w:color w:val="auto"/>
        </w:rPr>
        <w:t>Bylaws</w:t>
      </w:r>
      <w:r>
        <w:rPr>
          <w:rFonts w:ascii="Times New Roman" w:cs="Times New Roman" w:eastAsia="Times New Roman" w:hAnsi="Times New Roman"/>
          <w:sz w:val="16"/>
          <w:szCs w:val="16"/>
          <w:color w:val="auto"/>
        </w:rPr>
        <w:t xml:space="preserve">”), and (c) be entitled to vote upon such matters and in such manner as may be provided by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otherwise required by law, holders of Voting Common Stock, as such, shall not be entitled to vote on any amendment to this Restated Certificate that relates solely to the terms of one or more outstanding series of Preferred Stock if the holders of such affected series are entitled, either separately or together with the holders of one or more other such series, to vote thereon pursuant to the Restated Certificate or pursuant to the DGCL. The holders of Nonvoting Common Stock shall have no voting rights, except as required by law. There shall be no cumulative voting. Subject to </w:t>
      </w:r>
      <w:r>
        <w:rPr>
          <w:rFonts w:ascii="Times New Roman" w:cs="Times New Roman" w:eastAsia="Times New Roman" w:hAnsi="Times New Roman"/>
          <w:sz w:val="16"/>
          <w:szCs w:val="16"/>
          <w:u w:val="single" w:color="auto"/>
          <w:color w:val="auto"/>
        </w:rPr>
        <w:t>Sections 3.3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3.11</w:t>
      </w:r>
      <w:r>
        <w:rPr>
          <w:rFonts w:ascii="Times New Roman" w:cs="Times New Roman" w:eastAsia="Times New Roman" w:hAnsi="Times New Roman"/>
          <w:sz w:val="16"/>
          <w:szCs w:val="16"/>
          <w:color w:val="auto"/>
        </w:rPr>
        <w:t xml:space="preserve"> of Part B below, the number of authorized shares of Class A Common Stock, Class B Common Stock, Nonvoting Common Stock or Preferred Stock may be increased or decreased (but not below (i) the number of shares thereof then outstanding and (ii) with respect to the Class A Common Stock, the number of shares of Class A Common Stock</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580" w:top="261" w:right="619" w:bottom="1440" w:gutter="0" w:footer="0" w:header="0"/>
        </w:sectPr>
      </w:pPr>
    </w:p>
    <w:bookmarkStart w:id="320" w:name="page321"/>
    <w:bookmarkEnd w:id="320"/>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reserved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Part A of this Article Seventh) by (in addition to any vote of the holders of one or more series of Preferred Stock that may be required by the terms of this Restated Certificate) the affirmative vote of the holders of capital stock representing a majority of the voting power of all the then-outstanding shares of capital stock of the Corporation entitled to vote thereon, irrespective of the provisions of Section 242(b)(2) of DGCL, and no vote of the holders of any shares of Nonvoting Common Stock, voting as a separate class, shall be required therefor.</w:t>
      </w:r>
    </w:p>
    <w:p>
      <w:pPr>
        <w:spacing w:after="0" w:line="289" w:lineRule="exact"/>
        <w:rPr>
          <w:sz w:val="20"/>
          <w:szCs w:val="20"/>
          <w:color w:val="auto"/>
        </w:rPr>
      </w:pPr>
    </w:p>
    <w:p>
      <w:pPr>
        <w:ind w:left="1280" w:hanging="308"/>
        <w:spacing w:after="0"/>
        <w:tabs>
          <w:tab w:leader="none" w:pos="12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Optional Conversion of Class B Common Stock</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shares of Class B Common Stock into shares of Class A Common Stock, such holder shall surrender the certificate or certificates therefor (if any), duly endorsed, at the principal corporate office of the Corporation or of any transfer agent for the Class B Common Stock, and shall provide written notice to the Corporation at its principal corporate office, of such conversion election and shall state therein the name or names (i) in which the certificate or certificates representing the shares of Class A Common Stock into which the shares of Class B Common Stock are so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the shares of Class B Common Stock are to be converted are to be issued in a name or names other than the name of the holder of the shares of Class B Common Stock being converted, such notice shall be accompanied by a written instrument or instruments of transfer, in form satisfactory to the Corporation, duly executed by the holder. The Corporation shall, as soon as practicable thereafter, issue and deliver at such office to such holder, or to the nominee or nominees of such holder, a certificate or certificates representing the number of shares of Class A Common Stock to which such holder shall be entitled upon such conversion (if such shares of Class A Common Stock are certificated) or shall register such shares of Class A Common Stock in book-entry form (if such shares of Class A Common Stock are uncertificated). Such conversion shall be deemed to be effective immediately prior to the close of business on the date of such surrender of the shares of Class B Common Stock to be converted following or contemporaneously with the provision of written notice of such conversion election as required by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shares of Class A Common Stock issuable upon such conversion shall be deemed to be outstanding as of such time, and the Person or Persons entitled to receive the shares of Class A Common Stock issuable upon such conversion shall be deemed to be the record holder or holders of such shares of Class A Common Stock as of such time.</w:t>
      </w:r>
    </w:p>
    <w:p>
      <w:pPr>
        <w:spacing w:after="0" w:line="203" w:lineRule="exact"/>
        <w:rPr>
          <w:sz w:val="20"/>
          <w:szCs w:val="20"/>
          <w:color w:val="auto"/>
        </w:rPr>
      </w:pPr>
    </w:p>
    <w:p>
      <w:pPr>
        <w:jc w:val="both"/>
        <w:ind w:right="10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Automatic Conversion of Class B Common Stock</w:t>
      </w:r>
      <w:r>
        <w:rPr>
          <w:rFonts w:ascii="Times New Roman" w:cs="Times New Roman" w:eastAsia="Times New Roman" w:hAnsi="Times New Roman"/>
          <w:sz w:val="18"/>
          <w:szCs w:val="18"/>
          <w:color w:val="auto"/>
        </w:rPr>
        <w:t>. Each share of Class B Common Stock shall automatically, without further action by the Corporation or the holder thereof, convert into one (1) fully paid and nonassessable share of Class A Common Stock upon the occurrence of any event described below:</w:t>
      </w:r>
    </w:p>
    <w:p>
      <w:pPr>
        <w:spacing w:after="0" w:line="180"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the date that is twenty (20) years from the Effective Time;</w:t>
      </w:r>
    </w:p>
    <w:p>
      <w:pPr>
        <w:spacing w:after="0" w:line="1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0"/>
          </w:cols>
          <w:pgMar w:left="580" w:top="265" w:right="639" w:bottom="1440" w:gutter="0" w:footer="0" w:header="0"/>
        </w:sectPr>
      </w:pPr>
    </w:p>
    <w:bookmarkStart w:id="321" w:name="page322"/>
    <w:bookmarkEnd w:id="321"/>
    <w:p>
      <w:pPr>
        <w:jc w:val="both"/>
        <w:ind w:right="64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3.2.2 the first date on which Eric P. Lefkofsky and his Controlled Affiliates (as defined in </w:t>
      </w:r>
      <w:r>
        <w:rPr>
          <w:rFonts w:ascii="Times New Roman" w:cs="Times New Roman" w:eastAsia="Times New Roman" w:hAnsi="Times New Roman"/>
          <w:sz w:val="18"/>
          <w:szCs w:val="18"/>
          <w:u w:val="single" w:color="auto"/>
          <w:color w:val="auto"/>
        </w:rPr>
        <w:t>Section 5.1.1(g)</w:t>
      </w:r>
      <w:r>
        <w:rPr>
          <w:rFonts w:ascii="Times New Roman" w:cs="Times New Roman" w:eastAsia="Times New Roman" w:hAnsi="Times New Roman"/>
          <w:sz w:val="18"/>
          <w:szCs w:val="18"/>
          <w:color w:val="auto"/>
        </w:rPr>
        <w:t xml:space="preserve"> below) collectively own less than 10,000,000 shares of capital stock of the Corporation, as adjusted for any stock splits, stock dividends, combinations, subdivisions, recapitalizations or the like;</w:t>
      </w:r>
    </w:p>
    <w:p>
      <w:pPr>
        <w:spacing w:after="0" w:line="180" w:lineRule="exact"/>
        <w:rPr>
          <w:sz w:val="20"/>
          <w:szCs w:val="20"/>
          <w:color w:val="auto"/>
        </w:rPr>
      </w:pPr>
    </w:p>
    <w:p>
      <w:pPr>
        <w:ind w:right="560" w:firstLine="1928"/>
        <w:spacing w:after="0" w:line="267" w:lineRule="auto"/>
        <w:rPr>
          <w:sz w:val="20"/>
          <w:szCs w:val="20"/>
          <w:color w:val="auto"/>
        </w:rPr>
      </w:pPr>
      <w:r>
        <w:rPr>
          <w:rFonts w:ascii="Times New Roman" w:cs="Times New Roman" w:eastAsia="Times New Roman" w:hAnsi="Times New Roman"/>
          <w:sz w:val="18"/>
          <w:szCs w:val="18"/>
          <w:color w:val="auto"/>
        </w:rPr>
        <w:t>3.2.3 the date on which Eric P. Lefkofsky is no longer providing services to the Company as an executive officer or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w:t>
      </w:r>
    </w:p>
    <w:p>
      <w:pPr>
        <w:spacing w:after="0" w:line="170" w:lineRule="exact"/>
        <w:rPr>
          <w:sz w:val="20"/>
          <w:szCs w:val="20"/>
          <w:color w:val="auto"/>
        </w:rPr>
      </w:pPr>
    </w:p>
    <w:p>
      <w:pPr>
        <w:jc w:val="both"/>
        <w:ind w:right="260" w:firstLine="1928"/>
        <w:spacing w:after="0" w:line="255" w:lineRule="auto"/>
        <w:rPr>
          <w:sz w:val="20"/>
          <w:szCs w:val="20"/>
          <w:color w:val="auto"/>
        </w:rPr>
      </w:pPr>
      <w:r>
        <w:rPr>
          <w:rFonts w:ascii="Times New Roman" w:cs="Times New Roman" w:eastAsia="Times New Roman" w:hAnsi="Times New Roman"/>
          <w:sz w:val="18"/>
          <w:szCs w:val="18"/>
          <w:color w:val="auto"/>
        </w:rPr>
        <w:t>3.2.4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other than a Transfer by a holder of Class B Common Stock to any of its Controlled Affiliates.</w:t>
      </w:r>
    </w:p>
    <w:p>
      <w:pPr>
        <w:spacing w:after="0" w:line="180" w:lineRule="exact"/>
        <w:rPr>
          <w:sz w:val="20"/>
          <w:szCs w:val="20"/>
          <w:color w:val="auto"/>
        </w:rPr>
      </w:pPr>
    </w:p>
    <w:p>
      <w:pPr>
        <w:jc w:val="both"/>
        <w:ind w:right="2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Mandatory Conversion of Nonvoting Common Stock</w:t>
      </w:r>
      <w:r>
        <w:rPr>
          <w:rFonts w:ascii="Times New Roman" w:cs="Times New Roman" w:eastAsia="Times New Roman" w:hAnsi="Times New Roman"/>
          <w:sz w:val="18"/>
          <w:szCs w:val="18"/>
          <w:color w:val="auto"/>
        </w:rPr>
        <w:t xml:space="preserve">. All outstanding shares of Nonvoting Common Stock shall automatically be converted into shares of Class A Common Stock at the Nonvoting Mandatory Conversion Time (as defined below).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Part B of this Article Seventh states the mandatory conversion conditions and mechanics.</w:t>
      </w:r>
    </w:p>
    <w:p>
      <w:pPr>
        <w:spacing w:after="0" w:line="180" w:lineRule="exact"/>
        <w:rPr>
          <w:sz w:val="20"/>
          <w:szCs w:val="20"/>
          <w:color w:val="auto"/>
        </w:rPr>
      </w:pPr>
    </w:p>
    <w:p>
      <w:pPr>
        <w:ind w:firstLine="972"/>
        <w:spacing w:after="0" w:line="251" w:lineRule="auto"/>
        <w:tabs>
          <w:tab w:leader="none" w:pos="127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Stock</w:t>
      </w:r>
      <w:r>
        <w:rPr>
          <w:rFonts w:ascii="Times New Roman" w:cs="Times New Roman" w:eastAsia="Times New Roman" w:hAnsi="Times New Roman"/>
          <w:sz w:val="18"/>
          <w:szCs w:val="18"/>
          <w:color w:val="auto"/>
        </w:rPr>
        <w:t>. The Corporation shall at all times reserve and keep available out of its authorized but unissued shares of Class A Common Stock, solely for the purpose of effecting the conversion of the shares of Class B Common Stock, such number of shares of Class A Common Stock as shall from time to time be sufficient to effect the conversion of all outstanding shares of Class B Common Stock into shares of Class A Common Stock.</w:t>
      </w:r>
    </w:p>
    <w:p>
      <w:pPr>
        <w:spacing w:after="0" w:line="289"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08" w:lineRule="exact"/>
        <w:rPr>
          <w:sz w:val="20"/>
          <w:szCs w:val="20"/>
          <w:color w:val="auto"/>
        </w:rPr>
      </w:pPr>
    </w:p>
    <w:p>
      <w:pPr>
        <w:ind w:right="600" w:firstLine="428"/>
        <w:spacing w:after="0" w:line="267" w:lineRule="auto"/>
        <w:rPr>
          <w:sz w:val="20"/>
          <w:szCs w:val="20"/>
          <w:color w:val="auto"/>
        </w:rPr>
      </w:pPr>
      <w:r>
        <w:rPr>
          <w:rFonts w:ascii="Times New Roman" w:cs="Times New Roman" w:eastAsia="Times New Roman" w:hAnsi="Times New Roman"/>
          <w:sz w:val="18"/>
          <w:szCs w:val="18"/>
          <w:color w:val="auto"/>
        </w:rPr>
        <w:t>The Preferred Stock shall have the following rights, preferences, powers, privileges and restrictions, qualifications and limitations. Unless otherwise indicated, references to “Sections” in this Part B of this Article Seventh refer to sections of Part B of this Article Seventh.</w:t>
      </w:r>
    </w:p>
    <w:p>
      <w:pPr>
        <w:spacing w:after="0" w:line="275" w:lineRule="exact"/>
        <w:rPr>
          <w:sz w:val="20"/>
          <w:szCs w:val="20"/>
          <w:color w:val="auto"/>
        </w:rPr>
      </w:pPr>
    </w:p>
    <w:p>
      <w:pPr>
        <w:ind w:left="1280" w:hanging="308"/>
        <w:spacing w:after="0"/>
        <w:tabs>
          <w:tab w:leader="none" w:pos="12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6"/>
          <w:szCs w:val="16"/>
          <w:u w:val="single" w:color="auto"/>
          <w:color w:val="auto"/>
        </w:rPr>
        <w:t>Series G-4 PIK Dividends</w:t>
      </w:r>
      <w:r>
        <w:rPr>
          <w:rFonts w:ascii="Times New Roman" w:cs="Times New Roman" w:eastAsia="Times New Roman" w:hAnsi="Times New Roman"/>
          <w:sz w:val="16"/>
          <w:szCs w:val="16"/>
          <w:color w:val="auto"/>
        </w:rPr>
        <w:t>. From and after the date that is twelve (12) months following the issuance of each share of Series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G-4 Preferred Stock, dividends shall accrue on such share of Series G-4 Preferred Stock, at the rate of five and one-quarter percent (5.25%) per annum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the sum of (i) the Series G-4 Original Issue Price (subject to appropriate adjustment in the event of any stock dividend, stock split, combination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similar recapitalization with respect to such class or series) plus (ii) all accrued but unpaid dividends thereon. Such dividends on the shares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G-4 Preferred Stock shall accrue from day to day, whether or not declared and whether or not there are any funds of the Corporation legally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available for the payment of dividends, and shall be cumulative. To the extent permitted by applicable law, the Corporation shall pay all of the accrued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on shares of Series G-4 Preferred Stock in fully paid and non-assessable shares of Series G-4 Preferred Stock (such dividends being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G-4 PIK Dividends</w:t>
      </w:r>
      <w:r>
        <w:rPr>
          <w:rFonts w:ascii="Times New Roman" w:cs="Times New Roman" w:eastAsia="Times New Roman" w:hAnsi="Times New Roman"/>
          <w:sz w:val="16"/>
          <w:szCs w:val="16"/>
          <w:color w:val="auto"/>
        </w:rPr>
        <w:t>”). The Series G-4 PIK Dividends shall be paid by delivering to each record holder of shares of Series G-4 Preferred Stock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whole shares of Series G-4 Preferred Stock determined by dividing (x) the accrued and unpaid dividends on the Series G-4</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00"/>
          </w:cols>
          <w:pgMar w:left="580" w:top="265" w:right="619" w:bottom="1440" w:gutter="0" w:footer="0" w:header="0"/>
        </w:sectPr>
      </w:pPr>
    </w:p>
    <w:bookmarkStart w:id="322" w:name="page323"/>
    <w:bookmarkEnd w:id="322"/>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Preferred Stock on the applicable Series G-4 Dividend Payment Date by (y) the Series G-4 Original Issue Price (subject to appropriate adjustment in the event of any stock dividend, stock split, combination or other similar recapitalization with respect to such class or series), on January 15 of each year (or the following business day, each such date, a “</w:t>
      </w:r>
      <w:r>
        <w:rPr>
          <w:rFonts w:ascii="Times New Roman" w:cs="Times New Roman" w:eastAsia="Times New Roman" w:hAnsi="Times New Roman"/>
          <w:sz w:val="16"/>
          <w:szCs w:val="16"/>
          <w:b w:val="1"/>
          <w:bCs w:val="1"/>
          <w:i w:val="1"/>
          <w:iCs w:val="1"/>
          <w:color w:val="auto"/>
        </w:rPr>
        <w:t>Series G-4 Dividend Payment Date</w:t>
      </w:r>
      <w:r>
        <w:rPr>
          <w:rFonts w:ascii="Times New Roman" w:cs="Times New Roman" w:eastAsia="Times New Roman" w:hAnsi="Times New Roman"/>
          <w:sz w:val="16"/>
          <w:szCs w:val="16"/>
          <w:color w:val="auto"/>
        </w:rPr>
        <w:t xml:space="preserve">”). If and to the extent that any portion of the accrued but unpaid dividends required to be paid on a Series G-4 Dividend Payment Date are not paid on such Series G-4 Dividend Payment Date, such unpaid portion of the dividends on the Series G-4 Preferred Stock shall accumulate and compound on the applicable Series G-4 Dividend Payment Date and subject to the provisions of this </w:t>
      </w:r>
      <w:r>
        <w:rPr>
          <w:rFonts w:ascii="Times New Roman" w:cs="Times New Roman" w:eastAsia="Times New Roman" w:hAnsi="Times New Roman"/>
          <w:sz w:val="16"/>
          <w:szCs w:val="16"/>
          <w:u w:val="single" w:color="auto"/>
          <w:color w:val="auto"/>
        </w:rPr>
        <w:t>subsection</w:t>
      </w:r>
      <w:r>
        <w:rPr>
          <w:rFonts w:ascii="Times New Roman" w:cs="Times New Roman" w:eastAsia="Times New Roman" w:hAnsi="Times New Roman"/>
          <w:sz w:val="16"/>
          <w:szCs w:val="16"/>
          <w:color w:val="auto"/>
        </w:rPr>
        <w:t xml:space="preserve"> shall be payable on the following Series G-4 Dividend Payment Date, in each case whether or not declared by the Board. All Series G-4 PIK Dividends on the shares of Series G-4 Preferred Stock shall be prior to and in preference to any dividend paid with respect to shares of Series G-3 Preferred Stock, Series G Preferred Stock, Series F Preferred Stock, Series E Preferred Stock, Series D Preferred Stock, Series C Preferred Stock, Series B-2 Preferred Stock, Series B-1 Preferred Stock and Series B Preferred Stock, Series A Preferred Stock, Common Stock or any other class or series of capital stock of the Corporation ranking junior to shares of Series G-4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G-4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81" w:lineRule="exact"/>
        <w:rPr>
          <w:sz w:val="20"/>
          <w:szCs w:val="20"/>
          <w:color w:val="auto"/>
        </w:rPr>
      </w:pPr>
    </w:p>
    <w:p>
      <w:pPr>
        <w:ind w:right="40" w:firstLine="1393"/>
        <w:spacing w:after="0" w:line="279"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Series G-3 PIK Dividends</w:t>
      </w:r>
      <w:r>
        <w:rPr>
          <w:rFonts w:ascii="Times New Roman" w:cs="Times New Roman" w:eastAsia="Times New Roman" w:hAnsi="Times New Roman"/>
          <w:sz w:val="16"/>
          <w:szCs w:val="16"/>
          <w:color w:val="auto"/>
        </w:rPr>
        <w:t>. From and after the date of the issuance of any share of Series G-3 Preferred Stock, dividends shall accrue on such share of Series G-3 Preferred Stock, at the rate of four percent (4.0%) per annum on the sum of (i) the Series G-3 Original Issue Price (subject to appropriate adjustment in the event of any stock dividend, stock split, combination or other similar recapitalization with respect to such class or series) plus (ii) all accrued but unpaid dividends thereon. Such dividends on the shares of Series G-3 Preferred Stock shall accrue from day to day, whether or not declared and whether or not there are any funds of the Corporation legally available for the payment of dividends, and shall be cumulative. To the extent permitted by applicable law, the Corporation shall pay all of the accrued dividends on shares of Series G-3 Preferred Stock in fully paid and non-assessable shares of Series G-3 Preferred Stock (such dividends being the “</w:t>
      </w:r>
      <w:r>
        <w:rPr>
          <w:rFonts w:ascii="Times New Roman" w:cs="Times New Roman" w:eastAsia="Times New Roman" w:hAnsi="Times New Roman"/>
          <w:sz w:val="16"/>
          <w:szCs w:val="16"/>
          <w:b w:val="1"/>
          <w:bCs w:val="1"/>
          <w:i w:val="1"/>
          <w:iCs w:val="1"/>
          <w:color w:val="auto"/>
        </w:rPr>
        <w:t>Series G-3 PIK Dividends</w:t>
      </w:r>
      <w:r>
        <w:rPr>
          <w:rFonts w:ascii="Times New Roman" w:cs="Times New Roman" w:eastAsia="Times New Roman" w:hAnsi="Times New Roman"/>
          <w:sz w:val="16"/>
          <w:szCs w:val="16"/>
          <w:color w:val="auto"/>
        </w:rPr>
        <w:t>”). The Series G-3 PIK Dividends shall be paid by delivering to each record holder of shares of Series G-3 Preferred Stock a number of whole shares of Series G-3 Preferred Stock determined by dividing (x) the accrued and unpaid dividends on the Series G-3 Preferred Stock on the applicable Series G-3 Dividend Payment Date by (y) the Series G-3 Original Issue Price (subject to appropriate adjustment in the event of any stock dividend, stock split, combination or other similar recapitalization with respect to such class or series), on January 15 of each year (or the following business day, each such date, a “</w:t>
      </w:r>
      <w:r>
        <w:rPr>
          <w:rFonts w:ascii="Times New Roman" w:cs="Times New Roman" w:eastAsia="Times New Roman" w:hAnsi="Times New Roman"/>
          <w:sz w:val="16"/>
          <w:szCs w:val="16"/>
          <w:b w:val="1"/>
          <w:bCs w:val="1"/>
          <w:i w:val="1"/>
          <w:iCs w:val="1"/>
          <w:color w:val="auto"/>
        </w:rPr>
        <w:t>Series G-3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Dividend Payment Date</w:t>
      </w:r>
      <w:r>
        <w:rPr>
          <w:rFonts w:ascii="Times New Roman" w:cs="Times New Roman" w:eastAsia="Times New Roman" w:hAnsi="Times New Roman"/>
          <w:sz w:val="16"/>
          <w:szCs w:val="16"/>
          <w:color w:val="auto"/>
        </w:rPr>
        <w:t>”). If and to the extent that any portion of the accrued but unpaid dividends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80"/>
          </w:cols>
          <w:pgMar w:left="580" w:top="265" w:right="639" w:bottom="1440" w:gutter="0" w:footer="0" w:header="0"/>
        </w:sectPr>
      </w:pPr>
    </w:p>
    <w:bookmarkStart w:id="323" w:name="page324"/>
    <w:bookmarkEnd w:id="323"/>
    <w:p>
      <w:pPr>
        <w:ind w:right="2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required to be paid on a Series G-3 Dividend Payment Date are not paid on such Series G-3 Dividend Payment Date, such unpaid portion of the dividends on the Series G-3 Preferred Stock shall accumulate and compound on the applicable Series G-3 Dividend Payment Date and subject to the provisions of this </w:t>
      </w:r>
      <w:r>
        <w:rPr>
          <w:rFonts w:ascii="Times New Roman" w:cs="Times New Roman" w:eastAsia="Times New Roman" w:hAnsi="Times New Roman"/>
          <w:sz w:val="16"/>
          <w:szCs w:val="16"/>
          <w:u w:val="single" w:color="auto"/>
          <w:color w:val="auto"/>
        </w:rPr>
        <w:t>subsection</w:t>
      </w:r>
      <w:r>
        <w:rPr>
          <w:rFonts w:ascii="Times New Roman" w:cs="Times New Roman" w:eastAsia="Times New Roman" w:hAnsi="Times New Roman"/>
          <w:sz w:val="16"/>
          <w:szCs w:val="16"/>
          <w:color w:val="auto"/>
        </w:rPr>
        <w:t xml:space="preserve"> shall be payable on the following Series G-3 Dividend Payment Date, in each case whether or not declared by the Board. All Series G-3 PIK Dividends on the shares of Series G-3 Preferred Stock shall be prior to and in preference to any dividend paid with respect to shares of Series G Preferred Stock, Series F Preferred Stock, Series E Preferred Stock, Series D Preferred Stock, Series C Preferred Stock, Series B-2 Preferred Stock, Series B-1 Preferred Stock and Series B Preferred Stock, Series A Preferred Stock, Common Stock or any other class or series of capital stock of the Corporation ranking junior to shares of Series G-3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G-3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F Accruing Dividends, 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377" w:lineRule="exact"/>
        <w:rPr>
          <w:sz w:val="20"/>
          <w:szCs w:val="20"/>
          <w:color w:val="auto"/>
        </w:rPr>
      </w:pPr>
    </w:p>
    <w:p>
      <w:pPr>
        <w:ind w:right="40" w:firstLine="1393"/>
        <w:spacing w:after="0" w:line="277"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Accruing Series G Dividends</w:t>
      </w:r>
      <w:r>
        <w:rPr>
          <w:rFonts w:ascii="Times New Roman" w:cs="Times New Roman" w:eastAsia="Times New Roman" w:hAnsi="Times New Roman"/>
          <w:sz w:val="16"/>
          <w:szCs w:val="16"/>
          <w:color w:val="auto"/>
        </w:rPr>
        <w:t>. From and after the date of the issuance of any share of Series G Preferred Stock, dividends shall accrue on such share of Series G Preferred Stock, at the rate of six percent (6.0%) per annum on the sum of (i) the Series G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G Accruing Dividends</w:t>
      </w:r>
      <w:r>
        <w:rPr>
          <w:rFonts w:ascii="Times New Roman" w:cs="Times New Roman" w:eastAsia="Times New Roman" w:hAnsi="Times New Roman"/>
          <w:sz w:val="16"/>
          <w:szCs w:val="16"/>
          <w:color w:val="auto"/>
        </w:rPr>
        <w:t xml:space="preserve">”). Series G Accruing Dividends shall accrue from day to day, whether or not declared and whether or not there are any funds of the Corporation legally available for the payment of dividends, and shall be cumulative;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except as set forth in </w:t>
      </w:r>
      <w:r>
        <w:rPr>
          <w:rFonts w:ascii="Times New Roman" w:cs="Times New Roman" w:eastAsia="Times New Roman" w:hAnsi="Times New Roman"/>
          <w:sz w:val="16"/>
          <w:szCs w:val="16"/>
          <w:u w:val="single" w:color="auto"/>
          <w:color w:val="auto"/>
        </w:rPr>
        <w:t>Subsection 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w:t>
      </w:r>
    </w:p>
    <w:p>
      <w:pPr>
        <w:spacing w:after="0" w:line="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2.10</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2.11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4.3.1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Subsection 5.2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color w:val="auto"/>
        </w:rPr>
        <w:t xml:space="preserve">, such Series G Accruing Dividends shall be payable only when, as and if declared by the Board of Directors of the Corporation. All Series G Accruing Dividends on the shares of Series G Preferred Stock shall be </w:t>
      </w:r>
      <w:r>
        <w:rPr>
          <w:rFonts w:ascii="Times New Roman" w:cs="Times New Roman" w:eastAsia="Times New Roman" w:hAnsi="Times New Roman"/>
          <w:sz w:val="16"/>
          <w:szCs w:val="16"/>
          <w:i w:val="1"/>
          <w:iCs w:val="1"/>
          <w:color w:val="auto"/>
        </w:rPr>
        <w:t>pari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to any dividend paid with respect to shares of Series F Preferred Stock, Series E Preferred Stock, Series D Preferred Stock, Series C Preferred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G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G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for clarity, Series F Accruing Dividends,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00"/>
          </w:cols>
          <w:pgMar w:left="580" w:top="265" w:right="619" w:bottom="1440" w:gutter="0" w:footer="0" w:header="0"/>
        </w:sectPr>
      </w:pPr>
    </w:p>
    <w:bookmarkStart w:id="324" w:name="page325"/>
    <w:bookmarkEnd w:id="324"/>
    <w:p>
      <w:pPr>
        <w:ind w:right="2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Series E Accruing Dividends, Series D Accruing Dividends, Series C Accruing Dividends, Series B-2 Accruing Dividends, Series B-1 Accruing Dividends, Series B Accruing Dividends, and Series A Accruing Dividends may be paid in respect of shares of Series F Preferred Stock, Series E Preferred Stock, Series D Preferred Stock, Series C Preferred Stock,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6"/>
          <w:szCs w:val="16"/>
          <w:u w:val="single" w:color="auto"/>
          <w:color w:val="auto"/>
        </w:rPr>
        <w:t>Accruing Series F Dividends, Accruing Series E Dividends, Accruing Series D Dividends and Accruing Series C Dividends</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From and after the date of the issuance of any share of Series F Preferred Stock, any share of Series E Preferred Stock, any share of Series D Preferred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and any share of Series C Preferred Stock, dividends shall accrue on such share of Series F Preferred Stock, Series E Preferred Stock, Series 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Preferred Stock or Series C Preferred Stock, as applicable, at the rate of six percent (6.0%) per annum on the sum of (i) the Series F Original Issue Price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(subject to appropriate adjustment in the event of any stock dividend, stock split, combination or other similar recapitalization with respect to such class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series), the Series E Original Issue Price (subject to appropriate adjustment in the event of any stock dividend, stock split, combination or other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similar recapitalization with respect to such class or series), the Series D Original Issue Price (subject to appropriate adjustment in the event of any stock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 stock split, combination or other similar recapitalization with respect to such class or series), or the Series C Original Issue Price (subject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appropriate adjustment in the event of any stock dividend, stock split, combination or other similar recapitalization with respect to such class or series),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applicable, plus (ii) all accrued but unpaid dividends thereon (as applicable, the “</w:t>
      </w:r>
      <w:r>
        <w:rPr>
          <w:rFonts w:ascii="Times New Roman" w:cs="Times New Roman" w:eastAsia="Times New Roman" w:hAnsi="Times New Roman"/>
          <w:sz w:val="18"/>
          <w:szCs w:val="18"/>
          <w:b w:val="1"/>
          <w:bCs w:val="1"/>
          <w:i w:val="1"/>
          <w:iCs w:val="1"/>
          <w:color w:val="auto"/>
        </w:rPr>
        <w:t>Series F Accruing Dividends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Series E Accruing Dividends</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Series D Accruing Dividends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i w:val="1"/>
          <w:iCs w:val="1"/>
          <w:color w:val="auto"/>
        </w:rPr>
        <w:t>Series C Accruing Dividends</w:t>
      </w:r>
      <w:r>
        <w:rPr>
          <w:rFonts w:ascii="Times New Roman" w:cs="Times New Roman" w:eastAsia="Times New Roman" w:hAnsi="Times New Roman"/>
          <w:sz w:val="16"/>
          <w:szCs w:val="16"/>
          <w:color w:val="auto"/>
        </w:rPr>
        <w:t>”). Series F Accruing Dividends, Series E Accruing Dividends, Series D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and Series C Accruing Dividends shall accrue from day to day, whether or not declared and whether or not there are any funds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Corporation legally available for the payment of dividends, and shall be cumulative;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set forth in </w:t>
      </w:r>
      <w:r>
        <w:rPr>
          <w:rFonts w:ascii="Times New Roman" w:cs="Times New Roman" w:eastAsia="Times New Roman" w:hAnsi="Times New Roman"/>
          <w:sz w:val="18"/>
          <w:szCs w:val="18"/>
          <w:u w:val="single" w:color="auto"/>
          <w:color w:val="auto"/>
        </w:rPr>
        <w:t>Subsection 2.5</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Subsection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4.3.1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Subsection 5.2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unless a holder of shares of Preferred Stock has made a prior written election delivered to the Corporation to receive payment of such accrued dividends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cash, such Series F Accruing Dividends, Series E Accruing Dividends, Series D Accruing Dividends and Series C Accruing Dividends shall be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only when, as and if declared by the Board of Directors of the Corporation. If and to the extent that a holder has made such election,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shall pay all of the Series F Accruing Dividends, the Series E Accruing Dividends, the Series D Accruing Dividends and the Series 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Accruing Dividends on the applicable shares of Preferred Stock held by such holder in cash on January 15 of each year (or the following business day,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such date, a “</w:t>
      </w:r>
      <w:r>
        <w:rPr>
          <w:rFonts w:ascii="Times New Roman" w:cs="Times New Roman" w:eastAsia="Times New Roman" w:hAnsi="Times New Roman"/>
          <w:sz w:val="16"/>
          <w:szCs w:val="16"/>
          <w:b w:val="1"/>
          <w:bCs w:val="1"/>
          <w:i w:val="1"/>
          <w:iCs w:val="1"/>
          <w:color w:val="auto"/>
        </w:rPr>
        <w:t>Dividend Payment Date</w:t>
      </w:r>
      <w:r>
        <w:rPr>
          <w:rFonts w:ascii="Times New Roman" w:cs="Times New Roman" w:eastAsia="Times New Roman" w:hAnsi="Times New Roman"/>
          <w:sz w:val="16"/>
          <w:szCs w:val="16"/>
          <w:color w:val="auto"/>
        </w:rPr>
        <w:t xml:space="preserve">”), but only to the extent out of funds legally available therefor;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in the event any such holder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makes such election, the Series F Accruing Dividends, the Series E Accruing Dividends, the Series D Accruing Dividends and the Series C Accruing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with respect to the applicable shares of Preferred Stock held by such holder shall accrue on such shares at the rate of five percent (5.0%)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rather than six percent (6.0%) per annum. If and to the extent that any portion of the accrued but unpaid dividends required to be paid on 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are not paid on such Dividend Payment Date, such unpaid portion of the Series F Accruing Dividends, Series E Accruing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Series D Accruing Dividends or Series C Accruing Dividends shall accumulate and compound on the applicable Dividend Payment Date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provisions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00"/>
          </w:cols>
          <w:pgMar w:left="580" w:top="265" w:right="619" w:bottom="1440" w:gutter="0" w:footer="0" w:header="0"/>
        </w:sectPr>
      </w:pPr>
    </w:p>
    <w:bookmarkStart w:id="325" w:name="page326"/>
    <w:bookmarkEnd w:id="325"/>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of this </w:t>
      </w:r>
      <w:r>
        <w:rPr>
          <w:rFonts w:ascii="Times New Roman" w:cs="Times New Roman" w:eastAsia="Times New Roman" w:hAnsi="Times New Roman"/>
          <w:sz w:val="18"/>
          <w:szCs w:val="18"/>
          <w:u w:val="single" w:color="auto"/>
          <w:color w:val="auto"/>
        </w:rPr>
        <w:t>subsection</w:t>
      </w:r>
      <w:r>
        <w:rPr>
          <w:rFonts w:ascii="Times New Roman" w:cs="Times New Roman" w:eastAsia="Times New Roman" w:hAnsi="Times New Roman"/>
          <w:sz w:val="18"/>
          <w:szCs w:val="18"/>
          <w:color w:val="auto"/>
        </w:rPr>
        <w:t xml:space="preserve"> shall be payable on the following Dividend Payment Date, in each case whether or not declared by the Board of Directors of the Corporation. All Series F Accruing Dividends on the shares of Series F Preferred Stock, Series E Accruing Dividends on the shares of Series E Preferred Stock, Series D Accruing Dividends on the shares of Series D Preferred Stock and Series C Accruing Dividends on the shares of Series C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each other and with respect to shares of Series G Preferred Stock, Series B-2 Preferred Stock, Series B-1 Preferred Stock and Series B Preferred Stock and prior to and in preference to any dividend on any shares of Series A Preferred Stock, Common Stock or any other class or series of capital stock of the Corporation ranking junior to shares of Series F Preferred Stock, Series E Preferred Stock, Series D Preferred Stock and Series C Preferred Stock in respect of payment of dividends, and except as provided herein, shall be paid before any dividends are declared and paid, or any other distributions or redemptions are made, with respect to shares of Series A Preferred Stock, Common Stock (other than dividends on shares of Common Stock payable in shares of Common Stock) or other classes or series of capital stock of the Corporation ranking junior to shares of Series F Preferred Stock, Series E Preferred Stock, Series D Preferred Stock and Series C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B-2 Accruing Dividends, Series B-1 Accruing Dividends, Series B Accruing Dividends, and Series A Accruing Dividends may be paid in respect of shares of Series B-2 Preferred Stock,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6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Accruing Series B-2 Dividends</w:t>
      </w:r>
      <w:r>
        <w:rPr>
          <w:rFonts w:ascii="Times New Roman" w:cs="Times New Roman" w:eastAsia="Times New Roman" w:hAnsi="Times New Roman"/>
          <w:sz w:val="18"/>
          <w:szCs w:val="18"/>
          <w:color w:val="auto"/>
        </w:rPr>
        <w:t>. From and after the date of the issuance of any share of Series B-2 Preferred Stock, dividends shall accrue on such share of Series B-2 Preferred Stock at the rate of five percent (5.0%) per annum on the sum of (i) the Series B-2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B-2 Accruing Dividends</w:t>
      </w:r>
      <w:r>
        <w:rPr>
          <w:rFonts w:ascii="Times New Roman" w:cs="Times New Roman" w:eastAsia="Times New Roman" w:hAnsi="Times New Roman"/>
          <w:sz w:val="18"/>
          <w:szCs w:val="18"/>
          <w:color w:val="auto"/>
        </w:rPr>
        <w:t xml:space="preserve">”). Series B-2 Accruing Dividends shall accrue from day to day, whether or not declared and whether or not there are any funds of the Corporation legally available for the payment of dividends, and shall be cumulative. All Series B-2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B-2 Preferred Stock may elect, in their sole discretion and on behalf of all of the holders of shares of Series B-2 Preferred Stock, for the Corporation to not pay all or any portion of the Series B-2 Accruing Dividends upon ten (10) days’ advance notice to the Board of Directors of the Corporation. If and to the extent that any portion of the Series B-2 Accruing Dividends are not paid on a Dividend Payment Date by reason of such election or otherwise, such unpaid portion of the Series B-2 Accruing Dividends shall accumulate and compound on the applicable Dividend Payment Date whether or not declared by the Board of Directors of the Corporation. All Series B-2 Accruing Dividends on the shares of Series B-2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B-1 Preferred Stock and Series B Preferred Stock and prior to and in preference to any dividend on any shares of Series A Preferred Stock, Common Stock or any other class or series of capital stock of the Corporation ranking junior to shares of Series B-2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5" w:right="599" w:bottom="1440" w:gutter="0" w:footer="0" w:header="0"/>
        </w:sectPr>
      </w:pPr>
    </w:p>
    <w:bookmarkStart w:id="326" w:name="page327"/>
    <w:bookmarkEnd w:id="326"/>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B-2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B-1 Accruing Dividends, Series B Accruing Dividends, and Series A Accruing Dividends may be paid in respect of shares of Series B-1 Preferred Stock,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1393"/>
        <w:spacing w:after="0" w:line="244"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Accruing Series B-1 Dividends</w:t>
      </w:r>
      <w:r>
        <w:rPr>
          <w:rFonts w:ascii="Times New Roman" w:cs="Times New Roman" w:eastAsia="Times New Roman" w:hAnsi="Times New Roman"/>
          <w:sz w:val="18"/>
          <w:szCs w:val="18"/>
          <w:color w:val="auto"/>
        </w:rPr>
        <w:t>. From and after the date of the issuance of any share of Series B-1 Preferred Stock, dividends shall accrue on such share of Series B-1 Preferred Stock at the rate of five percent (5.0%) per annum on the sum of (i) the Series B-1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B-1 Accruing Dividends</w:t>
      </w:r>
      <w:r>
        <w:rPr>
          <w:rFonts w:ascii="Times New Roman" w:cs="Times New Roman" w:eastAsia="Times New Roman" w:hAnsi="Times New Roman"/>
          <w:sz w:val="18"/>
          <w:szCs w:val="18"/>
          <w:color w:val="auto"/>
        </w:rPr>
        <w:t xml:space="preserve">”). Series B-1 Accruing Dividends shall accrue from day to day, whether or not declared and whether or not there are any funds of the Corporation legally available for the payment of dividends, and shall be cumulative. All Series B-1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holders of a majority of the outstanding shares of Series B-1 Preferred Stock may elect, in their sole discretion and on behalf of all of the holders of shares of Series B-1 Preferred Stock, for the Corporation to not pay all or any portion of the Series B-1 Accruing Dividends upon ten (10) days’ advance notice to the Board of Directors of the Corporation. If and to the extent that any portion of the Series B-1 Accruing Dividends are not paid on a Dividend Payment Date by reason of such election or otherwise, such unpaid portion of the Series B-1 Accruing Dividends shall accumulate and compound on the applicable Dividend Payment Date whether or not declared by the Board of Directors of the Corporation. All Series B-1 Accruing Dividends on the shares of Series B-1 Preferred Stock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any dividend paid with respect to shares of Series G Preferred Stock, Series F Preferred Stock, Series E Preferred Stock, Series D Preferred Stock, Series C Preferred Stock, Series B-2 Preferred Stock and Series B Preferred Stock and prior to and in preference to any dividend on any shares of Series A Preferred Stock, Common Stock or any other class or series of capital stock of the Corporation ranking junior to shares of Series B-1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B-1 Preferred Stock in respect of payment of dividends;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clarity, Series B Accruing Dividends and Series A Accruing Dividends may be paid in respect of shares of Series B Preferred Stock and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00"/>
          </w:cols>
          <w:pgMar w:left="580" w:top="266" w:right="619" w:bottom="1440" w:gutter="0" w:footer="0" w:header="0"/>
        </w:sectPr>
      </w:pPr>
    </w:p>
    <w:bookmarkStart w:id="327" w:name="page328"/>
    <w:bookmarkEnd w:id="327"/>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1.7 </w:t>
      </w:r>
      <w:r>
        <w:rPr>
          <w:rFonts w:ascii="Times New Roman" w:cs="Times New Roman" w:eastAsia="Times New Roman" w:hAnsi="Times New Roman"/>
          <w:sz w:val="16"/>
          <w:szCs w:val="16"/>
          <w:u w:val="single" w:color="auto"/>
          <w:color w:val="auto"/>
        </w:rPr>
        <w:t>Accruing Series B Dividends</w:t>
      </w:r>
      <w:r>
        <w:rPr>
          <w:rFonts w:ascii="Times New Roman" w:cs="Times New Roman" w:eastAsia="Times New Roman" w:hAnsi="Times New Roman"/>
          <w:sz w:val="16"/>
          <w:szCs w:val="16"/>
          <w:color w:val="auto"/>
        </w:rPr>
        <w:t>. From and after the date of the issuance of any share of Series B Preferred Stock, dividends shall accrue on such share of Series B Preferred Stock at the rate of five percent (5.0%) per annum on the sum of (i) the Series B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6"/>
          <w:szCs w:val="16"/>
          <w:b w:val="1"/>
          <w:bCs w:val="1"/>
          <w:i w:val="1"/>
          <w:iCs w:val="1"/>
          <w:color w:val="auto"/>
        </w:rPr>
        <w:t>Series B Accruing Dividends</w:t>
      </w:r>
      <w:r>
        <w:rPr>
          <w:rFonts w:ascii="Times New Roman" w:cs="Times New Roman" w:eastAsia="Times New Roman" w:hAnsi="Times New Roman"/>
          <w:sz w:val="16"/>
          <w:szCs w:val="16"/>
          <w:color w:val="auto"/>
        </w:rPr>
        <w:t xml:space="preserve">”). Series B Accruing Dividends shall accrue from day to day, whether or not declared and whether or not there are any funds of the Corporation legally available for the payment of dividends, and shall be cumulative. All Series B Accruing Dividends shall be paid in cash on each Dividend Payment Date, but only to the extent out of funds legally available therefor, or upon a Liquidation Event, Deemed Liquidation Event or conversion, as set forth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holders of a majority of the outstanding shares of Series B Preferred Stock may elect, in their sole discretion and on behalf of all of the holders of shares of Series B Preferred Stock, for the Corporation to not pay all or any portion of the Series B Accruing Dividends upon ten (10) days’ advance notice to the Board of Directors of the Corporation. If and to the extent that any portion of the Series B Accruing Dividends are not paid on a Dividend Payment Date by reason of such election or otherwise, such unpaid portion of the Series B Accruing Dividends shall accumulate and compound on the applicable Dividend Payment Date whether or not declared by the Board of Directors of the Corporation. All Series B Accruing Dividends on the shares of Series B Preferred Stock shall be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to any dividend paid with respect to shares of Series G Preferred Stock, Series F Preferred Stock, Series E Preferred Stock, Series D Preferred Stock, Series C Preferred Stock, Series B-2 Preferred Stock and Series B-1 Preferred Stock and prior to and in preference to any dividend on any shares of Series A Preferred Stock, Common Stock or any other class or series of capital stock of the Corporation ranking junior to shares of Series B Preferred Stock in respect of payment of dividends, and except as provided herein, shall be paid before any dividends are declared and paid, or any other distributions or redemptions are made, with respect to shares of Series A Preferred Stock or Common Stock (other than dividends on shares of Common Stock payable in shares of Common Stock) or other classes or series of capital stock of the Corporation ranking junior to shares of Series B Preferred Stock in respect of payment of dividends;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for clarity, Series A Accruing Dividends may be paid in respect of shares of Series A Preferred Stock to the extent holders of such shares have so elected to receive current cash payments (or to continue to receive current cash payments) as provided in the applicable subsections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Accruing Series A Dividends</w:t>
      </w:r>
      <w:r>
        <w:rPr>
          <w:rFonts w:ascii="Times New Roman" w:cs="Times New Roman" w:eastAsia="Times New Roman" w:hAnsi="Times New Roman"/>
          <w:sz w:val="18"/>
          <w:szCs w:val="18"/>
          <w:color w:val="auto"/>
        </w:rPr>
        <w:t>. From and after the date of the issuance of any share of Series A Preferred Stock, dividends shall accrue on such share of Series A Preferred Stock at the rate of five percent (5.0%) per annum on the sum of (i) the Series A Original Issue Price (subject to appropriate adjustment in the event of any stock dividend, stock split, combination or other similar recapitalization with respect to such class or series) plus (ii) all accrued but unpaid dividends thereon (the “</w:t>
      </w:r>
      <w:r>
        <w:rPr>
          <w:rFonts w:ascii="Times New Roman" w:cs="Times New Roman" w:eastAsia="Times New Roman" w:hAnsi="Times New Roman"/>
          <w:sz w:val="18"/>
          <w:szCs w:val="18"/>
          <w:b w:val="1"/>
          <w:bCs w:val="1"/>
          <w:i w:val="1"/>
          <w:iCs w:val="1"/>
          <w:color w:val="auto"/>
        </w:rPr>
        <w:t>Series A Accruing Dividends</w:t>
      </w:r>
      <w:r>
        <w:rPr>
          <w:rFonts w:ascii="Times New Roman" w:cs="Times New Roman" w:eastAsia="Times New Roman" w:hAnsi="Times New Roman"/>
          <w:sz w:val="18"/>
          <w:szCs w:val="18"/>
          <w:color w:val="auto"/>
        </w:rPr>
        <w:t>”). Series A Accruing Dividends shall accrue from day to day, whether or not declared and whether or not there are any funds of the Corporation legally available for the payment of dividends, and shall be cumulative. All Series A Accruing Dividends shall be paid in cash on each Dividend Payment Date, but only (i) after the payment of all Series G Accruing Dividends, Series F Accruing Dividends, Series E Accruing Dividends, Series D Accruing Dividends, Series C Accruing Dividends, Series B-2 Accruing Dividends, Series B-1 Accruing Dividends and Series B Accruing Dividends, in each case, to the extent required to be paid on such Dividend Payment Date and (ii) to the extent out 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680"/>
          </w:cols>
          <w:pgMar w:left="580" w:top="265" w:right="639" w:bottom="1440" w:gutter="0" w:footer="0" w:header="0"/>
        </w:sectPr>
      </w:pPr>
    </w:p>
    <w:bookmarkStart w:id="328" w:name="page329"/>
    <w:bookmarkEnd w:id="328"/>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funds legally available therefor, or upon a Liquidation Event, Deemed Liquidation Event or conversion, as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 majority of the outstanding shares of Series A Preferred Stock may elect, in their sole discretion and on behalf of all of the holders of shares of Series A Preferred Stock, for the Corporation to not pay all or any portion of the Series A Accruing Dividends upon ten (10) days’ advance notice to the Board of Directors of the Corporation. If and to the extent that any portion of the Series A Accruing Dividends are not paid on a Dividend Payment Date by reason of such election or otherwise, such unpaid portion of the Series A Accruing Dividends shall accumulate and compound on the applicable Dividend Payment Date whether or not declared by the Board of Directors of the Corporation. All Series A Accruing Dividends on the shares of Series A Preferred Stock shall be prior to and in preference to any dividend on any shares of Common Stock or any other class or series of capital stock of the Corporation ranking junior to shares of Series A Preferred Stock in respect of payment of dividends and except as provided herein, shall be paid before any dividends are declared and paid, or any other distributions or redemptions are made, with respect to shares of Common Stock (other than dividends on shares of Common Stock payable in shares of Common Stock) or other classes or series of capital stock of the Corporation ranking junior to shares of Series A Preferred Stock in respect of payment of dividends.</w:t>
      </w:r>
    </w:p>
    <w:p>
      <w:pPr>
        <w:spacing w:after="0" w:line="196" w:lineRule="exact"/>
        <w:rPr>
          <w:sz w:val="20"/>
          <w:szCs w:val="20"/>
          <w:color w:val="auto"/>
        </w:rPr>
      </w:pPr>
    </w:p>
    <w:p>
      <w:pPr>
        <w:ind w:right="40" w:firstLine="1393"/>
        <w:spacing w:after="0" w:line="244"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Preferred Stock Dividends</w:t>
      </w:r>
      <w:r>
        <w:rPr>
          <w:rFonts w:ascii="Times New Roman" w:cs="Times New Roman" w:eastAsia="Times New Roman" w:hAnsi="Times New Roman"/>
          <w:sz w:val="18"/>
          <w:szCs w:val="18"/>
          <w:color w:val="auto"/>
        </w:rPr>
        <w:t xml:space="preserve">. The Corporation shall not declare, pay or set aside any dividends on shares of any other class or series of capital stock of the Corporation (other than as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or dividends on shares of Common Stock payable in shares of Common Stock) unless (in addition to the obtaining of any consents required elsewhere in this Restated Certificate)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A Original Issue Price, the Series B Original Issue Price, the Series B-1 Original Issue Price, the Series B-2 Original Issue Price, the Series C Original Issue Price, the Series D Original Issue Price, the Series E Original Issue Price, the Series F Original Issue Price, the Series G Original Issue Price, the Series G-2 Original Issue Price or the Series G-3 Original Issue Price,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be calculated based upon the dividend on the class or series of capital stock that would result in the highest Preferred Stock dividend.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20"/>
          </w:cols>
          <w:pgMar w:left="580" w:top="265" w:right="599" w:bottom="1440" w:gutter="0" w:footer="0" w:header="0"/>
        </w:sectPr>
      </w:pPr>
    </w:p>
    <w:bookmarkStart w:id="329" w:name="page330"/>
    <w:bookmarkEnd w:id="329"/>
    <w:p>
      <w:pPr>
        <w:ind w:left="1400"/>
        <w:spacing w:after="0"/>
        <w:tabs>
          <w:tab w:leader="none" w:pos="1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36830"/>
                    </a:xfrm>
                    <a:prstGeom prst="rect">
                      <a:avLst/>
                    </a:prstGeom>
                    <a:noFill/>
                  </pic:spPr>
                </pic:pic>
              </a:graphicData>
            </a:graphic>
          </wp:anchor>
        </w:drawing>
        <w:t>1.10</w:t>
      </w:r>
      <w:r>
        <w:rPr>
          <w:sz w:val="20"/>
          <w:szCs w:val="20"/>
          <w:color w:val="auto"/>
        </w:rPr>
        <w:tab/>
      </w:r>
      <w:r>
        <w:rPr>
          <w:rFonts w:ascii="Times New Roman" w:cs="Times New Roman" w:eastAsia="Times New Roman" w:hAnsi="Times New Roman"/>
          <w:sz w:val="16"/>
          <w:szCs w:val="16"/>
          <w:u w:val="single" w:color="auto"/>
          <w:color w:val="auto"/>
        </w:rPr>
        <w:t>Original Issue Price</w:t>
      </w:r>
      <w:r>
        <w:rPr>
          <w:rFonts w:ascii="Times New Roman" w:cs="Times New Roman" w:eastAsia="Times New Roman" w:hAnsi="Times New Roman"/>
          <w:sz w:val="16"/>
          <w:szCs w:val="16"/>
          <w:color w:val="auto"/>
        </w:rPr>
        <w:t>. For purposes of this Restated Certificate, (i) the “</w:t>
      </w:r>
      <w:r>
        <w:rPr>
          <w:rFonts w:ascii="Times New Roman" w:cs="Times New Roman" w:eastAsia="Times New Roman" w:hAnsi="Times New Roman"/>
          <w:sz w:val="16"/>
          <w:szCs w:val="16"/>
          <w:b w:val="1"/>
          <w:bCs w:val="1"/>
          <w:i w:val="1"/>
          <w:iCs w:val="1"/>
          <w:color w:val="auto"/>
        </w:rPr>
        <w:t>Series A Original Issue Price</w:t>
      </w:r>
      <w:r>
        <w:rPr>
          <w:rFonts w:ascii="Times New Roman" w:cs="Times New Roman" w:eastAsia="Times New Roman" w:hAnsi="Times New Roman"/>
          <w:sz w:val="16"/>
          <w:szCs w:val="16"/>
          <w:color w:val="auto"/>
        </w:rPr>
        <w:t>” means $1.00 per share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A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A Preferred Stock after the filing date hereof, (ii) the “</w:t>
      </w:r>
      <w:r>
        <w:rPr>
          <w:rFonts w:ascii="Times New Roman" w:cs="Times New Roman" w:eastAsia="Times New Roman" w:hAnsi="Times New Roman"/>
          <w:sz w:val="16"/>
          <w:szCs w:val="16"/>
          <w:b w:val="1"/>
          <w:bCs w:val="1"/>
          <w:i w:val="1"/>
          <w:iCs w:val="1"/>
          <w:color w:val="auto"/>
        </w:rPr>
        <w:t>Series B Original Issue Price</w:t>
      </w:r>
      <w:r>
        <w:rPr>
          <w:rFonts w:ascii="Times New Roman" w:cs="Times New Roman" w:eastAsia="Times New Roman" w:hAnsi="Times New Roman"/>
          <w:sz w:val="16"/>
          <w:szCs w:val="16"/>
          <w:color w:val="auto"/>
        </w:rPr>
        <w:t>” means $1.8605 per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B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B Preferred Stock after the filing date hereof, (iii) the “</w:t>
      </w:r>
      <w:r>
        <w:rPr>
          <w:rFonts w:ascii="Times New Roman" w:cs="Times New Roman" w:eastAsia="Times New Roman" w:hAnsi="Times New Roman"/>
          <w:sz w:val="16"/>
          <w:szCs w:val="16"/>
          <w:b w:val="1"/>
          <w:bCs w:val="1"/>
          <w:i w:val="1"/>
          <w:iCs w:val="1"/>
          <w:color w:val="auto"/>
        </w:rPr>
        <w:t>Series B-1 Original Issue Price</w:t>
      </w:r>
      <w:r>
        <w:rPr>
          <w:rFonts w:ascii="Times New Roman" w:cs="Times New Roman" w:eastAsia="Times New Roman" w:hAnsi="Times New Roman"/>
          <w:sz w:val="16"/>
          <w:szCs w:val="16"/>
          <w:color w:val="auto"/>
        </w:rPr>
        <w:t>” means $4.00 per share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Series B-1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B-1 Preferred Stock after the filing date hereof, (iv) the “</w:t>
      </w:r>
      <w:r>
        <w:rPr>
          <w:rFonts w:ascii="Times New Roman" w:cs="Times New Roman" w:eastAsia="Times New Roman" w:hAnsi="Times New Roman"/>
          <w:sz w:val="16"/>
          <w:szCs w:val="16"/>
          <w:b w:val="1"/>
          <w:bCs w:val="1"/>
          <w:i w:val="1"/>
          <w:iCs w:val="1"/>
          <w:color w:val="auto"/>
        </w:rPr>
        <w:t>Series B-2 Original Issue Price</w:t>
      </w:r>
      <w:r>
        <w:rPr>
          <w:rFonts w:ascii="Times New Roman" w:cs="Times New Roman" w:eastAsia="Times New Roman" w:hAnsi="Times New Roman"/>
          <w:sz w:val="16"/>
          <w:szCs w:val="16"/>
          <w:color w:val="auto"/>
        </w:rPr>
        <w:t>” means $7.1579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B-2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B-2 Preferred Stock after the filing date hereof, (v) the “</w:t>
      </w:r>
      <w:r>
        <w:rPr>
          <w:rFonts w:ascii="Times New Roman" w:cs="Times New Roman" w:eastAsia="Times New Roman" w:hAnsi="Times New Roman"/>
          <w:sz w:val="18"/>
          <w:szCs w:val="18"/>
          <w:b w:val="1"/>
          <w:bCs w:val="1"/>
          <w:i w:val="1"/>
          <w:iCs w:val="1"/>
          <w:color w:val="auto"/>
        </w:rPr>
        <w:t>Series C Original Issue Price</w:t>
      </w:r>
      <w:r>
        <w:rPr>
          <w:rFonts w:ascii="Times New Roman" w:cs="Times New Roman" w:eastAsia="Times New Roman" w:hAnsi="Times New Roman"/>
          <w:sz w:val="18"/>
          <w:szCs w:val="18"/>
          <w:color w:val="auto"/>
        </w:rPr>
        <w:t>” means $7.1579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C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C Preferred Stock after the filing date hereof, (vi) the “</w:t>
      </w:r>
      <w:r>
        <w:rPr>
          <w:rFonts w:ascii="Times New Roman" w:cs="Times New Roman" w:eastAsia="Times New Roman" w:hAnsi="Times New Roman"/>
          <w:sz w:val="18"/>
          <w:szCs w:val="18"/>
          <w:b w:val="1"/>
          <w:bCs w:val="1"/>
          <w:i w:val="1"/>
          <w:iCs w:val="1"/>
          <w:color w:val="auto"/>
        </w:rPr>
        <w:t>Series D Original Issue Price</w:t>
      </w:r>
      <w:r>
        <w:rPr>
          <w:rFonts w:ascii="Times New Roman" w:cs="Times New Roman" w:eastAsia="Times New Roman" w:hAnsi="Times New Roman"/>
          <w:sz w:val="18"/>
          <w:szCs w:val="18"/>
          <w:color w:val="auto"/>
        </w:rPr>
        <w:t>” means $9.3739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D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D Preferred Stock after the filing date hereof, (vii) the “</w:t>
      </w:r>
      <w:r>
        <w:rPr>
          <w:rFonts w:ascii="Times New Roman" w:cs="Times New Roman" w:eastAsia="Times New Roman" w:hAnsi="Times New Roman"/>
          <w:sz w:val="16"/>
          <w:szCs w:val="16"/>
          <w:b w:val="1"/>
          <w:bCs w:val="1"/>
          <w:i w:val="1"/>
          <w:iCs w:val="1"/>
          <w:color w:val="auto"/>
        </w:rPr>
        <w:t>Series E Original Issue Price</w:t>
      </w:r>
      <w:r>
        <w:rPr>
          <w:rFonts w:ascii="Times New Roman" w:cs="Times New Roman" w:eastAsia="Times New Roman" w:hAnsi="Times New Roman"/>
          <w:sz w:val="16"/>
          <w:szCs w:val="16"/>
          <w:color w:val="auto"/>
        </w:rPr>
        <w:t>” means $16.7428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E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E Preferred Stock after the filing date hereof, (viii) the “</w:t>
      </w:r>
      <w:r>
        <w:rPr>
          <w:rFonts w:ascii="Times New Roman" w:cs="Times New Roman" w:eastAsia="Times New Roman" w:hAnsi="Times New Roman"/>
          <w:sz w:val="16"/>
          <w:szCs w:val="16"/>
          <w:b w:val="1"/>
          <w:bCs w:val="1"/>
          <w:i w:val="1"/>
          <w:iCs w:val="1"/>
          <w:color w:val="auto"/>
        </w:rPr>
        <w:t>Series F Original Issue Price</w:t>
      </w:r>
      <w:r>
        <w:rPr>
          <w:rFonts w:ascii="Times New Roman" w:cs="Times New Roman" w:eastAsia="Times New Roman" w:hAnsi="Times New Roman"/>
          <w:sz w:val="16"/>
          <w:szCs w:val="16"/>
          <w:color w:val="auto"/>
        </w:rPr>
        <w:t>” means $24.7596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F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F Preferred Stock after the filing date hereof, (ix) the “</w:t>
      </w:r>
      <w:r>
        <w:rPr>
          <w:rFonts w:ascii="Times New Roman" w:cs="Times New Roman" w:eastAsia="Times New Roman" w:hAnsi="Times New Roman"/>
          <w:sz w:val="18"/>
          <w:szCs w:val="18"/>
          <w:b w:val="1"/>
          <w:bCs w:val="1"/>
          <w:i w:val="1"/>
          <w:iCs w:val="1"/>
          <w:color w:val="auto"/>
        </w:rPr>
        <w:t>Series G Original Issue Price</w:t>
      </w:r>
      <w:r>
        <w:rPr>
          <w:rFonts w:ascii="Times New Roman" w:cs="Times New Roman" w:eastAsia="Times New Roman" w:hAnsi="Times New Roman"/>
          <w:sz w:val="18"/>
          <w:szCs w:val="18"/>
          <w:color w:val="auto"/>
        </w:rPr>
        <w:t>” means $38.3524 per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G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G Preferred Stock after the filing date hereof, (x) the “</w:t>
      </w:r>
      <w:r>
        <w:rPr>
          <w:rFonts w:ascii="Times New Roman" w:cs="Times New Roman" w:eastAsia="Times New Roman" w:hAnsi="Times New Roman"/>
          <w:sz w:val="16"/>
          <w:szCs w:val="16"/>
          <w:b w:val="1"/>
          <w:bCs w:val="1"/>
          <w:i w:val="1"/>
          <w:iCs w:val="1"/>
          <w:color w:val="auto"/>
        </w:rPr>
        <w:t>Series G-2 Original Issue Price</w:t>
      </w:r>
      <w:r>
        <w:rPr>
          <w:rFonts w:ascii="Times New Roman" w:cs="Times New Roman" w:eastAsia="Times New Roman" w:hAnsi="Times New Roman"/>
          <w:sz w:val="16"/>
          <w:szCs w:val="16"/>
          <w:color w:val="auto"/>
        </w:rPr>
        <w:t>” means $57.3069 per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Series G-2 Preferred Stock, subject to appropriate adjustment in the event of any stock dividend, stock split, combination or other similar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recapitalization with respect to the Series G-2 Preferred Stock after the filing date hereof, (xi) the “</w:t>
      </w:r>
      <w:r>
        <w:rPr>
          <w:rFonts w:ascii="Times New Roman" w:cs="Times New Roman" w:eastAsia="Times New Roman" w:hAnsi="Times New Roman"/>
          <w:sz w:val="16"/>
          <w:szCs w:val="16"/>
          <w:b w:val="1"/>
          <w:bCs w:val="1"/>
          <w:i w:val="1"/>
          <w:iCs w:val="1"/>
          <w:color w:val="auto"/>
        </w:rPr>
        <w:t>Series G-3 Original Issue Price</w:t>
      </w:r>
      <w:r>
        <w:rPr>
          <w:rFonts w:ascii="Times New Roman" w:cs="Times New Roman" w:eastAsia="Times New Roman" w:hAnsi="Times New Roman"/>
          <w:sz w:val="16"/>
          <w:szCs w:val="16"/>
          <w:color w:val="auto"/>
        </w:rPr>
        <w:t>” means $57.3069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 share of Series G-3 Preferred Stock, subject to appropriate adjustment in the event of any stock dividend, stock split, combination or other similar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recapitalization with respect to the Series G-3 Preferred Stock after the filing date hereof, and (xii) the “</w:t>
      </w:r>
      <w:r>
        <w:rPr>
          <w:rFonts w:ascii="Times New Roman" w:cs="Times New Roman" w:eastAsia="Times New Roman" w:hAnsi="Times New Roman"/>
          <w:sz w:val="18"/>
          <w:szCs w:val="18"/>
          <w:b w:val="1"/>
          <w:bCs w:val="1"/>
          <w:i w:val="1"/>
          <w:iCs w:val="1"/>
          <w:color w:val="auto"/>
        </w:rPr>
        <w:t>Series G-4 Original Issue Price</w:t>
      </w:r>
      <w:r>
        <w:rPr>
          <w:rFonts w:ascii="Times New Roman" w:cs="Times New Roman" w:eastAsia="Times New Roman" w:hAnsi="Times New Roman"/>
          <w:sz w:val="18"/>
          <w:szCs w:val="18"/>
          <w:color w:val="auto"/>
        </w:rPr>
        <w:t>” means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$57.3069 per share of Series G-4 Preferred Stock, subject to appropriate adjustment in the event of any stock dividend, stock split, combination or other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 recapitalization with respect to the Series G-4 Preferred Stock after the filing date hereof.</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20"/>
          </w:cols>
          <w:pgMar w:left="580" w:top="261" w:right="599" w:bottom="1440" w:gutter="0" w:footer="0" w:header="0"/>
        </w:sectPr>
      </w:pPr>
    </w:p>
    <w:bookmarkStart w:id="330" w:name="page331"/>
    <w:bookmarkEnd w:id="330"/>
    <w:p>
      <w:pPr>
        <w:ind w:left="1280" w:hanging="308"/>
        <w:spacing w:after="0"/>
        <w:tabs>
          <w:tab w:leader="none" w:pos="12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Liquidation, Dissolution or Winding Up; Certain Mergers, Consolidations and Asset Sales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260" w:firstLine="428"/>
        <w:spacing w:after="0" w:line="267"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below), the proceeds or assets of the Corporation available for distribution to stockholders shall be distributed as follows:</w:t>
      </w:r>
    </w:p>
    <w:p>
      <w:pPr>
        <w:spacing w:after="0" w:line="170"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Preferential Payments to Holders of Series G-4 Preferred Stock</w:t>
      </w:r>
      <w:r>
        <w:rPr>
          <w:rFonts w:ascii="Times New Roman" w:cs="Times New Roman" w:eastAsia="Times New Roman" w:hAnsi="Times New Roman"/>
          <w:sz w:val="18"/>
          <w:szCs w:val="18"/>
          <w:color w:val="auto"/>
        </w:rPr>
        <w:t xml:space="preserve">. The holders of shares of Series G-4 Preferred Stock then outstanding shall be entitled to be paid out of the proceeds or assets of the Corporation available for distribution to its stockholders, before any payment shall be made to the holders of Series G-3 Preferred Stock, Series G-2 Preferred Stock,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G-4 Original Issue Price, plus any accrued but unpaid Series G-4 PIK Dividends, together with any other declared but unpaid dividends thereon, or (ii) such amount per share as would have been payable had all shares of Series G-4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G-4 Preferred Stock is hereinafter referred to as the “</w:t>
      </w:r>
      <w:r>
        <w:rPr>
          <w:rFonts w:ascii="Times New Roman" w:cs="Times New Roman" w:eastAsia="Times New Roman" w:hAnsi="Times New Roman"/>
          <w:sz w:val="18"/>
          <w:szCs w:val="18"/>
          <w:b w:val="1"/>
          <w:bCs w:val="1"/>
          <w:i w:val="1"/>
          <w:iCs w:val="1"/>
          <w:color w:val="auto"/>
        </w:rPr>
        <w:t>Series G-4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G-4 Preferred Stock the full amount to which they shall be entitled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the holders of shares of Series G-4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3"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Preferential Payments to Holders of Series G-3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holders of shares of Series G-3 Preferred Stock then outstanding shall be entitled to be paid out of the proceeds or assets of the Corporation available for distribution to its stockholders, before any payment shall be made to the holders of Series G-2 Preferred Stock,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G-3 Original Issue Price, plus any accrued but unpaid Series G-3 PIK Dividends, together with any other declared but unpaid dividends thereon, or (ii) such amount per share as would have been payable had all shares of Series G-3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G-3 Preferred Stock is hereinafter referred to as the “</w:t>
      </w:r>
      <w:r>
        <w:rPr>
          <w:rFonts w:ascii="Times New Roman" w:cs="Times New Roman" w:eastAsia="Times New Roman" w:hAnsi="Times New Roman"/>
          <w:sz w:val="18"/>
          <w:szCs w:val="18"/>
          <w:b w:val="1"/>
          <w:bCs w:val="1"/>
          <w:i w:val="1"/>
          <w:iCs w:val="1"/>
          <w:color w:val="auto"/>
        </w:rPr>
        <w:t>Series G-3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G-3 Preferred Stock the full amount to which they shall be entitled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the holders of shares of Series G-3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20"/>
          </w:cols>
          <w:pgMar w:left="580" w:top="265" w:right="599" w:bottom="1440" w:gutter="0" w:footer="0" w:header="0"/>
        </w:sectPr>
      </w:pPr>
    </w:p>
    <w:bookmarkStart w:id="331" w:name="page332"/>
    <w:bookmarkEnd w:id="331"/>
    <w:p>
      <w:pPr>
        <w:ind w:firstLine="1393"/>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2.3 </w:t>
      </w:r>
      <w:r>
        <w:rPr>
          <w:rFonts w:ascii="Times New Roman" w:cs="Times New Roman" w:eastAsia="Times New Roman" w:hAnsi="Times New Roman"/>
          <w:sz w:val="16"/>
          <w:szCs w:val="16"/>
          <w:u w:val="single" w:color="auto"/>
          <w:color w:val="auto"/>
        </w:rPr>
        <w:t>Preferential Payments to Holders of Series G-2 Preferred Stock</w:t>
      </w:r>
      <w:r>
        <w:rPr>
          <w:rFonts w:ascii="Times New Roman" w:cs="Times New Roman" w:eastAsia="Times New Roman" w:hAnsi="Times New Roman"/>
          <w:sz w:val="16"/>
          <w:szCs w:val="16"/>
          <w:color w:val="auto"/>
        </w:rPr>
        <w:t xml:space="preserve">. After the payment of all preferential amounts required to be paid to the holders of Series G-4 Preferred Stock and Series G-3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the holders of shares of Series G-2 Preferred Stock then outstanding shall be entitled to be paid out of the proceeds or assets of the Corporation available for distribution to its stockholders, before any payment shall be made to the holders of Series G Preferred Stock,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G-2 Original Issue Price, plus any declared but unpaid dividends thereon, or (ii) such amount per share as would have been payable had all shares of Series G-2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G-2 Preferred Stock is hereinafter referred to as the “</w:t>
      </w:r>
      <w:r>
        <w:rPr>
          <w:rFonts w:ascii="Times New Roman" w:cs="Times New Roman" w:eastAsia="Times New Roman" w:hAnsi="Times New Roman"/>
          <w:sz w:val="16"/>
          <w:szCs w:val="16"/>
          <w:b w:val="1"/>
          <w:bCs w:val="1"/>
          <w:i w:val="1"/>
          <w:iCs w:val="1"/>
          <w:color w:val="auto"/>
        </w:rPr>
        <w:t>Series G-2 Liquidation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Amount</w:t>
      </w:r>
      <w:r>
        <w:rPr>
          <w:rFonts w:ascii="Times New Roman" w:cs="Times New Roman" w:eastAsia="Times New Roman" w:hAnsi="Times New Roman"/>
          <w:sz w:val="16"/>
          <w:szCs w:val="16"/>
          <w:color w:val="auto"/>
        </w:rPr>
        <w:t>”). If upon any such liquidation, dissolution or winding up of the Corporation or Deemed Liquidation Event, the proceeds and assets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Corporation available for distribution to its stockholders shall be insufficient to pay the holders of shares of Series G-2 Preferred Stock the full amount to which they shall be entitled under this </w:t>
      </w:r>
      <w:r>
        <w:rPr>
          <w:rFonts w:ascii="Times New Roman" w:cs="Times New Roman" w:eastAsia="Times New Roman" w:hAnsi="Times New Roman"/>
          <w:sz w:val="16"/>
          <w:szCs w:val="16"/>
          <w:u w:val="single" w:color="auto"/>
          <w:color w:val="auto"/>
        </w:rPr>
        <w:t>Section 2.3</w:t>
      </w:r>
      <w:r>
        <w:rPr>
          <w:rFonts w:ascii="Times New Roman" w:cs="Times New Roman" w:eastAsia="Times New Roman" w:hAnsi="Times New Roman"/>
          <w:sz w:val="16"/>
          <w:szCs w:val="16"/>
          <w:color w:val="auto"/>
        </w:rPr>
        <w:t>, the holders of shares of Series G-2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80"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Preferential Payments to Holders of Series G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G-3 Preferred Stock, Series G-3 Preferred Stock and Series G-2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the holders of shares of Series G Preferred Stock then outstanding shall be entitled to be paid out of the proceeds or assets of the Corporation available for distribution to its stockholders, before any payment shall be made to the holders of Series F Preferred Stock,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G Original Issue Price, plus any Series G Accruing Dividends accrued but unpaid thereon, together with any other dividends declared but unpaid thereon, or (ii) such amount per share as would have been payable had all shares of Series G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G Preferred Stock is hereinafter referred to as the “</w:t>
      </w:r>
      <w:r>
        <w:rPr>
          <w:rFonts w:ascii="Times New Roman" w:cs="Times New Roman" w:eastAsia="Times New Roman" w:hAnsi="Times New Roman"/>
          <w:sz w:val="18"/>
          <w:szCs w:val="18"/>
          <w:b w:val="1"/>
          <w:bCs w:val="1"/>
          <w:i w:val="1"/>
          <w:iCs w:val="1"/>
          <w:color w:val="auto"/>
        </w:rPr>
        <w:t>Series G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G Preferred Stock the full amount to which they shall be entitled under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holders of shares of Series G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00"/>
          </w:cols>
          <w:pgMar w:left="580" w:top="265" w:right="619" w:bottom="1440" w:gutter="0" w:footer="0" w:header="0"/>
        </w:sectPr>
      </w:pPr>
    </w:p>
    <w:bookmarkStart w:id="332" w:name="page333"/>
    <w:bookmarkEnd w:id="332"/>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Preferential Payments to Holders of Series F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and Series G Preferred Stock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the holders of shares of Series F Preferred Stock then outstanding shall be entitled to be paid out of the proceeds or assets of the Corporation available for distribution to its stockholders, before any payment shall be made to the holders of Series E Preferred Stock, Series D Preferred Stock, Series C Preferred Stock, Series B-2 Preferred Stock, Series B-1 Preferred Stock, Series B Preferred Stock, Series A Preferred Stock or Common Stock by reason of their ownership thereof, an amount per share equal to the greater of (i) 1.0 times the Series F Original Issue Price, plus any Series F Accruing Dividends accrued but unpaid thereon, together with any other dividends declared but unpaid thereon, or (ii) such amount per share as would have been payable had all shares of Series F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F Preferred Stock is hereinafter referred to as the “</w:t>
      </w:r>
      <w:r>
        <w:rPr>
          <w:rFonts w:ascii="Times New Roman" w:cs="Times New Roman" w:eastAsia="Times New Roman" w:hAnsi="Times New Roman"/>
          <w:sz w:val="18"/>
          <w:szCs w:val="18"/>
          <w:b w:val="1"/>
          <w:bCs w:val="1"/>
          <w:i w:val="1"/>
          <w:iCs w:val="1"/>
          <w:color w:val="auto"/>
        </w:rPr>
        <w:t>Series F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F Preferred Stock the full amount to which they shall be entitled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the holders of shares of Series F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Preferential Payments to Holders of Series E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and Series F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the holders of shares of Series E Preferred Stock then outstanding shall be entitled to be paid out of the proceeds or assets of the Corporation available for distribution to its stockholders, before any payment shall be made to the holders of Series D Preferred Stock, Series C Preferred Stock, Series B-2 Preferred Stock, Series B-1 Preferred Stock, Series B Preferred Stock, Series A Preferred Stock or Common Stock by reason of their ownership thereof, an amount per share equal to the greater of (i) 1.0 times the Series E Original Issue Price, plus any Series E Accruing Dividends accrued but unpaid thereon, together with any other dividends declared but unpaid thereon, or (ii) such amount per share as would have been payable had all shares of Series E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E Preferred Stock is hereinafter referred to as the “</w:t>
      </w:r>
      <w:r>
        <w:rPr>
          <w:rFonts w:ascii="Times New Roman" w:cs="Times New Roman" w:eastAsia="Times New Roman" w:hAnsi="Times New Roman"/>
          <w:sz w:val="18"/>
          <w:szCs w:val="18"/>
          <w:b w:val="1"/>
          <w:bCs w:val="1"/>
          <w:i w:val="1"/>
          <w:iCs w:val="1"/>
          <w:color w:val="auto"/>
        </w:rPr>
        <w:t>Series E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E Preferred Stock the full amount to which they shall be entitled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the holders of shares of Series E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20"/>
          </w:cols>
          <w:pgMar w:left="580" w:top="265" w:right="599" w:bottom="1440" w:gutter="0" w:footer="0" w:header="0"/>
        </w:sectPr>
      </w:pPr>
    </w:p>
    <w:bookmarkStart w:id="333" w:name="page334"/>
    <w:bookmarkEnd w:id="333"/>
    <w:p>
      <w:pPr>
        <w:ind w:firstLine="1393"/>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Preferential Payments to Holders of Series D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Series F Preferred Stock and Series E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the holders of shares of Series D Preferred Stock then outstanding shall be entitled to be paid out of the proceeds or assets of the Corporation available for distribution to its stockholders, before any payment shall be made to the holders of Series C Preferred Stock, Series B-2 Preferred Stock, Series B-1 Preferred Stock, Series B Preferred Stock, Series A Preferred Stock or Common Stock by reason of their ownership thereof, an amount per share equal to the greater of (i) 1.0 times the Series D Original Issue Price, plus any Series D Accruing Dividends accrued but unpaid thereon, together with any other dividends declared but unpaid thereon, or (ii) such amount per share as would have been payable had all shares of Series D Preferred Stock been converted into Voting Common Stock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immediately prior to such liquidation, dissolution, winding up or Deemed Liquidation Event (the amount payable pursuant to this sentence with respect to the Series D Preferred Stock is hereinafter referred to as the “</w:t>
      </w:r>
      <w:r>
        <w:rPr>
          <w:rFonts w:ascii="Times New Roman" w:cs="Times New Roman" w:eastAsia="Times New Roman" w:hAnsi="Times New Roman"/>
          <w:sz w:val="18"/>
          <w:szCs w:val="18"/>
          <w:b w:val="1"/>
          <w:bCs w:val="1"/>
          <w:i w:val="1"/>
          <w:iCs w:val="1"/>
          <w:color w:val="auto"/>
        </w:rPr>
        <w:t>Series D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D Preferred Stock the full amount to which they shall be entitled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the holders of shares of Series D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Preferential Payments to Holders of Series C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Series F Preferred Stock, Series E Preferred Stock and Series D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the holders of shares of Series C Preferred Stock then outstanding shall be entitled to be paid out of the proceeds or assets of the Corporation available for distribution to its stockholders, before any payment shall be made to the holders of Series B-2 Preferred Stock, Series B-1 Preferred Stock, Series B Preferred Stock, Series A Preferred Stock or Common Stock by reason of their ownership thereof, an amount per share equal to 1.0 times the Series C Original Issue Price, plus any Series C Accruing Dividends accrued but unpaid thereon, together with any other dividends declared but unpaid thereon (the amount payable pursuant to this sentence with respect to the Series C Preferred Stock is hereinafter referred to as the “</w:t>
      </w:r>
      <w:r>
        <w:rPr>
          <w:rFonts w:ascii="Times New Roman" w:cs="Times New Roman" w:eastAsia="Times New Roman" w:hAnsi="Times New Roman"/>
          <w:sz w:val="18"/>
          <w:szCs w:val="18"/>
          <w:b w:val="1"/>
          <w:bCs w:val="1"/>
          <w:i w:val="1"/>
          <w:iCs w:val="1"/>
          <w:color w:val="auto"/>
        </w:rPr>
        <w:t>Series C Liquidation Amount</w:t>
      </w:r>
      <w:r>
        <w:rPr>
          <w:rFonts w:ascii="Times New Roman" w:cs="Times New Roman" w:eastAsia="Times New Roman" w:hAnsi="Times New Roman"/>
          <w:sz w:val="18"/>
          <w:szCs w:val="18"/>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C Preferred Stock the full amount to which they shall be entitled under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the holders of shares of Series C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4" w:lineRule="exact"/>
        <w:rPr>
          <w:sz w:val="20"/>
          <w:szCs w:val="20"/>
          <w:color w:val="auto"/>
        </w:rPr>
      </w:pPr>
    </w:p>
    <w:p>
      <w:pPr>
        <w:ind w:firstLine="1393"/>
        <w:spacing w:after="0" w:line="267"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Preferential Payments to Holders of Series B-2 Preferred Stock, Series B-1 Preferred Stock and Series B Preferred Stock</w:t>
      </w:r>
      <w:r>
        <w:rPr>
          <w:rFonts w:ascii="Times New Roman" w:cs="Times New Roman" w:eastAsia="Times New Roman" w:hAnsi="Times New Roman"/>
          <w:sz w:val="18"/>
          <w:szCs w:val="18"/>
          <w:color w:val="auto"/>
        </w:rPr>
        <w:t>. After the payment of all preferential amounts required to be paid to the holders of Series G-4 Preferred Stock, Series G-3 Preferred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00"/>
          </w:cols>
          <w:pgMar w:left="580" w:top="265" w:right="619" w:bottom="1440" w:gutter="0" w:footer="0" w:header="0"/>
        </w:sectPr>
      </w:pPr>
    </w:p>
    <w:bookmarkStart w:id="334" w:name="page335"/>
    <w:bookmarkEnd w:id="334"/>
    <w:p>
      <w:pPr>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Stock, Series G-2 Preferred Stock, Series G Preferred Stock, Series F Preferred Stock, Series E Preferred Stock, Series D Preferred Stock and Series C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the holders of shares of Series B-2 Preferred Stock, Series B-1 Preferred Stock and Series B Preferred Stock then outstanding shall be entitled to be paid out of the proceeds or assets of the Corporation available for distribution to its stockholders, before any payment shall be made to the holders of Series A Preferred Stock or Common Stock by reason of their ownership thereof, an amount per share equal to (i) with respect to each share of Series B-2 Preferred Stock, the greater of (A) 1.0 times the Series B-2 Original Issue Price, plus any Series B-2 Accruing Dividends accrued but unpaid thereon, together with any other dividends declared but unpaid thereon, or (B) such amount per share as would have been payable had all shares of Series B-2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B-2 Preferred Stock is hereinafter referred to as the “</w:t>
      </w:r>
      <w:r>
        <w:rPr>
          <w:rFonts w:ascii="Times New Roman" w:cs="Times New Roman" w:eastAsia="Times New Roman" w:hAnsi="Times New Roman"/>
          <w:sz w:val="16"/>
          <w:szCs w:val="16"/>
          <w:b w:val="1"/>
          <w:bCs w:val="1"/>
          <w:i w:val="1"/>
          <w:iCs w:val="1"/>
          <w:color w:val="auto"/>
        </w:rPr>
        <w:t>Series B-2 Liquidation Amount</w:t>
      </w:r>
      <w:r>
        <w:rPr>
          <w:rFonts w:ascii="Times New Roman" w:cs="Times New Roman" w:eastAsia="Times New Roman" w:hAnsi="Times New Roman"/>
          <w:sz w:val="16"/>
          <w:szCs w:val="16"/>
          <w:color w:val="auto"/>
        </w:rPr>
        <w:t xml:space="preserve">”), (ii) with respect to each share of Series B-1 Preferred Stock, the greater of (A) 1.0 times the Series B-1 Original Issue Price, plus any Series B-1 Accruing Dividends accrued but unpaid thereon, together with any other dividends declared but unpaid thereon, or (B) such amount per share as would have been payable had all shares of Series B-1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B-1 Preferred Stock is hereinafter referred to as the “</w:t>
      </w:r>
      <w:r>
        <w:rPr>
          <w:rFonts w:ascii="Times New Roman" w:cs="Times New Roman" w:eastAsia="Times New Roman" w:hAnsi="Times New Roman"/>
          <w:sz w:val="16"/>
          <w:szCs w:val="16"/>
          <w:b w:val="1"/>
          <w:bCs w:val="1"/>
          <w:i w:val="1"/>
          <w:iCs w:val="1"/>
          <w:color w:val="auto"/>
        </w:rPr>
        <w:t>Series B-1 Liquidation Amount</w:t>
      </w:r>
      <w:r>
        <w:rPr>
          <w:rFonts w:ascii="Times New Roman" w:cs="Times New Roman" w:eastAsia="Times New Roman" w:hAnsi="Times New Roman"/>
          <w:sz w:val="16"/>
          <w:szCs w:val="16"/>
          <w:color w:val="auto"/>
        </w:rPr>
        <w:t xml:space="preserve">”), and (iii) with respect to Series B Preferred Stock, the greater of (A) 1.0 times the Series B Original Issue Price, plus any Series B Accruing Dividends accrued but unpaid thereon, together with any other dividends declared but unpaid thereon, or (B) such amount per share as would have been payable had all shares of Series B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B Preferred Stock is hereinafter referred to as the “</w:t>
      </w:r>
      <w:r>
        <w:rPr>
          <w:rFonts w:ascii="Times New Roman" w:cs="Times New Roman" w:eastAsia="Times New Roman" w:hAnsi="Times New Roman"/>
          <w:sz w:val="16"/>
          <w:szCs w:val="16"/>
          <w:b w:val="1"/>
          <w:bCs w:val="1"/>
          <w:i w:val="1"/>
          <w:iCs w:val="1"/>
          <w:color w:val="auto"/>
        </w:rPr>
        <w:t>Series B Liquidation Amount</w:t>
      </w:r>
      <w:r>
        <w:rPr>
          <w:rFonts w:ascii="Times New Roman" w:cs="Times New Roman" w:eastAsia="Times New Roman" w:hAnsi="Times New Roman"/>
          <w:sz w:val="16"/>
          <w:szCs w:val="16"/>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B-2 Preferred Stock, Series B-1 Preferred Stock and Series B Preferred Stock the full amount to which they shall be entitled under this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the holders of shares of Series B-2 Preferred Stock, Series B-1 Preferred Stock and Series B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386" w:lineRule="exact"/>
        <w:rPr>
          <w:sz w:val="20"/>
          <w:szCs w:val="20"/>
          <w:color w:val="auto"/>
        </w:rPr>
      </w:pPr>
    </w:p>
    <w:p>
      <w:pPr>
        <w:ind w:right="20" w:firstLine="1393"/>
        <w:spacing w:after="0" w:line="247"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Preferential Payments to Holders of Series A Preferred Stock</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Series G-3 Preferred Stock, Series G-2 Preferred Stock, Series G Preferred Stock, Series F Preferred Stock, Series E Preferred Stock, Series D Preferred Stock, Series C Preferred Stock, Series B-2 Preferred Stock, Series B-1 Preferred Stock and Series B Preferred Stock pursuant to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the holders of shares of Series A Preferred Stock then outstanding shall be entitled to be paid out of the proceeds or assets of the Corporation available for distribution to its stockholders, before any payment shall be made to the holders of Common Stock by reason of their ownership thereof, an amount per share equal to the greater of (i) 1.0 times the Series A Original Issue Price, plus any Series A Accruing Dividends accrued but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00"/>
          </w:cols>
          <w:pgMar w:left="580" w:top="265" w:right="619" w:bottom="1440" w:gutter="0" w:footer="0" w:header="0"/>
        </w:sectPr>
      </w:pPr>
    </w:p>
    <w:bookmarkStart w:id="335" w:name="page336"/>
    <w:bookmarkEnd w:id="335"/>
    <w:p>
      <w:pPr>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unpaid thereon, together with any other dividends declared but unpaid thereon, or (ii) such amount per share as would have been payable had all shares of Series A Preferred Stock been converted into Voting Common Stock pursuant to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immediately prior to such liquidation, dissolution, winding up or Deemed Liquidation Event (the amount payable pursuant to this sentence with respect to the Series A Preferred Stock is hereinafter referred to as the “</w:t>
      </w:r>
      <w:r>
        <w:rPr>
          <w:rFonts w:ascii="Times New Roman" w:cs="Times New Roman" w:eastAsia="Times New Roman" w:hAnsi="Times New Roman"/>
          <w:sz w:val="16"/>
          <w:szCs w:val="16"/>
          <w:b w:val="1"/>
          <w:bCs w:val="1"/>
          <w:i w:val="1"/>
          <w:iCs w:val="1"/>
          <w:color w:val="auto"/>
        </w:rPr>
        <w:t>Series A Liquidation Amount</w:t>
      </w:r>
      <w:r>
        <w:rPr>
          <w:rFonts w:ascii="Times New Roman" w:cs="Times New Roman" w:eastAsia="Times New Roman" w:hAnsi="Times New Roman"/>
          <w:sz w:val="16"/>
          <w:szCs w:val="16"/>
          <w:color w:val="auto"/>
        </w:rPr>
        <w:t xml:space="preserve">”). If upon any such liquidation, dissolution or winding up of the Corporation or Deemed Liquidation Event, the proceeds and assets of the Corporation available for distribution to its stockholders shall be insufficient to pay the holders of shares of Series A Preferred Stock the full amount to which they shall be entitled under this </w:t>
      </w:r>
      <w:r>
        <w:rPr>
          <w:rFonts w:ascii="Times New Roman" w:cs="Times New Roman" w:eastAsia="Times New Roman" w:hAnsi="Times New Roman"/>
          <w:sz w:val="16"/>
          <w:szCs w:val="16"/>
          <w:u w:val="single" w:color="auto"/>
          <w:color w:val="auto"/>
        </w:rPr>
        <w:t>Section 2.9</w:t>
      </w:r>
      <w:r>
        <w:rPr>
          <w:rFonts w:ascii="Times New Roman" w:cs="Times New Roman" w:eastAsia="Times New Roman" w:hAnsi="Times New Roman"/>
          <w:sz w:val="16"/>
          <w:szCs w:val="16"/>
          <w:color w:val="auto"/>
        </w:rPr>
        <w:t>, the holders of shares of Series A Preferred Stock shall share ratably in any distribution of the proceeds and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1" w:lineRule="exact"/>
        <w:rPr>
          <w:sz w:val="20"/>
          <w:szCs w:val="20"/>
          <w:color w:val="auto"/>
        </w:rPr>
      </w:pPr>
    </w:p>
    <w:p>
      <w:pPr>
        <w:ind w:firstLine="1393"/>
        <w:spacing w:after="0" w:line="24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Distribution of Remaining Assets</w:t>
      </w:r>
      <w:r>
        <w:rPr>
          <w:rFonts w:ascii="Times New Roman" w:cs="Times New Roman" w:eastAsia="Times New Roman" w:hAnsi="Times New Roman"/>
          <w:sz w:val="18"/>
          <w:szCs w:val="18"/>
          <w:color w:val="auto"/>
        </w:rPr>
        <w:t xml:space="preserve">. After the payment of all preferential amounts required to be paid to the holders of Series G-4 Preferred Stock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payment of all preferential amounts required to be paid to the holders of Series G-3 Preferred Stock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payment of all preferential amounts required to be paid to the holders of Series G-2 Preferred Stock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the payment of all preferential amounts required to be paid to the holders of Series G Preferred Stock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payment of all preferential amounts required to be paid to the holders of Series F Preferred Stock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payment of all preferential amounts required to be paid to the holders of Series E Preferred Stock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payment of all preferential amounts required to be paid to the holders of Series D Preferred Stock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payment of all preferential amounts required to be paid to the holders of Series C Preferred Stock pursuant to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the payment of all preferential amounts required to be paid to the holders of Series B-2 Preferred Stock, Series B-1 Preferred Stock and Series B Preferred Stock pursuant to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and the payment of all preferential amounts required to be paid to the holders of Series A Preferred Stock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the remaining assets of the Corporation available for distribution to its stockholders, if any, shall be distributed among the holders of shares of Series C Preferred Stock and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aggregate amount which the holders of Series D Preferred Stock would otherwise be entitled to receive is less than $18.7478 per share (as adjusted for any stock splits, stock dividends, combinations, subdivisions, recapitalizations or the like), then the remaining assets of the Corporation available for distribution to its stockholders, if any, shall be distributed among the holders of shares of Series C Preferred Stock (excluding, for this purpose, any shares of Series C Preferred Stock held at any time by Eric P. Lefkofsky or any entity in which Eric P. Lefkofsky owned or held, directly or indirectly, the power to direct the management and policies of such entity whether through the ownership of voting securities, contract or otherwise (“</w:t>
      </w:r>
      <w:r>
        <w:rPr>
          <w:rFonts w:ascii="Times New Roman" w:cs="Times New Roman" w:eastAsia="Times New Roman" w:hAnsi="Times New Roman"/>
          <w:sz w:val="18"/>
          <w:szCs w:val="18"/>
          <w:b w:val="1"/>
          <w:bCs w:val="1"/>
          <w:i w:val="1"/>
          <w:iCs w:val="1"/>
          <w:color w:val="auto"/>
        </w:rPr>
        <w:t>Lefkofsky Shares</w:t>
      </w:r>
      <w:r>
        <w:rPr>
          <w:rFonts w:ascii="Times New Roman" w:cs="Times New Roman" w:eastAsia="Times New Roman" w:hAnsi="Times New Roman"/>
          <w:sz w:val="18"/>
          <w:szCs w:val="18"/>
          <w:color w:val="auto"/>
        </w:rPr>
        <w:t xml:space="preserve">”), regardless of whether or not any of the Lefkofsky Shares were subsequently transferred and regardless of the subsequent holders of the Lefkofsky Shares) and Common Stock,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shares then held by each such holder, treating for this purpose all such shares of Series C Preferred Stock as if they had been converted into Common Stock pursuant to this Restated Certificate immediately prior to such Liquidation Event or Deemed Liquidation Event.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20"/>
          </w:cols>
          <w:pgMar w:left="580" w:top="265" w:right="599" w:bottom="1440" w:gutter="0" w:footer="0" w:header="0"/>
        </w:sectPr>
      </w:pPr>
    </w:p>
    <w:bookmarkStart w:id="336" w:name="page337"/>
    <w:bookmarkEnd w:id="336"/>
    <w:p>
      <w:pPr>
        <w:ind w:left="1400"/>
        <w:spacing w:after="0"/>
        <w:tabs>
          <w:tab w:leader="none" w:pos="18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2.12</w:t>
      </w:r>
      <w:r>
        <w:rPr>
          <w:sz w:val="20"/>
          <w:szCs w:val="20"/>
          <w:color w:val="auto"/>
        </w:rPr>
        <w:tab/>
      </w:r>
      <w:r>
        <w:rPr>
          <w:rFonts w:ascii="Times New Roman" w:cs="Times New Roman" w:eastAsia="Times New Roman" w:hAnsi="Times New Roman"/>
          <w:sz w:val="16"/>
          <w:szCs w:val="16"/>
          <w:u w:val="single" w:color="auto"/>
          <w:color w:val="auto"/>
        </w:rPr>
        <w:t>Deemed Liquidation Events</w:t>
      </w:r>
      <w:r>
        <w:rPr>
          <w:rFonts w:ascii="Times New Roman" w:cs="Times New Roman" w:eastAsia="Times New Roman" w:hAnsi="Times New Roman"/>
          <w:sz w:val="16"/>
          <w:szCs w:val="16"/>
          <w:color w:val="auto"/>
        </w:rPr>
        <w:t>.</w:t>
      </w:r>
    </w:p>
    <w:p>
      <w:pPr>
        <w:spacing w:after="0" w:line="104" w:lineRule="exact"/>
        <w:rPr>
          <w:sz w:val="20"/>
          <w:szCs w:val="20"/>
          <w:color w:val="auto"/>
        </w:rPr>
      </w:pPr>
    </w:p>
    <w:p>
      <w:pPr>
        <w:jc w:val="both"/>
        <w:ind w:right="260" w:firstLine="1928"/>
        <w:spacing w:after="0" w:line="258" w:lineRule="auto"/>
        <w:rPr>
          <w:sz w:val="20"/>
          <w:szCs w:val="20"/>
          <w:color w:val="auto"/>
        </w:rPr>
      </w:pPr>
      <w:r>
        <w:rPr>
          <w:rFonts w:ascii="Times New Roman" w:cs="Times New Roman" w:eastAsia="Times New Roman" w:hAnsi="Times New Roman"/>
          <w:sz w:val="18"/>
          <w:szCs w:val="18"/>
          <w:color w:val="auto"/>
        </w:rPr>
        <w:t xml:space="preserve">2.12.1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Each of the following events shall be considered a “</w:t>
      </w:r>
      <w:r>
        <w:rPr>
          <w:rFonts w:ascii="Times New Roman" w:cs="Times New Roman" w:eastAsia="Times New Roman" w:hAnsi="Times New Roman"/>
          <w:sz w:val="18"/>
          <w:szCs w:val="18"/>
          <w:b w:val="1"/>
          <w:bCs w:val="1"/>
          <w:i w:val="1"/>
          <w:iCs w:val="1"/>
          <w:color w:val="auto"/>
        </w:rPr>
        <w:t>Deemed Liquidation Event</w:t>
      </w:r>
      <w:r>
        <w:rPr>
          <w:rFonts w:ascii="Times New Roman" w:cs="Times New Roman" w:eastAsia="Times New Roman" w:hAnsi="Times New Roman"/>
          <w:sz w:val="18"/>
          <w:szCs w:val="18"/>
          <w:color w:val="auto"/>
        </w:rPr>
        <w:t>” unless the Requisite Preferred Holders (as defined below) elect otherwise by written notice sent to the Corporation at least 10 days prior to the effective date of any such event:</w:t>
      </w:r>
    </w:p>
    <w:p>
      <w:pPr>
        <w:spacing w:after="0" w:line="177" w:lineRule="exact"/>
        <w:rPr>
          <w:sz w:val="20"/>
          <w:szCs w:val="20"/>
          <w:color w:val="auto"/>
        </w:rPr>
      </w:pPr>
    </w:p>
    <w:p>
      <w:pPr>
        <w:ind w:firstLine="1936"/>
        <w:spacing w:after="0" w:line="279" w:lineRule="auto"/>
        <w:tabs>
          <w:tab w:leader="none" w:pos="2297"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merger or consolidation in which the Corporation is a constituent party (or a subsidiary of the Corporation is a constituent party and the Corporation issues shares of its capital stock pursuant to such merger or consolidation) or (ii) a sale or issuance of shares by the Corporation of its voting stock (other than pursuant to a customary venture capital financing of the Corporation where the holder(s) of shares of capital stock of the Corporation outstanding immediately prior to such venture capital financing continue to hold shares which represent, immediately following such venture capital financing, at least a majority, by voting power, of the outstanding shares of capital stock), except in the case of </w:t>
      </w:r>
      <w:r>
        <w:rPr>
          <w:rFonts w:ascii="Times New Roman" w:cs="Times New Roman" w:eastAsia="Times New Roman" w:hAnsi="Times New Roman"/>
          <w:sz w:val="16"/>
          <w:szCs w:val="16"/>
          <w:u w:val="single" w:color="auto"/>
          <w:color w:val="auto"/>
        </w:rPr>
        <w:t>clause (i)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any such merger or consolidation involving the Corporation or a subsidiary or any such sale or issuance by the Corporation in which the holder(s) of shares of capital stock of the Corporation outstanding immediately prior to such merger or consolidation continue to hold shares which represent, or are converted into or exchanged for shares of capital stock that represent, immediately following such merger or consolidation, at least a majority, by voting power, of the outstanding shares of capital stock of (1) the surviving or resulting corporation or (2) if the surviving or resulting corporation is a wholly owned subsidiary of another corporation immediately following such merger or consolidation, the parent corporation of such surviving or resulting corporation, in substantially the same proportions and with substantially the same terms as held immediately prior to such merger or consolidation; or</w:t>
      </w:r>
    </w:p>
    <w:p>
      <w:pPr>
        <w:spacing w:after="0" w:line="167" w:lineRule="exact"/>
        <w:rPr>
          <w:rFonts w:ascii="Times New Roman" w:cs="Times New Roman" w:eastAsia="Times New Roman" w:hAnsi="Times New Roman"/>
          <w:sz w:val="16"/>
          <w:szCs w:val="16"/>
          <w:color w:val="auto"/>
        </w:rPr>
      </w:pPr>
    </w:p>
    <w:p>
      <w:pPr>
        <w:ind w:right="20" w:firstLine="1936"/>
        <w:spacing w:after="0" w:line="249" w:lineRule="auto"/>
        <w:tabs>
          <w:tab w:leader="none" w:pos="230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or intellectual property of the Corporation and its subsidiaries taken as a whole or the sale or disposition (whether by merger or otherwise) of one or more subsidiaries of the Corporation if substantially all of the assets or intellectual property of the Corporation and its subsidiaries taken as a whole are held by such subsidiary or subsidiaries, except where such sale, lease, transfer, exclusive license or other disposition is to a wholly owned subsidiary of the Corporation.</w:t>
      </w:r>
    </w:p>
    <w:p>
      <w:pPr>
        <w:spacing w:after="0" w:line="186" w:lineRule="exact"/>
        <w:rPr>
          <w:rFonts w:ascii="Times New Roman" w:cs="Times New Roman" w:eastAsia="Times New Roman" w:hAnsi="Times New Roman"/>
          <w:sz w:val="18"/>
          <w:szCs w:val="18"/>
          <w:color w:val="auto"/>
        </w:rPr>
      </w:pPr>
    </w:p>
    <w:p>
      <w:pPr>
        <w:ind w:right="160" w:firstLine="1936"/>
        <w:spacing w:after="0" w:line="248" w:lineRule="auto"/>
        <w:tabs>
          <w:tab w:leader="none" w:pos="229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u w:val="single" w:color="auto"/>
          <w:color w:val="auto"/>
        </w:rPr>
        <w:t>Subsections 2.12.1(a)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2.12.1(b)</w:t>
      </w:r>
      <w:r>
        <w:rPr>
          <w:rFonts w:ascii="Times New Roman" w:cs="Times New Roman" w:eastAsia="Times New Roman" w:hAnsi="Times New Roman"/>
          <w:sz w:val="18"/>
          <w:szCs w:val="18"/>
          <w:color w:val="auto"/>
        </w:rPr>
        <w:t>, (i) no such transaction or series of related transactions (including by way of merger, consolidation, recapitalization, reorganization, sale of securities or otherwise) solely effecting a “Public Offering” shall be deemed a Deemed Liquidation Event, and (ii) a Deemed Liquidation Event shall not include any such transaction effected solely by the issuance of voting securities by the Corporation or any of its Subsidiaries in a bona fide transaction for the purpose of raising capital for the Corporation or its Subsidiary where the holder(s) of shares of capital stock of the Corporation outstanding immediately prior to such transaction continue to hold shares which represent, immediately following such transaction, at least a majority, by voting power, of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00"/>
          </w:cols>
          <w:pgMar w:left="580" w:top="265" w:right="619" w:bottom="1440" w:gutter="0" w:footer="0" w:header="0"/>
        </w:sectPr>
      </w:pPr>
    </w:p>
    <w:bookmarkStart w:id="337" w:name="page338"/>
    <w:bookmarkEnd w:id="337"/>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outstanding shares of capital stock.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means any firm commitment underwritten sale of common equity securities of the Corporation (or any successor thereto, whether by merger, conversion, consolidation, recapitalization, reorganization or otherwise) pursuant to an effective registration statement under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(defined as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 filed with the Securities and Exchange Commission on Forms S-1 or S-3 (or any successor forms adopted by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following shall not be considered a Public Offering: (i) any issuance of common equity securities in connection with and as consideration for a merger or acquisition, and (ii) any issuance of common equity securities or rights to acquire common equity securities to employees, officers, directors, consultants or other service providers of the Corporation or any of its Subsidiaries or others as part of an incentive or compensation plan, agreement or arrangement.</w:t>
      </w:r>
    </w:p>
    <w:p>
      <w:pPr>
        <w:spacing w:after="0" w:line="18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 xml:space="preserve">For the avoidance of doubt, nothing contained in this </w:t>
      </w:r>
      <w:r>
        <w:rPr>
          <w:rFonts w:ascii="Times New Roman" w:cs="Times New Roman" w:eastAsia="Times New Roman" w:hAnsi="Times New Roman"/>
          <w:sz w:val="18"/>
          <w:szCs w:val="18"/>
          <w:u w:val="single" w:color="auto"/>
          <w:color w:val="auto"/>
        </w:rPr>
        <w:t>Section 2.12.1</w:t>
      </w:r>
      <w:r>
        <w:rPr>
          <w:rFonts w:ascii="Times New Roman" w:cs="Times New Roman" w:eastAsia="Times New Roman" w:hAnsi="Times New Roman"/>
          <w:sz w:val="18"/>
          <w:szCs w:val="18"/>
          <w:color w:val="auto"/>
        </w:rPr>
        <w:t xml:space="preserve"> or elsewhere in this Restated Certificate (other than the terms and conditions of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if applicable) shall require the consent or approval of holders of the outstanding shares of Series G-4 Preferred Stock, voting as a separate class, Series G-3 Preferred Stock, voting as a separate class, Series G-2 Preferred Stock, voting as a separate class, Series G Preferred Stock, voting as a separate class, Series F Preferred Stock, voting as a separate class, Series E Preferred Stock, voting as a separate class, shares of Series D Preferred Stock, voting as a separate class, or shares of Series C Preferred Stock, voting as a separate class, to effect a Deemed Liquidation Event.</w:t>
      </w:r>
    </w:p>
    <w:p>
      <w:pPr>
        <w:spacing w:after="0" w:line="292" w:lineRule="exact"/>
        <w:rPr>
          <w:sz w:val="20"/>
          <w:szCs w:val="20"/>
          <w:color w:val="auto"/>
        </w:rPr>
      </w:pPr>
    </w:p>
    <w:p>
      <w:pPr>
        <w:ind w:left="1940"/>
        <w:spacing w:after="0"/>
        <w:tabs>
          <w:tab w:leader="none" w:pos="2520" w:val="left"/>
        </w:tabs>
        <w:rPr>
          <w:sz w:val="20"/>
          <w:szCs w:val="20"/>
          <w:color w:val="auto"/>
        </w:rPr>
      </w:pPr>
      <w:r>
        <w:rPr>
          <w:rFonts w:ascii="Times New Roman" w:cs="Times New Roman" w:eastAsia="Times New Roman" w:hAnsi="Times New Roman"/>
          <w:sz w:val="18"/>
          <w:szCs w:val="18"/>
          <w:color w:val="auto"/>
        </w:rPr>
        <w:t>2.12.2</w:t>
      </w:r>
      <w:r>
        <w:rPr>
          <w:sz w:val="20"/>
          <w:szCs w:val="20"/>
          <w:color w:val="auto"/>
        </w:rPr>
        <w:tab/>
      </w:r>
      <w:r>
        <w:rPr>
          <w:rFonts w:ascii="Times New Roman" w:cs="Times New Roman" w:eastAsia="Times New Roman" w:hAnsi="Times New Roman"/>
          <w:sz w:val="16"/>
          <w:szCs w:val="16"/>
          <w:u w:val="single" w:color="auto"/>
          <w:color w:val="auto"/>
        </w:rPr>
        <w:t>Effecting a Deemed Liquidation Event</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140" w:firstLine="1936"/>
        <w:spacing w:after="0" w:line="251" w:lineRule="auto"/>
        <w:tabs>
          <w:tab w:leader="none" w:pos="229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have the power to effect a Deemed Liquidation Event referred to in </w:t>
      </w:r>
      <w:r>
        <w:rPr>
          <w:rFonts w:ascii="Times New Roman" w:cs="Times New Roman" w:eastAsia="Times New Roman" w:hAnsi="Times New Roman"/>
          <w:sz w:val="18"/>
          <w:szCs w:val="18"/>
          <w:u w:val="single" w:color="auto"/>
          <w:color w:val="auto"/>
        </w:rPr>
        <w:t>Section 2.12.1(a)</w:t>
      </w:r>
      <w:r>
        <w:rPr>
          <w:rFonts w:ascii="Times New Roman" w:cs="Times New Roman" w:eastAsia="Times New Roman" w:hAnsi="Times New Roman"/>
          <w:sz w:val="18"/>
          <w:szCs w:val="18"/>
          <w:color w:val="auto"/>
        </w:rPr>
        <w:t xml:space="preserve"> unless the agreement or plan of merger or consolidation for such transaction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xml:space="preserve">”) provides that the consideration payable to the stockholders of the Corporation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160" w:firstLine="1936"/>
        <w:spacing w:after="0" w:line="246" w:lineRule="auto"/>
        <w:tabs>
          <w:tab w:leader="none" w:pos="2307"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Deemed Liquidation Event referred to in </w:t>
      </w:r>
      <w:r>
        <w:rPr>
          <w:rFonts w:ascii="Times New Roman" w:cs="Times New Roman" w:eastAsia="Times New Roman" w:hAnsi="Times New Roman"/>
          <w:sz w:val="18"/>
          <w:szCs w:val="18"/>
          <w:u w:val="single" w:color="auto"/>
          <w:color w:val="auto"/>
        </w:rPr>
        <w:t>Section 2.12.1(a)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2.12.1(b)</w:t>
      </w:r>
      <w:r>
        <w:rPr>
          <w:rFonts w:ascii="Times New Roman" w:cs="Times New Roman" w:eastAsia="Times New Roman" w:hAnsi="Times New Roman"/>
          <w:sz w:val="18"/>
          <w:szCs w:val="18"/>
          <w:color w:val="auto"/>
        </w:rPr>
        <w:t xml:space="preserve">, if the Corporation does not effect a dissolution of the Corporation under the DGCL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and (ii) unless (A) the holders of a majority of the outstanding shares of Series G-4 Preferred Stock, voting as a separate class, (B) the holders of a majority of the outstanding shares of Series G-3 Preferred Stock, voting as a separate class, (C) the holders of a majority of the outstanding shares of Series G-2 Preferred Stock, voting as a separate class, (D) the holders of a majority of the outstanding shares of Series G Preferred Stock, voting as a separate class, (E) the holders of a majority of the outstanding shares of Series F Preferred Stock, voting as a separate class, (F) the holders of a majority of the outstanding shares of Series E Preferred Stock, voting as a separate class, (G) the holders of at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20"/>
          </w:cols>
          <w:pgMar w:left="580" w:top="261" w:right="599" w:bottom="1440" w:gutter="0" w:footer="0" w:header="0"/>
        </w:sectPr>
      </w:pPr>
    </w:p>
    <w:bookmarkStart w:id="338" w:name="page339"/>
    <w:bookmarkEnd w:id="338"/>
    <w:p>
      <w:pPr>
        <w:ind w:right="80"/>
        <w:spacing w:after="0" w:line="278"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least sixty percent (60%) of the outstanding shares of Series D Preferred Stock, voting as a separate class, (H) the holders of at least sixty percent (60%) of the outstanding shares of Series C Preferred Stock, voting as a separate class, and (I) the holders of a majority of the outstanding shares of Series B-2 Preferred Stock, Series B-1 Preferred Stock, Series B Preferred Stock and Series A Preferred Stock, voting together as a separate class as measured on the basis of voting power set forth in this Restated Certificate, so request otherwise in a written instrument delivered to the Corporation not later than 120 days after such Deemed Liquidation Event, the Corporation shall use the consideration received by the Corporation for such Deemed Liquidation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Event (net of any retained liabilities associated with the assets sold or technology licensed, as determined in good faith by the Board)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together with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of the Corporation available for distribution to its stockholders, all to the extent permitted by Delaware law governing distributions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(the “</w:t>
      </w:r>
      <w:r>
        <w:rPr>
          <w:rFonts w:ascii="Times New Roman" w:cs="Times New Roman" w:eastAsia="Times New Roman" w:hAnsi="Times New Roman"/>
          <w:sz w:val="16"/>
          <w:szCs w:val="16"/>
          <w:b w:val="1"/>
          <w:bCs w:val="1"/>
          <w:i w:val="1"/>
          <w:iCs w:val="1"/>
          <w:color w:val="auto"/>
        </w:rPr>
        <w:t>Available Proceeds</w:t>
      </w:r>
      <w:r>
        <w:rPr>
          <w:rFonts w:ascii="Times New Roman" w:cs="Times New Roman" w:eastAsia="Times New Roman" w:hAnsi="Times New Roman"/>
          <w:sz w:val="16"/>
          <w:szCs w:val="16"/>
          <w:color w:val="auto"/>
        </w:rPr>
        <w:t>”), on the 150th day after such Deemed Liquidation Event, to redeem all outstanding shares of Preferred Stock at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equal to the Series G-4 Liquidation Amount, Series G-3 Liquidation Amount, Series G-2 Liquidation Amount, Series G Liquidation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Series F Liquidation Amount, Series E Liquidation Amount, Series D Liquidation Amount, Series C Liquidation Amount, Series B-2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Liquidation Amount, Series B-1 Liquidation Amount, Series B Liquidation Amount or Series A Liquidation Amount, as applicable. Notwithstanding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foregoing, in the event of a redemption pursuant to the preceding sentence, if the Available Proceeds are not sufficient to redeem all outstanding shares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Preferred Stock, the Corporation shall redeem each holder’s shares of Preferred Stock in the same order of priority as the payment of the Series G-4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Amount, Series G-3 Liquidation Amount, Series G-2 Liquidation Amount, Series G Liquidation Amount, Series F Liquidation Amount,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E Liquidation Amount, Series D Liquidation Amount, Series C Liquidation Amount, Series B-2 Liquidation Amount, Series B-1 Liquidation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Amount, Series B Liquidation Amount or Series A Liquidation Amount pursuant to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and shall redeem the remaining shares as soon as it may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lawfully do so under Delaware law governing distributions to stockholders. The provisions of </w:t>
      </w:r>
      <w:r>
        <w:rPr>
          <w:rFonts w:ascii="Times New Roman" w:cs="Times New Roman" w:eastAsia="Times New Roman" w:hAnsi="Times New Roman"/>
          <w:sz w:val="16"/>
          <w:szCs w:val="16"/>
          <w:u w:val="single" w:color="auto"/>
          <w:color w:val="auto"/>
        </w:rPr>
        <w:t>Sections 2.12.2(c)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2.12.2(d)</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2.12.2(e)</w:t>
      </w:r>
      <w:r>
        <w:rPr>
          <w:rFonts w:ascii="Times New Roman" w:cs="Times New Roman" w:eastAsia="Times New Roman" w:hAnsi="Times New Roman"/>
          <w:sz w:val="16"/>
          <w:szCs w:val="16"/>
          <w:color w:val="auto"/>
        </w:rPr>
        <w:t xml:space="preserve"> shall apply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redemption of the Preferred Stock pursuant to this </w:t>
      </w:r>
      <w:r>
        <w:rPr>
          <w:rFonts w:ascii="Times New Roman" w:cs="Times New Roman" w:eastAsia="Times New Roman" w:hAnsi="Times New Roman"/>
          <w:sz w:val="16"/>
          <w:szCs w:val="16"/>
          <w:u w:val="single" w:color="auto"/>
          <w:color w:val="auto"/>
        </w:rPr>
        <w:t>Section 2.12.2(b)</w:t>
      </w:r>
      <w:r>
        <w:rPr>
          <w:rFonts w:ascii="Times New Roman" w:cs="Times New Roman" w:eastAsia="Times New Roman" w:hAnsi="Times New Roman"/>
          <w:sz w:val="16"/>
          <w:szCs w:val="16"/>
          <w:color w:val="auto"/>
        </w:rPr>
        <w:t xml:space="preserve">. Prior to the distribution or redemption provided for in this </w:t>
      </w:r>
      <w:r>
        <w:rPr>
          <w:rFonts w:ascii="Times New Roman" w:cs="Times New Roman" w:eastAsia="Times New Roman" w:hAnsi="Times New Roman"/>
          <w:sz w:val="16"/>
          <w:szCs w:val="16"/>
          <w:u w:val="single" w:color="auto"/>
          <w:color w:val="auto"/>
        </w:rPr>
        <w:t>Section 2.12.2(b)</w:t>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Corporation shall not expend or dissipate the consideration received for such Deemed Liquidation Event, except to discharge expenses incurred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connection with such Deemed Liquidation Event or in the ordinary course of business. For the avoidance of doubt, to the extent any additional Available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related to such Deemed Liquidation Event become available for distribution to the Corporation’s stockholders pursuant to Delaware law after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redemption of the Preferred Stock, such amounts shall be allocated among the holders of such Preferred Stock and Common Stock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as if the redemption had not occurred, and the price per share of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shall be increased to an amount equal to the price per share that would have been paid to such holders if such additional Available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were available for distribution to stockholders of the Corporation as of the date of the redemption of such shares of Preferred Stock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Additional Redemption Price</w:t>
      </w:r>
      <w:r>
        <w:rPr>
          <w:rFonts w:ascii="Times New Roman" w:cs="Times New Roman" w:eastAsia="Times New Roman" w:hAnsi="Times New Roman"/>
          <w:sz w:val="16"/>
          <w:szCs w:val="16"/>
          <w:color w:val="auto"/>
        </w:rPr>
        <w:t>”). The Corporation shall promptly pay any Additional Redemption Price to the former holders of Preferred Stock as such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become available for distribution to the Corporation’s stockholders pursuant to Delaware law.</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20"/>
          </w:cols>
          <w:pgMar w:left="580" w:top="265" w:right="599" w:bottom="1440" w:gutter="0" w:footer="0" w:header="0"/>
        </w:sectPr>
      </w:pPr>
    </w:p>
    <w:bookmarkStart w:id="339" w:name="page340"/>
    <w:bookmarkEnd w:id="339"/>
    <w:p>
      <w:pPr>
        <w:ind w:right="40" w:firstLine="1936"/>
        <w:spacing w:after="0" w:line="255" w:lineRule="auto"/>
        <w:tabs>
          <w:tab w:leader="none" w:pos="229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effect the redemption contemplated by </w:t>
      </w:r>
      <w:r>
        <w:rPr>
          <w:rFonts w:ascii="Times New Roman" w:cs="Times New Roman" w:eastAsia="Times New Roman" w:hAnsi="Times New Roman"/>
          <w:sz w:val="18"/>
          <w:szCs w:val="18"/>
          <w:u w:val="single" w:color="auto"/>
          <w:color w:val="auto"/>
        </w:rPr>
        <w:t>Section 2.12.2(b)</w:t>
      </w:r>
      <w:r>
        <w:rPr>
          <w:rFonts w:ascii="Times New Roman" w:cs="Times New Roman" w:eastAsia="Times New Roman" w:hAnsi="Times New Roman"/>
          <w:sz w:val="18"/>
          <w:szCs w:val="18"/>
          <w:color w:val="auto"/>
        </w:rPr>
        <w:t>, the Corporation shall send written notice of the mandatory redemption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each holder of record of Preferred Stock not less than 40 days prior to such redemption date. Each Redemption Notice shall state:</w:t>
      </w:r>
    </w:p>
    <w:p>
      <w:pPr>
        <w:spacing w:after="0" w:line="180" w:lineRule="exact"/>
        <w:rPr>
          <w:rFonts w:ascii="Times New Roman" w:cs="Times New Roman" w:eastAsia="Times New Roman" w:hAnsi="Times New Roman"/>
          <w:sz w:val="18"/>
          <w:szCs w:val="18"/>
          <w:color w:val="auto"/>
        </w:rPr>
      </w:pPr>
    </w:p>
    <w:p>
      <w:pPr>
        <w:ind w:right="220" w:firstLine="2364"/>
        <w:spacing w:after="0" w:line="251" w:lineRule="auto"/>
        <w:tabs>
          <w:tab w:leader="none" w:pos="2697"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Series G-4 Preferred Stock, Series G-3 Preferred Stock, Series G-2 Preferred Stock, Series G Preferred Stock, Series F Preferred Stock, Series E Preferred Stock, Series D Preferred Stock, Series C Preferred Stock, Series B-2 Preferred Stock, Series B-1 Preferred Stock, Series B Preferred Stock and Series A Preferred Stock held by the holder that the Corporation shall redeem on the redemption date specified in the Redemption Notice;</w:t>
      </w:r>
    </w:p>
    <w:p>
      <w:pPr>
        <w:spacing w:after="0" w:line="184" w:lineRule="exact"/>
        <w:rPr>
          <w:rFonts w:ascii="Times New Roman" w:cs="Times New Roman" w:eastAsia="Times New Roman" w:hAnsi="Times New Roman"/>
          <w:sz w:val="18"/>
          <w:szCs w:val="18"/>
          <w:color w:val="auto"/>
        </w:rPr>
      </w:pPr>
    </w:p>
    <w:p>
      <w:pPr>
        <w:ind w:left="2760" w:hanging="396"/>
        <w:spacing w:after="0"/>
        <w:tabs>
          <w:tab w:leader="none" w:pos="27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and the redemption price;</w:t>
      </w:r>
    </w:p>
    <w:p>
      <w:pPr>
        <w:spacing w:after="0" w:line="213" w:lineRule="exact"/>
        <w:rPr>
          <w:rFonts w:ascii="Times New Roman" w:cs="Times New Roman" w:eastAsia="Times New Roman" w:hAnsi="Times New Roman"/>
          <w:sz w:val="18"/>
          <w:szCs w:val="18"/>
          <w:color w:val="auto"/>
        </w:rPr>
      </w:pPr>
    </w:p>
    <w:p>
      <w:pPr>
        <w:ind w:left="2800" w:hanging="436"/>
        <w:spacing w:after="0"/>
        <w:tabs>
          <w:tab w:leader="none" w:pos="280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upon which the holder’s right to convert such shares terminates (as determined in accordance with</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and</w:t>
      </w:r>
    </w:p>
    <w:p>
      <w:pPr>
        <w:spacing w:after="0" w:line="195" w:lineRule="exact"/>
        <w:rPr>
          <w:rFonts w:ascii="Times New Roman" w:cs="Times New Roman" w:eastAsia="Times New Roman" w:hAnsi="Times New Roman"/>
          <w:sz w:val="18"/>
          <w:szCs w:val="18"/>
          <w:color w:val="auto"/>
        </w:rPr>
      </w:pPr>
    </w:p>
    <w:p>
      <w:pPr>
        <w:ind w:right="540" w:firstLine="2364"/>
        <w:spacing w:after="0" w:line="267" w:lineRule="auto"/>
        <w:tabs>
          <w:tab w:leader="none" w:pos="2784"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17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 xml:space="preserve">If the Corporation receives, on or prior to the 20th day after the date of delivery of the Redemption Notice to a holder of Preferred Stock, written notice from such holder that such holder elects to be excluded from the redemption of the Preferred Stock provided in this </w:t>
      </w:r>
      <w:r>
        <w:rPr>
          <w:rFonts w:ascii="Times New Roman" w:cs="Times New Roman" w:eastAsia="Times New Roman" w:hAnsi="Times New Roman"/>
          <w:sz w:val="18"/>
          <w:szCs w:val="18"/>
          <w:u w:val="single" w:color="auto"/>
          <w:color w:val="auto"/>
        </w:rPr>
        <w:t>Section 2.12.2</w:t>
      </w:r>
      <w:r>
        <w:rPr>
          <w:rFonts w:ascii="Times New Roman" w:cs="Times New Roman" w:eastAsia="Times New Roman" w:hAnsi="Times New Roman"/>
          <w:sz w:val="18"/>
          <w:szCs w:val="18"/>
          <w:color w:val="auto"/>
        </w:rPr>
        <w:t>, then the shares of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Excluded Shares</w:t>
      </w:r>
      <w:r>
        <w:rPr>
          <w:rFonts w:ascii="Times New Roman" w:cs="Times New Roman" w:eastAsia="Times New Roman" w:hAnsi="Times New Roman"/>
          <w:sz w:val="18"/>
          <w:szCs w:val="18"/>
          <w:color w:val="auto"/>
        </w:rPr>
        <w:t xml:space="preserve">.” Excluded Shares shall not be redeemed or redeemable pursuant to this </w:t>
      </w:r>
      <w:r>
        <w:rPr>
          <w:rFonts w:ascii="Times New Roman" w:cs="Times New Roman" w:eastAsia="Times New Roman" w:hAnsi="Times New Roman"/>
          <w:sz w:val="18"/>
          <w:szCs w:val="18"/>
          <w:u w:val="single" w:color="auto"/>
          <w:color w:val="auto"/>
        </w:rPr>
        <w:t>Section 2.12.2</w:t>
      </w:r>
      <w:r>
        <w:rPr>
          <w:rFonts w:ascii="Times New Roman" w:cs="Times New Roman" w:eastAsia="Times New Roman" w:hAnsi="Times New Roman"/>
          <w:sz w:val="18"/>
          <w:szCs w:val="18"/>
          <w:color w:val="auto"/>
        </w:rPr>
        <w:t>, whether on such redemption date or thereafter.</w:t>
      </w:r>
    </w:p>
    <w:p>
      <w:pPr>
        <w:spacing w:after="0" w:line="187" w:lineRule="exact"/>
        <w:rPr>
          <w:sz w:val="20"/>
          <w:szCs w:val="20"/>
          <w:color w:val="auto"/>
        </w:rPr>
      </w:pPr>
    </w:p>
    <w:p>
      <w:pPr>
        <w:ind w:firstLine="1936"/>
        <w:spacing w:after="0" w:line="247" w:lineRule="auto"/>
        <w:tabs>
          <w:tab w:leader="none" w:pos="23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applicable redemption date, each holder of shares of Preferred Stock to be redeemed on such redemption date, unless such holder has exercised his, her or its right to convert such shares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w:t>
      </w:r>
    </w:p>
    <w:p>
      <w:pPr>
        <w:spacing w:after="0" w:line="186" w:lineRule="exact"/>
        <w:rPr>
          <w:rFonts w:ascii="Times New Roman" w:cs="Times New Roman" w:eastAsia="Times New Roman" w:hAnsi="Times New Roman"/>
          <w:sz w:val="18"/>
          <w:szCs w:val="18"/>
          <w:color w:val="auto"/>
        </w:rPr>
      </w:pPr>
    </w:p>
    <w:p>
      <w:pPr>
        <w:ind w:right="80" w:firstLine="1936"/>
        <w:spacing w:after="0" w:line="247" w:lineRule="auto"/>
        <w:tabs>
          <w:tab w:leader="none" w:pos="229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(including the Additional Redemption Price from time to time, if any) without interest upon surrender of their certificate or certificates therefor.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00"/>
          </w:cols>
          <w:pgMar w:left="580" w:top="265" w:right="619" w:bottom="1440" w:gutter="0" w:footer="0" w:header="0"/>
        </w:sectPr>
      </w:pPr>
    </w:p>
    <w:bookmarkStart w:id="340" w:name="page341"/>
    <w:bookmarkEnd w:id="340"/>
    <w:p>
      <w:pPr>
        <w:ind w:right="420" w:firstLine="19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2.12.3 </w:t>
      </w:r>
      <w:r>
        <w:rPr>
          <w:rFonts w:ascii="Times New Roman" w:cs="Times New Roman" w:eastAsia="Times New Roman" w:hAnsi="Times New Roman"/>
          <w:sz w:val="18"/>
          <w:szCs w:val="18"/>
          <w:u w:val="single" w:color="auto"/>
          <w:color w:val="auto"/>
        </w:rPr>
        <w:t>Amount Deemed Paid or Distributed</w:t>
      </w:r>
      <w:r>
        <w:rPr>
          <w:rFonts w:ascii="Times New Roman" w:cs="Times New Roman" w:eastAsia="Times New Roman" w:hAnsi="Times New Roman"/>
          <w:sz w:val="18"/>
          <w:szCs w:val="18"/>
          <w:color w:val="auto"/>
        </w:rPr>
        <w:t xml:space="preserve">. If the amount deemed paid or distributed in a Deemed Liquidation Event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made in property other than in cash, the fair market value of such property, determined as follows:</w:t>
      </w:r>
    </w:p>
    <w:p>
      <w:pPr>
        <w:spacing w:after="0" w:line="170" w:lineRule="exact"/>
        <w:rPr>
          <w:sz w:val="20"/>
          <w:szCs w:val="20"/>
          <w:color w:val="auto"/>
        </w:rPr>
      </w:pPr>
    </w:p>
    <w:p>
      <w:pPr>
        <w:ind w:left="2300" w:hanging="364"/>
        <w:spacing w:after="0"/>
        <w:tabs>
          <w:tab w:leader="none" w:pos="23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not subject to investment letters or other similar restrictions on free marketability,</w:t>
      </w:r>
    </w:p>
    <w:p>
      <w:pPr>
        <w:spacing w:after="0" w:line="213" w:lineRule="exact"/>
        <w:rPr>
          <w:rFonts w:ascii="Times New Roman" w:cs="Times New Roman" w:eastAsia="Times New Roman" w:hAnsi="Times New Roman"/>
          <w:sz w:val="18"/>
          <w:szCs w:val="18"/>
          <w:color w:val="auto"/>
        </w:rPr>
      </w:pPr>
    </w:p>
    <w:p>
      <w:pPr>
        <w:ind w:right="640" w:firstLine="2364"/>
        <w:spacing w:after="0" w:line="267" w:lineRule="auto"/>
        <w:tabs>
          <w:tab w:leader="none" w:pos="2697"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traded on a securities exchange, the value shall be deemed to be the average of the closing prices of the securities on such exchange or market over the 30-period ending three days prior to the closing of such transaction;</w:t>
      </w:r>
    </w:p>
    <w:p>
      <w:pPr>
        <w:spacing w:after="0" w:line="169" w:lineRule="exact"/>
        <w:rPr>
          <w:rFonts w:ascii="Times New Roman" w:cs="Times New Roman" w:eastAsia="Times New Roman" w:hAnsi="Times New Roman"/>
          <w:sz w:val="18"/>
          <w:szCs w:val="18"/>
          <w:color w:val="auto"/>
        </w:rPr>
      </w:pPr>
    </w:p>
    <w:p>
      <w:pPr>
        <w:ind w:right="120" w:firstLine="2364"/>
        <w:spacing w:after="0" w:line="267" w:lineRule="auto"/>
        <w:tabs>
          <w:tab w:leader="none" w:pos="274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actively traded over-the-counter, the value shall be deemed to be the average of the closing bid prices over the 30-day period ending three days prior to the closing of such transaction; or</w:t>
      </w:r>
    </w:p>
    <w:p>
      <w:pPr>
        <w:spacing w:after="0" w:line="169" w:lineRule="exact"/>
        <w:rPr>
          <w:rFonts w:ascii="Times New Roman" w:cs="Times New Roman" w:eastAsia="Times New Roman" w:hAnsi="Times New Roman"/>
          <w:sz w:val="18"/>
          <w:szCs w:val="18"/>
          <w:color w:val="auto"/>
        </w:rPr>
      </w:pPr>
    </w:p>
    <w:p>
      <w:pPr>
        <w:ind w:left="2800" w:hanging="436"/>
        <w:spacing w:after="0"/>
        <w:tabs>
          <w:tab w:leader="none" w:pos="2800"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is no active public market, the value shall be the fair market value thereof, as determined in good faith by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Board.</w:t>
      </w:r>
    </w:p>
    <w:p>
      <w:pPr>
        <w:spacing w:after="0" w:line="195" w:lineRule="exact"/>
        <w:rPr>
          <w:rFonts w:ascii="Times New Roman" w:cs="Times New Roman" w:eastAsia="Times New Roman" w:hAnsi="Times New Roman"/>
          <w:sz w:val="16"/>
          <w:szCs w:val="16"/>
          <w:color w:val="auto"/>
        </w:rPr>
      </w:pPr>
    </w:p>
    <w:p>
      <w:pPr>
        <w:ind w:right="60" w:firstLine="1936"/>
        <w:spacing w:after="0" w:line="251" w:lineRule="auto"/>
        <w:tabs>
          <w:tab w:leader="none" w:pos="230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from the market value as determined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so as to reflect the approximate fair market value thereof.</w:t>
      </w:r>
    </w:p>
    <w:p>
      <w:pPr>
        <w:spacing w:after="0" w:line="184" w:lineRule="exact"/>
        <w:rPr>
          <w:sz w:val="20"/>
          <w:szCs w:val="20"/>
          <w:color w:val="auto"/>
        </w:rPr>
      </w:pPr>
    </w:p>
    <w:p>
      <w:pPr>
        <w:ind w:right="40" w:firstLine="1393"/>
        <w:spacing w:after="0" w:line="277" w:lineRule="auto"/>
        <w:rPr>
          <w:sz w:val="20"/>
          <w:szCs w:val="20"/>
          <w:color w:val="auto"/>
        </w:rPr>
      </w:pPr>
      <w:r>
        <w:rPr>
          <w:rFonts w:ascii="Times New Roman" w:cs="Times New Roman" w:eastAsia="Times New Roman" w:hAnsi="Times New Roman"/>
          <w:sz w:val="16"/>
          <w:szCs w:val="16"/>
          <w:color w:val="auto"/>
        </w:rPr>
        <w:t xml:space="preserve">2.13 </w:t>
      </w:r>
      <w:r>
        <w:rPr>
          <w:rFonts w:ascii="Times New Roman" w:cs="Times New Roman" w:eastAsia="Times New Roman" w:hAnsi="Times New Roman"/>
          <w:sz w:val="16"/>
          <w:szCs w:val="16"/>
          <w:u w:val="single" w:color="auto"/>
          <w:color w:val="auto"/>
        </w:rPr>
        <w:t>Contingent Consideration and Indemnification</w:t>
      </w:r>
      <w:r>
        <w:rPr>
          <w:rFonts w:ascii="Times New Roman" w:cs="Times New Roman" w:eastAsia="Times New Roman" w:hAnsi="Times New Roman"/>
          <w:sz w:val="16"/>
          <w:szCs w:val="16"/>
          <w:color w:val="auto"/>
        </w:rPr>
        <w:t>. In the event of a Deemed Liquidation Event, unless (A) the holders of a majority of the outstanding shares of Series G-4 Preferred Stock, voting as a separate class, (B) the holders of a majority of the outstanding shares of Series G-3 Preferred Stock, voting as a separate class, (C) the holders of a majority of the outstanding shares of Series G-2 Preferred Stock, voting as a separate class, (D) the holders of a majority of the outstanding shares of Series G Preferred Stock, voting as a separate class, (E) the holders of a majority of the outstanding shares of Series F Preferred Stock, voting as a separate class, (F) the holders of a majority of the outstanding shares of Series E Preferred Stock, voting as a separate class, (G) the holders of at least sixty percent (60%) of the outstanding shares of Series D Preferred Stock, voting as a separate class, (H) the holders of at least sixty percent (60%) of the outstanding shares of Series C Preferred Stock, voting as a separate class, and</w:t>
      </w:r>
    </w:p>
    <w:p>
      <w:pPr>
        <w:spacing w:after="0" w:line="2" w:lineRule="exact"/>
        <w:rPr>
          <w:sz w:val="20"/>
          <w:szCs w:val="20"/>
          <w:color w:val="auto"/>
        </w:rPr>
      </w:pPr>
    </w:p>
    <w:p>
      <w:pPr>
        <w:ind w:right="40" w:firstLine="8"/>
        <w:spacing w:after="0" w:line="244" w:lineRule="auto"/>
        <w:tabs>
          <w:tab w:leader="none" w:pos="21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of the outstanding shares of Series B-2 Preferred Stock, Series B-1 Preferred Stock, Series B Preferred Stock and Series A Preferred Stock, voting together as a single class as measured on the basis of voting power set forth in this Restated Certificate (the holders described in clauses (A), (B), (C), (D), (E), (F), (G), (H) and (I) referred to herein, collectively, as the “</w:t>
      </w:r>
      <w:r>
        <w:rPr>
          <w:rFonts w:ascii="Times New Roman" w:cs="Times New Roman" w:eastAsia="Times New Roman" w:hAnsi="Times New Roman"/>
          <w:sz w:val="18"/>
          <w:szCs w:val="18"/>
          <w:b w:val="1"/>
          <w:bCs w:val="1"/>
          <w:i w:val="1"/>
          <w:iCs w:val="1"/>
          <w:color w:val="auto"/>
        </w:rPr>
        <w:t>Requisite Preferred Holders</w:t>
      </w:r>
      <w:r>
        <w:rPr>
          <w:rFonts w:ascii="Times New Roman" w:cs="Times New Roman" w:eastAsia="Times New Roman" w:hAnsi="Times New Roman"/>
          <w:sz w:val="18"/>
          <w:szCs w:val="18"/>
          <w:color w:val="auto"/>
        </w:rPr>
        <w:t>”), otherwise approve in writing, if any portion of the consideration payable to the stockholders of the Corporation in connection with a Deemed Liquidation Event is payable only upon the satisfaction of contingencies or is placed in escrow, a “holdback” or other similar account to secure the indemnity obligations of the stockholders (such consideration, the “</w:t>
      </w:r>
      <w:r>
        <w:rPr>
          <w:rFonts w:ascii="Times New Roman" w:cs="Times New Roman" w:eastAsia="Times New Roman" w:hAnsi="Times New Roman"/>
          <w:sz w:val="18"/>
          <w:szCs w:val="18"/>
          <w:b w:val="1"/>
          <w:bCs w:val="1"/>
          <w:i w:val="1"/>
          <w:iCs w:val="1"/>
          <w:color w:val="auto"/>
        </w:rPr>
        <w:t>Additional Consideration</w:t>
      </w:r>
      <w:r>
        <w:rPr>
          <w:rFonts w:ascii="Times New Roman" w:cs="Times New Roman" w:eastAsia="Times New Roman" w:hAnsi="Times New Roman"/>
          <w:sz w:val="18"/>
          <w:szCs w:val="18"/>
          <w:color w:val="auto"/>
        </w:rPr>
        <w:t>”), the definitive agreement with respect to such Deemed Liquidation Event shall provide that (a) the portion of the consideration that is not Additional Consideration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xml:space="preserve">”) shall be allocated among the holders of capital stock of the Corporation in accordance with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20"/>
          </w:cols>
          <w:pgMar w:left="580" w:top="265" w:right="599" w:bottom="1440" w:gutter="0" w:footer="0" w:header="0"/>
        </w:sectPr>
      </w:pPr>
    </w:p>
    <w:bookmarkStart w:id="341" w:name="page342"/>
    <w:bookmarkEnd w:id="341"/>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hereof as if the Initial Consideration were the only consideration payable in connection with such Deemed Liquidation Event, and (b) any Additional Consideration which becomes payable or distributable to the stockholders of the Corporation after the initial closing of such Deemed Liquidation Event shall be allocated among the holders of capital stock of the Corporation in strict accordance with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 after taking into account any previous payments of the Initial Consideration made to the stockholders of the Corporation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 In connection with the payment of such Additional Consideration, if the Series G-4 Preferred Stock,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did not convert to Common Stock immediately before the initial closing of the Deemed Liquidation Event and if the Series G-4 Preferred Stock,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had converted to Common Stock immediately before the initial closing of the Deemed Liquidation Event and the Series G-4 Preferred Stock, Series G-3 Preferred Stock, Series G-2 Preferred Stock, Series G Preferred Stock, Series F Preferred Stock, the Series E Preferred Stock, Series D Preferred Stock, Series C Preferred Stock, Series B-2 Preferred Stock, Series B-1 Preferred Stock, Series B Preferred Stock or Series A Preferred Stock would have received greater total consideration from the Deemed Liquidation Event after the payments of the Additional Consideration are made, then the Additional Consideration shall be paid to the holders of the Series G-4 Preferred Stock, Series G-3 Preferred Stock, Series G-2 Preferred Stock, Series G Preferred Stock, Series F Preferred Stock, Series E Preferred Stock, Series D Preferred Stock, Series C Preferred Stock, Series B-2 Preferred Stock, Series B-1 Preferred Stock, Series B Preferred Stock, Series A Preferred Stock or Common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 taking into account such deemed conversion, as applicable, and after taking into account any previous payments of the Initial Consideration made to the holders of Preferred Stock pursuant to </w:t>
      </w:r>
      <w:r>
        <w:rPr>
          <w:rFonts w:ascii="Times New Roman" w:cs="Times New Roman" w:eastAsia="Times New Roman" w:hAnsi="Times New Roman"/>
          <w:sz w:val="16"/>
          <w:szCs w:val="16"/>
          <w:u w:val="single" w:color="auto"/>
          <w:color w:val="auto"/>
        </w:rPr>
        <w:t>Sections 2.1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2.10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2.11</w:t>
      </w:r>
      <w:r>
        <w:rPr>
          <w:rFonts w:ascii="Times New Roman" w:cs="Times New Roman" w:eastAsia="Times New Roman" w:hAnsi="Times New Roman"/>
          <w:sz w:val="16"/>
          <w:szCs w:val="16"/>
          <w:color w:val="auto"/>
        </w:rPr>
        <w:t xml:space="preserve"> hereof.</w:t>
      </w:r>
    </w:p>
    <w:p>
      <w:pPr>
        <w:spacing w:after="0" w:line="200" w:lineRule="exact"/>
        <w:rPr>
          <w:sz w:val="20"/>
          <w:szCs w:val="20"/>
          <w:color w:val="auto"/>
        </w:rPr>
      </w:pPr>
    </w:p>
    <w:p>
      <w:pPr>
        <w:spacing w:after="0" w:line="284" w:lineRule="exact"/>
        <w:rPr>
          <w:sz w:val="20"/>
          <w:szCs w:val="20"/>
          <w:color w:val="auto"/>
        </w:rPr>
      </w:pPr>
    </w:p>
    <w:p>
      <w:pPr>
        <w:ind w:left="1280" w:hanging="308"/>
        <w:spacing w:after="0"/>
        <w:tabs>
          <w:tab w:leader="none" w:pos="12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1393"/>
        <w:spacing w:after="0" w:line="281"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General</w:t>
      </w:r>
      <w:r>
        <w:rPr>
          <w:rFonts w:ascii="Times New Roman" w:cs="Times New Roman" w:eastAsia="Times New Roman" w:hAnsi="Times New Roman"/>
          <w:sz w:val="16"/>
          <w:szCs w:val="16"/>
          <w:color w:val="auto"/>
        </w:rPr>
        <w:t>. On any matter presented to the stockholders of the Corporation for their action or consideration at any meeting of stockholders of the Corporation (or by written consent of stockholders in lieu of meeting), (a) each holder of outstanding shares of Series G-4 Preferred Stock, Series G-3 Preferred Stock, Series G-2 Preferred Stock, Series G Preferred Stock, Series F Preferred Stock, Series E Preferred Stock, Series D Preferred Stock, Series C Preferred Stock, Series B-2 Preferred Stock, Series B-1 Preferred Stock, and Series A Preferred Stock shall be entitled to cast the number of votes equal to the number of whole shares of Class A Common Stock into which such shares of Preferred Stock held by such holder are convertible, based on the then-current Conversion Price (as defined below) for such shares, as of the record date for determining stockholders entitled to vote on such matter, and (b) each holder of outstanding shares of Series B Preferred Stock shall be entitled to cast the number of votes equal to the voting power of the number of whole shares of Class B Common Stock into which the shares of Series B Preferred Stock held by such holder are convertible as of the record date for determining stockholders entitled to vote on such matter. Except as provided by applicable law or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00"/>
          </w:cols>
          <w:pgMar w:left="580" w:top="265" w:right="619" w:bottom="1440" w:gutter="0" w:footer="0" w:header="0"/>
        </w:sectPr>
      </w:pPr>
    </w:p>
    <w:bookmarkStart w:id="342" w:name="page343"/>
    <w:bookmarkEnd w:id="342"/>
    <w:p>
      <w:pPr>
        <w:ind w:right="1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by the other provisions of this Restated Certificate, holders of Preferred Stock shall vote together with the holders of Voting Common Stock as a single class on all matters (including the election of directors) submitted to a vote of the stockholders of the Corporation.</w:t>
      </w:r>
    </w:p>
    <w:p>
      <w:pPr>
        <w:spacing w:after="0" w:line="275"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6"/>
          <w:szCs w:val="16"/>
          <w:u w:val="single" w:color="auto"/>
          <w:color w:val="auto"/>
        </w:rPr>
        <w:t>Election of Directors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right="20" w:firstLine="1928"/>
        <w:spacing w:after="0" w:line="280" w:lineRule="auto"/>
        <w:rPr>
          <w:sz w:val="20"/>
          <w:szCs w:val="20"/>
          <w:color w:val="auto"/>
        </w:rPr>
      </w:pPr>
      <w:r>
        <w:rPr>
          <w:rFonts w:ascii="Times New Roman" w:cs="Times New Roman" w:eastAsia="Times New Roman" w:hAnsi="Times New Roman"/>
          <w:sz w:val="16"/>
          <w:szCs w:val="16"/>
          <w:color w:val="auto"/>
        </w:rPr>
        <w:t>3.2.1 The holders of record of the shares of Series C Preferred Stock, voting as a separate class, shall be entitled to elect one (1) director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six (6) directors of the Corporation. The holders of record of the shares of Series B-2 Preferred Stock, Series B-1 Preferred Stock, Series B Preferred Stock, Series A Preferred Stock and Voting Common Stock, voting together as a single class as measured on the basis of voting power set forth in this Restated Certificate, shall be entitled to elect two (2) directors of the Corporation who are not employed by the Corporation. The holders of record of the shares of Voting Common Stock and Preferred Stock (voting together as a single class as measured on the basis of voting power set forth in this Restated Certificate) shall be entitled to elect each of the remaining directors of the Corporation. Vacancies and newly created positions on the Board of Directors of the Corporation resulting from any increase in the authorized number of Directors may be filled by approval by the holders of at least a majority of the shares of Voting Common Stock.</w:t>
      </w:r>
    </w:p>
    <w:p>
      <w:pPr>
        <w:spacing w:after="0" w:line="379" w:lineRule="exact"/>
        <w:rPr>
          <w:sz w:val="20"/>
          <w:szCs w:val="20"/>
          <w:color w:val="auto"/>
        </w:rPr>
      </w:pPr>
    </w:p>
    <w:p>
      <w:pPr>
        <w:ind w:firstLine="1928"/>
        <w:spacing w:after="0" w:line="245" w:lineRule="auto"/>
        <w:rPr>
          <w:sz w:val="20"/>
          <w:szCs w:val="20"/>
          <w:color w:val="auto"/>
        </w:rPr>
      </w:pPr>
      <w:r>
        <w:rPr>
          <w:rFonts w:ascii="Times New Roman" w:cs="Times New Roman" w:eastAsia="Times New Roman" w:hAnsi="Times New Roman"/>
          <w:sz w:val="18"/>
          <w:szCs w:val="18"/>
          <w:color w:val="auto"/>
        </w:rPr>
        <w:t xml:space="preserve">3.2.2 Any director elected as provided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capital stock fail to elect a sufficient number of directors to fill all directorships for which they are entitled to elect directors, voting exclusively and as a separate class,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then any directorship not so filled shall remain vacant until such time as the holders entitled to such director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and series. At any meeting held for the purpose of electing or removing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a vacancy in any directorship filled by the holders of such class or series shall be filled only by the vote or written consent in lieu of a meeting of the holders of such class or series entitled to elect such director.</w:t>
      </w:r>
    </w:p>
    <w:p>
      <w:pPr>
        <w:spacing w:after="0" w:line="196" w:lineRule="exact"/>
        <w:rPr>
          <w:sz w:val="20"/>
          <w:szCs w:val="20"/>
          <w:color w:val="auto"/>
        </w:rPr>
      </w:pPr>
    </w:p>
    <w:p>
      <w:pPr>
        <w:ind w:right="80" w:firstLine="1393"/>
        <w:spacing w:after="0" w:line="293" w:lineRule="auto"/>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Series G-4 Preferred Stock Protective Provisions</w:t>
      </w:r>
      <w:r>
        <w:rPr>
          <w:rFonts w:ascii="Times New Roman" w:cs="Times New Roman" w:eastAsia="Times New Roman" w:hAnsi="Times New Roman"/>
          <w:sz w:val="16"/>
          <w:szCs w:val="16"/>
          <w:color w:val="auto"/>
        </w:rPr>
        <w:t>. So long as any shares of Series G-4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G-4 Preferred Stock given in writing or by vote at a meeting, consenting or voting (as the case may be) as a single</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680"/>
          </w:cols>
          <w:pgMar w:left="580" w:top="265" w:right="6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215"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3.3.1 amend, alter or repeal any provision of the Certificate of Incorporation, as amended, or the Bylaws of the Corporation in a manner that adversely affects the rights, preferences, privileges and restrictions, qualifications or limitations of the Series G-4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G-4 Preferred Stock shall not be deemed to constitute an amendment that adversely affects the rights, preferences, privileges and restrictions, qualifications or limitations of the Series G-4 Preferred Stock); or</w:t>
      </w:r>
    </w:p>
    <w:p>
      <w:pPr>
        <w:spacing w:after="0" w:line="187" w:lineRule="exact"/>
        <w:rPr>
          <w:sz w:val="20"/>
          <w:szCs w:val="20"/>
          <w:color w:val="auto"/>
        </w:rPr>
      </w:pPr>
    </w:p>
    <w:p>
      <w:pPr>
        <w:ind w:right="60" w:firstLine="1928"/>
        <w:spacing w:after="0" w:line="251" w:lineRule="auto"/>
        <w:rPr>
          <w:sz w:val="20"/>
          <w:szCs w:val="20"/>
          <w:color w:val="auto"/>
        </w:rPr>
      </w:pPr>
      <w:r>
        <w:rPr>
          <w:rFonts w:ascii="Times New Roman" w:cs="Times New Roman" w:eastAsia="Times New Roman" w:hAnsi="Times New Roman"/>
          <w:sz w:val="18"/>
          <w:szCs w:val="18"/>
          <w:color w:val="auto"/>
        </w:rPr>
        <w:t>3.3.2 increase the authorized number of shares of Series G-4 Preferred Stock or issue additional shares of Series G-4 Preferred Stock (or any securities or rights exercisable, convertible or exchangeable for any shares of Series G-4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(i) shares of Series G-4 Preferred Stock in order to pay any Series G-4 PIK Dividends, and (ii) any shares of Preferred Stock except the Series G-4 Preferred Stock other than the Series G-4 PIK Dividends).</w:t>
      </w:r>
    </w:p>
    <w:p>
      <w:pPr>
        <w:spacing w:after="0" w:line="184" w:lineRule="exact"/>
        <w:rPr>
          <w:sz w:val="20"/>
          <w:szCs w:val="20"/>
          <w:color w:val="auto"/>
        </w:rPr>
      </w:pPr>
    </w:p>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Series G-3 Preferred Stock Protective Provisions</w:t>
      </w:r>
      <w:r>
        <w:rPr>
          <w:rFonts w:ascii="Times New Roman" w:cs="Times New Roman" w:eastAsia="Times New Roman" w:hAnsi="Times New Roman"/>
          <w:sz w:val="18"/>
          <w:szCs w:val="18"/>
          <w:color w:val="auto"/>
        </w:rPr>
        <w:t xml:space="preserve">. So long as any shares of Series G-3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G-3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3.4.1 amend, alter or repeal any provision of the Certificate of Incorporation, as amended, or the Bylaws of the Corporation in a manner that adversely affects the rights, preferences, privileges and restrictions, qualifications or limitations of the Series G-3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G-3 Preferred Stock shall not be deemed to constitute an amendment that adversely affects the rights, preferences, privileges and restrictions, qualifications or limitations of the Series G-3 Preferred Stock); or</w:t>
      </w:r>
    </w:p>
    <w:p>
      <w:pPr>
        <w:spacing w:after="0" w:line="187" w:lineRule="exact"/>
        <w:rPr>
          <w:sz w:val="20"/>
          <w:szCs w:val="20"/>
          <w:color w:val="auto"/>
        </w:rPr>
      </w:pPr>
    </w:p>
    <w:p>
      <w:pPr>
        <w:ind w:right="60" w:firstLine="1928"/>
        <w:spacing w:after="0" w:line="251" w:lineRule="auto"/>
        <w:rPr>
          <w:sz w:val="20"/>
          <w:szCs w:val="20"/>
          <w:color w:val="auto"/>
        </w:rPr>
      </w:pPr>
      <w:r>
        <w:rPr>
          <w:rFonts w:ascii="Times New Roman" w:cs="Times New Roman" w:eastAsia="Times New Roman" w:hAnsi="Times New Roman"/>
          <w:sz w:val="18"/>
          <w:szCs w:val="18"/>
          <w:color w:val="auto"/>
        </w:rPr>
        <w:t>3.4.2 increase the authorized number of shares of Series G-3 Preferred Stock or issue additional shares of Series G-3 Preferred Stock (or any securities or rights exercisable, convertible or exchangeable for any shares of Series G-3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(i) shares of Series G-3 Preferred Stock in order to pay any Series G-3 PIK Dividends, and (ii) any shares of Preferred Stock except the Series G-3 Preferred Stock other than the Series G-3 PIK Dividends).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00"/>
          </w:cols>
          <w:pgMar w:left="580" w:top="263" w:right="619" w:bottom="1440" w:gutter="0" w:footer="0" w:header="0"/>
        </w:sectPr>
      </w:pPr>
    </w:p>
    <w:bookmarkStart w:id="344" w:name="page345"/>
    <w:bookmarkEnd w:id="344"/>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Series G-2 Preferred Stock Protective Provisions</w:t>
      </w:r>
      <w:r>
        <w:rPr>
          <w:rFonts w:ascii="Times New Roman" w:cs="Times New Roman" w:eastAsia="Times New Roman" w:hAnsi="Times New Roman"/>
          <w:sz w:val="18"/>
          <w:szCs w:val="18"/>
          <w:color w:val="auto"/>
        </w:rPr>
        <w:t xml:space="preserve">. So long as any shares of Series G-2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G-2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3.5.1 amend, alter or repeal any provision of the Certificate of Incorporation, as amended, or the Bylaws of the Corporation in a manner that adversely affects the rights, preferences, privileges and restrictions, qualifications or limitations of the Series G-2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G-2 Preferred Stock shall not be deemed to constitute an amendment that adversely affects the rights, preferences, privileges and restrictions, qualifications or limitations of the Series G-2 Preferred Stock); or</w:t>
      </w:r>
    </w:p>
    <w:p>
      <w:pPr>
        <w:spacing w:after="0" w:line="187" w:lineRule="exact"/>
        <w:rPr>
          <w:sz w:val="20"/>
          <w:szCs w:val="20"/>
          <w:color w:val="auto"/>
        </w:rPr>
      </w:pPr>
    </w:p>
    <w:p>
      <w:pPr>
        <w:ind w:right="60" w:firstLine="1928"/>
        <w:spacing w:after="0" w:line="255" w:lineRule="auto"/>
        <w:rPr>
          <w:sz w:val="20"/>
          <w:szCs w:val="20"/>
          <w:color w:val="auto"/>
        </w:rPr>
      </w:pPr>
      <w:r>
        <w:rPr>
          <w:rFonts w:ascii="Times New Roman" w:cs="Times New Roman" w:eastAsia="Times New Roman" w:hAnsi="Times New Roman"/>
          <w:sz w:val="18"/>
          <w:szCs w:val="18"/>
          <w:color w:val="auto"/>
        </w:rPr>
        <w:t>3.5.2 increase the authorized number of shares of Series G-2 Preferred Stock or issue additional shares of Series G-2 Preferred Stock (or any securities or rights exercisable, convertible or exchangeable for any shares of Series G-2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G-2 Preferred Stock).</w:t>
      </w:r>
    </w:p>
    <w:p>
      <w:pPr>
        <w:spacing w:after="0" w:line="180" w:lineRule="exact"/>
        <w:rPr>
          <w:sz w:val="20"/>
          <w:szCs w:val="20"/>
          <w:color w:val="auto"/>
        </w:rPr>
      </w:pPr>
    </w:p>
    <w:p>
      <w:pPr>
        <w:ind w:right="8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Series G Preferred Stock Protective Provisions</w:t>
      </w:r>
      <w:r>
        <w:rPr>
          <w:rFonts w:ascii="Times New Roman" w:cs="Times New Roman" w:eastAsia="Times New Roman" w:hAnsi="Times New Roman"/>
          <w:sz w:val="18"/>
          <w:szCs w:val="18"/>
          <w:color w:val="auto"/>
        </w:rPr>
        <w:t xml:space="preserve">. So long as any shares of Series G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G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3.6.1 amend, alter or repeal any provision of the Certificate of Incorporation, as amended, or the Bylaws of the Corporation in a manner that adversely affects the rights, preferences, privileges and restrictions, qualifications or limitations of the Series G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G Preferred Stock shall not be deemed to constitute an amendment that adversely affects the rights, preferences, privileges and restrictions, qualifications or limitations of the Series G Preferred Stock); or</w:t>
      </w:r>
    </w:p>
    <w:p>
      <w:pPr>
        <w:spacing w:after="0" w:line="187" w:lineRule="exact"/>
        <w:rPr>
          <w:sz w:val="20"/>
          <w:szCs w:val="20"/>
          <w:color w:val="auto"/>
        </w:rPr>
      </w:pPr>
    </w:p>
    <w:p>
      <w:pPr>
        <w:jc w:val="both"/>
        <w:ind w:right="80" w:firstLine="1928"/>
        <w:spacing w:after="0" w:line="255" w:lineRule="auto"/>
        <w:rPr>
          <w:sz w:val="20"/>
          <w:szCs w:val="20"/>
          <w:color w:val="auto"/>
        </w:rPr>
      </w:pPr>
      <w:r>
        <w:rPr>
          <w:rFonts w:ascii="Times New Roman" w:cs="Times New Roman" w:eastAsia="Times New Roman" w:hAnsi="Times New Roman"/>
          <w:sz w:val="18"/>
          <w:szCs w:val="18"/>
          <w:color w:val="auto"/>
        </w:rPr>
        <w:t>3.6.2 increase the authorized number of shares of Series G Preferred Stock or issue additional shares of Series G Preferred Stock (or any securities or rights exercisable, convertible or exchangeable for any shares of Series G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G Preferred Stock).</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00"/>
          </w:cols>
          <w:pgMar w:left="580" w:top="265" w:right="619" w:bottom="1440" w:gutter="0" w:footer="0" w:header="0"/>
        </w:sectPr>
      </w:pPr>
    </w:p>
    <w:bookmarkStart w:id="345" w:name="page346"/>
    <w:bookmarkEnd w:id="345"/>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3.7 </w:t>
      </w:r>
      <w:r>
        <w:rPr>
          <w:rFonts w:ascii="Times New Roman" w:cs="Times New Roman" w:eastAsia="Times New Roman" w:hAnsi="Times New Roman"/>
          <w:sz w:val="18"/>
          <w:szCs w:val="18"/>
          <w:u w:val="single" w:color="auto"/>
          <w:color w:val="auto"/>
        </w:rPr>
        <w:t>Series F Preferred Stock Protective Provisions</w:t>
      </w:r>
      <w:r>
        <w:rPr>
          <w:rFonts w:ascii="Times New Roman" w:cs="Times New Roman" w:eastAsia="Times New Roman" w:hAnsi="Times New Roman"/>
          <w:sz w:val="18"/>
          <w:szCs w:val="18"/>
          <w:color w:val="auto"/>
        </w:rPr>
        <w:t xml:space="preserve">. So long as any shares of Series F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F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3.7.1 amend, alter or repeal any provision of the Certificate of Incorporation, as amended, or the Bylaws of the Corporation in a manner that adversely affects the rights, preferences, privileges and restrictions, qualifications or limitations of the Series F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F Preferred Stock shall not be deemed to constitute an amendment that adversely affects the rights, preferences, privileges and restrictions, qualifications or limitations of the Series F Preferred Stock); or</w:t>
      </w:r>
    </w:p>
    <w:p>
      <w:pPr>
        <w:spacing w:after="0" w:line="187" w:lineRule="exact"/>
        <w:rPr>
          <w:sz w:val="20"/>
          <w:szCs w:val="20"/>
          <w:color w:val="auto"/>
        </w:rPr>
      </w:pPr>
    </w:p>
    <w:p>
      <w:pPr>
        <w:jc w:val="both"/>
        <w:ind w:right="140" w:firstLine="1928"/>
        <w:spacing w:after="0" w:line="255" w:lineRule="auto"/>
        <w:rPr>
          <w:sz w:val="20"/>
          <w:szCs w:val="20"/>
          <w:color w:val="auto"/>
        </w:rPr>
      </w:pPr>
      <w:r>
        <w:rPr>
          <w:rFonts w:ascii="Times New Roman" w:cs="Times New Roman" w:eastAsia="Times New Roman" w:hAnsi="Times New Roman"/>
          <w:sz w:val="18"/>
          <w:szCs w:val="18"/>
          <w:color w:val="auto"/>
        </w:rPr>
        <w:t>3.7.2 increase the authorized number of shares of Series F Preferred Stock or issue additional shares of Series F Preferred Stock (or any securities or rights exercisable, convertible or exchangeable for any shares of Series F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F Preferred Stock).</w:t>
      </w:r>
    </w:p>
    <w:p>
      <w:pPr>
        <w:spacing w:after="0" w:line="180" w:lineRule="exact"/>
        <w:rPr>
          <w:sz w:val="20"/>
          <w:szCs w:val="20"/>
          <w:color w:val="auto"/>
        </w:rPr>
      </w:pPr>
    </w:p>
    <w:p>
      <w:pPr>
        <w:ind w:right="10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Series E Preferred Stock Protective Provisions</w:t>
      </w:r>
      <w:r>
        <w:rPr>
          <w:rFonts w:ascii="Times New Roman" w:cs="Times New Roman" w:eastAsia="Times New Roman" w:hAnsi="Times New Roman"/>
          <w:sz w:val="18"/>
          <w:szCs w:val="18"/>
          <w:color w:val="auto"/>
        </w:rPr>
        <w:t xml:space="preserve">. So long as any shares of Series E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 majority of the then-outstanding shares of Series E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3.8.1 amend, alter or repeal any provision of the Certificate of Incorporation, as amended, or the Bylaws of the Corporation in a manner that adversely affects the rights, preferences, privileges and restrictions, qualifications or limitations of the Series E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E Preferred Stock shall not be deemed to constitute an amendment that adversely affects the rights, preferences, privileges and restrictions, qualifications or limitations of the Series E Preferred Stock);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700"/>
          </w:cols>
          <w:pgMar w:left="580" w:top="265" w:right="619" w:bottom="1440" w:gutter="0" w:footer="0" w:header="0"/>
        </w:sectPr>
      </w:pPr>
    </w:p>
    <w:bookmarkStart w:id="346" w:name="page347"/>
    <w:bookmarkEnd w:id="346"/>
    <w:p>
      <w:pPr>
        <w:jc w:val="both"/>
        <w:ind w:right="120" w:firstLine="19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3.8.2 increase the authorized number of shares of Series E Preferred Stock or issue additional shares of Series E Preferred Stock (or any securities or rights exercisable, convertible or exchangeable for any shares of Series E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E Preferred Stock).</w:t>
      </w:r>
    </w:p>
    <w:p>
      <w:pPr>
        <w:spacing w:after="0" w:line="180" w:lineRule="exact"/>
        <w:rPr>
          <w:sz w:val="20"/>
          <w:szCs w:val="20"/>
          <w:color w:val="auto"/>
        </w:rPr>
      </w:pPr>
    </w:p>
    <w:p>
      <w:pPr>
        <w:ind w:right="6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Series D Preferred Stock Protective Provisions</w:t>
      </w:r>
      <w:r>
        <w:rPr>
          <w:rFonts w:ascii="Times New Roman" w:cs="Times New Roman" w:eastAsia="Times New Roman" w:hAnsi="Times New Roman"/>
          <w:sz w:val="18"/>
          <w:szCs w:val="18"/>
          <w:color w:val="auto"/>
        </w:rPr>
        <w:t xml:space="preserve">. So long as any shares of Series D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D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firstLine="1928"/>
        <w:spacing w:after="0" w:line="248" w:lineRule="auto"/>
        <w:rPr>
          <w:sz w:val="20"/>
          <w:szCs w:val="20"/>
          <w:color w:val="auto"/>
        </w:rPr>
      </w:pPr>
      <w:r>
        <w:rPr>
          <w:rFonts w:ascii="Times New Roman" w:cs="Times New Roman" w:eastAsia="Times New Roman" w:hAnsi="Times New Roman"/>
          <w:sz w:val="18"/>
          <w:szCs w:val="18"/>
          <w:color w:val="auto"/>
        </w:rPr>
        <w:t>3.9.1 amend, alter or repeal any provision of the Certificate of Incorporation, as amended, or the Bylaws of the Corporation in a manner that adversely affects the rights, preferences, privileges and restrictions, qualifications or limitations of the Series D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D Preferred Stock shall not be deemed to constitute an amendment that adversely affects the rights, preferences, privileges and restrictions, qualifications or limitations of the Series D Preferred Stock);</w:t>
      </w:r>
    </w:p>
    <w:p>
      <w:pPr>
        <w:spacing w:after="0" w:line="187" w:lineRule="exact"/>
        <w:rPr>
          <w:sz w:val="20"/>
          <w:szCs w:val="20"/>
          <w:color w:val="auto"/>
        </w:rPr>
      </w:pPr>
    </w:p>
    <w:p>
      <w:pPr>
        <w:jc w:val="both"/>
        <w:ind w:right="80" w:firstLine="1928"/>
        <w:spacing w:after="0" w:line="255" w:lineRule="auto"/>
        <w:rPr>
          <w:sz w:val="20"/>
          <w:szCs w:val="20"/>
          <w:color w:val="auto"/>
        </w:rPr>
      </w:pPr>
      <w:r>
        <w:rPr>
          <w:rFonts w:ascii="Times New Roman" w:cs="Times New Roman" w:eastAsia="Times New Roman" w:hAnsi="Times New Roman"/>
          <w:sz w:val="18"/>
          <w:szCs w:val="18"/>
          <w:color w:val="auto"/>
        </w:rPr>
        <w:t>3.9.2 increase the authorized number of shares of Series D Preferred Stock or issue additional shares of Series D Preferred Stock (or any securities or rights exercisable, convertible or exchangeable for any shares of Series D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D Preferred Stock); or</w:t>
      </w:r>
    </w:p>
    <w:p>
      <w:pPr>
        <w:spacing w:after="0" w:line="180" w:lineRule="exact"/>
        <w:rPr>
          <w:sz w:val="20"/>
          <w:szCs w:val="20"/>
          <w:color w:val="auto"/>
        </w:rPr>
      </w:pPr>
    </w:p>
    <w:p>
      <w:pPr>
        <w:ind w:right="220" w:firstLine="1928"/>
        <w:spacing w:after="0" w:line="255" w:lineRule="auto"/>
        <w:rPr>
          <w:sz w:val="20"/>
          <w:szCs w:val="20"/>
          <w:color w:val="auto"/>
        </w:rPr>
      </w:pPr>
      <w:r>
        <w:rPr>
          <w:rFonts w:ascii="Times New Roman" w:cs="Times New Roman" w:eastAsia="Times New Roman" w:hAnsi="Times New Roman"/>
          <w:sz w:val="18"/>
          <w:szCs w:val="18"/>
          <w:color w:val="auto"/>
        </w:rPr>
        <w:t>3.9.3 approve or enter into any agreement with respect to a Deemed Liquidation Event, or consummate a Deemed Liquidation Event, in which the per share amount paid with respect to each share of Series D Preferred Stock is less than $9.3739 (as adjusted for any stock splits, stock dividends, combinations, subdivisions, recapitalizations or the like).</w:t>
      </w:r>
    </w:p>
    <w:p>
      <w:pPr>
        <w:spacing w:after="0" w:line="180" w:lineRule="exact"/>
        <w:rPr>
          <w:sz w:val="20"/>
          <w:szCs w:val="20"/>
          <w:color w:val="auto"/>
        </w:rPr>
      </w:pPr>
    </w:p>
    <w:p>
      <w:pPr>
        <w:ind w:right="8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Series C Preferred Stock Protective Provisions</w:t>
      </w:r>
      <w:r>
        <w:rPr>
          <w:rFonts w:ascii="Times New Roman" w:cs="Times New Roman" w:eastAsia="Times New Roman" w:hAnsi="Times New Roman"/>
          <w:sz w:val="18"/>
          <w:szCs w:val="18"/>
          <w:color w:val="auto"/>
        </w:rPr>
        <w:t xml:space="preserve">. So long as any shares of Series C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sixty percent (60%) of the then-outstanding shares of Series C Preferred Stock given in writing or by vote at a meeting, consenting or voting (as the case may be) as a single class,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7" w:lineRule="exact"/>
        <w:rPr>
          <w:sz w:val="20"/>
          <w:szCs w:val="20"/>
          <w:color w:val="auto"/>
        </w:rPr>
      </w:pPr>
    </w:p>
    <w:p>
      <w:pPr>
        <w:ind w:right="800" w:firstLine="1928"/>
        <w:spacing w:after="0" w:line="267" w:lineRule="auto"/>
        <w:rPr>
          <w:sz w:val="20"/>
          <w:szCs w:val="20"/>
          <w:color w:val="auto"/>
        </w:rPr>
      </w:pPr>
      <w:r>
        <w:rPr>
          <w:rFonts w:ascii="Times New Roman" w:cs="Times New Roman" w:eastAsia="Times New Roman" w:hAnsi="Times New Roman"/>
          <w:sz w:val="18"/>
          <w:szCs w:val="18"/>
          <w:color w:val="auto"/>
        </w:rPr>
        <w:t>3.10.1 amend, alter or repeal any provision of the Certificate of Incorporation, as amended, or the Bylaws of the Corporation in a manner that adversely affects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580" w:top="265" w:right="619" w:bottom="1440" w:gutter="0" w:footer="0" w:header="0"/>
        </w:sectPr>
      </w:pPr>
    </w:p>
    <w:bookmarkStart w:id="347" w:name="page348"/>
    <w:bookmarkEnd w:id="347"/>
    <w:p>
      <w:pPr>
        <w:ind w:right="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rights, preferences, privileges and restrictions, qualifications or limitations of the Series C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C Preferred Stock shall not be deemed to constitute an amendment that adversely affects the rights, preferences, privileges and restrictions, qualifications or limitations of the Series C Preferred Stock); or</w:t>
      </w:r>
    </w:p>
    <w:p>
      <w:pPr>
        <w:spacing w:after="0" w:line="187" w:lineRule="exact"/>
        <w:rPr>
          <w:sz w:val="20"/>
          <w:szCs w:val="20"/>
          <w:color w:val="auto"/>
        </w:rPr>
      </w:pPr>
    </w:p>
    <w:p>
      <w:pPr>
        <w:ind w:firstLine="1928"/>
        <w:spacing w:after="0" w:line="255" w:lineRule="auto"/>
        <w:rPr>
          <w:sz w:val="20"/>
          <w:szCs w:val="20"/>
          <w:color w:val="auto"/>
        </w:rPr>
      </w:pPr>
      <w:r>
        <w:rPr>
          <w:rFonts w:ascii="Times New Roman" w:cs="Times New Roman" w:eastAsia="Times New Roman" w:hAnsi="Times New Roman"/>
          <w:sz w:val="18"/>
          <w:szCs w:val="18"/>
          <w:color w:val="auto"/>
        </w:rPr>
        <w:t>3.10.2 increase the authorized number of shares of Series C Preferred Stock or issue additional shares of Series C Preferred Stock (or any securities or rights exercisable, convertible or exchangeable for any shares of Series C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C Preferred Stock).</w:t>
      </w:r>
    </w:p>
    <w:p>
      <w:pPr>
        <w:spacing w:after="0" w:line="180" w:lineRule="exact"/>
        <w:rPr>
          <w:sz w:val="20"/>
          <w:szCs w:val="20"/>
          <w:color w:val="auto"/>
        </w:rPr>
      </w:pPr>
    </w:p>
    <w:p>
      <w:pPr>
        <w:ind w:firstLine="1393"/>
        <w:spacing w:after="0" w:line="247"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Other Preferred Stock Protective Provisions</w:t>
      </w:r>
      <w:r>
        <w:rPr>
          <w:rFonts w:ascii="Times New Roman" w:cs="Times New Roman" w:eastAsia="Times New Roman" w:hAnsi="Times New Roman"/>
          <w:sz w:val="18"/>
          <w:szCs w:val="18"/>
          <w:color w:val="auto"/>
        </w:rPr>
        <w:t xml:space="preserve">. So long as any shares of Series B-2 Preferred Stock, Series B-1 Preferred Stock, Series B Preferred Stock and Series A Preferred Stock remain outstanding, the Corporation shall not, either directly or indirectly, by amendment, merger, consolidation or otherwise, do any of the following without (in addition to any other vote required by law or this Restated Certificate) the written consent or affirmative vote of the holders of at least a majority of the then-outstanding shares of Series B-2 Preferred Stock, Series B-1 Preferred Stock, Series B Preferred Stock and Series A Preferred Stock given in writing or by vote at a meeting, consenting or voting (as the case may be) together as a single class as measured on the basis of voting power set forth in this Restated Certificate, and any such act or transaction entered into without such consent or vote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of no force or effect:</w:t>
      </w:r>
    </w:p>
    <w:p>
      <w:pPr>
        <w:spacing w:after="0" w:line="189" w:lineRule="exact"/>
        <w:rPr>
          <w:sz w:val="20"/>
          <w:szCs w:val="20"/>
          <w:color w:val="auto"/>
        </w:rPr>
      </w:pPr>
    </w:p>
    <w:p>
      <w:pPr>
        <w:ind w:right="20" w:firstLine="1928"/>
        <w:spacing w:after="0" w:line="247" w:lineRule="auto"/>
        <w:rPr>
          <w:sz w:val="20"/>
          <w:szCs w:val="20"/>
          <w:color w:val="auto"/>
        </w:rPr>
      </w:pPr>
      <w:r>
        <w:rPr>
          <w:rFonts w:ascii="Times New Roman" w:cs="Times New Roman" w:eastAsia="Times New Roman" w:hAnsi="Times New Roman"/>
          <w:sz w:val="18"/>
          <w:szCs w:val="18"/>
          <w:color w:val="auto"/>
        </w:rPr>
        <w:t>3.11.1 amend, alter or repeal any provision of the Certificate of Incorporation, as amended, or the Bylaws of the Corporation in a manner that adversely affects the rights, preferences, privileges and restrictions, qualifications or limitations of the Series B-2 Preferred Stock, Series B-1 Preferred Stock, Series B Preferred Stock and Series A Preferred Stock or the holders thereof with respect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creation, authorization or issuance of any shares of Preferred Stock with rights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rights, preferences, privileges and restrictions, qualifications or limitations of the Series B-2 Preferred Stock, Series B-1 Preferred Stock, Series B Preferred Stock or Series A Preferred Stock shall not be deemed to constitute an amendment that adversely affects the rights, preferences, privileges and restrictions, qualifications or limitations of the Series B-2 Preferred Stock, Series B-1 Preferred Stock, Series B Preferred Stock and Series A Preferred Stock; or</w:t>
      </w:r>
    </w:p>
    <w:p>
      <w:pPr>
        <w:spacing w:after="0" w:line="186" w:lineRule="exact"/>
        <w:rPr>
          <w:sz w:val="20"/>
          <w:szCs w:val="20"/>
          <w:color w:val="auto"/>
        </w:rPr>
      </w:pPr>
    </w:p>
    <w:p>
      <w:pPr>
        <w:ind w:right="220" w:firstLine="1928"/>
        <w:spacing w:after="0" w:line="248" w:lineRule="auto"/>
        <w:rPr>
          <w:sz w:val="20"/>
          <w:szCs w:val="20"/>
          <w:color w:val="auto"/>
        </w:rPr>
      </w:pPr>
      <w:r>
        <w:rPr>
          <w:rFonts w:ascii="Times New Roman" w:cs="Times New Roman" w:eastAsia="Times New Roman" w:hAnsi="Times New Roman"/>
          <w:sz w:val="18"/>
          <w:szCs w:val="18"/>
          <w:color w:val="auto"/>
        </w:rPr>
        <w:t>3.11.2 increase the authorized number of shares of Series B-2 Preferred Stock, Series B-1 Preferred Stock, Series B Preferred Stock or Series A Preferred Stock or issue additional shares of Series B-2 Preferred Stock, Series B-1 Preferred Stock, Series B Preferred Stock or Series A Preferred Stock (or any securities or rights exercisable, convertible or exchangeable for any shares of Series B-2 Preferred Stock, Series B-1 Preferred Stock, Series B Preferred Stock or Series A Preferred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the Corporation may create, authorize or issue any shares of Preferred Stock except the Series B-2 Preferred Stock, Series B-1 Preferred Stock, Series B Preferred Stock or Series A Preferred Stock).</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00"/>
          </w:cols>
          <w:pgMar w:left="580" w:top="266" w:right="619" w:bottom="1440" w:gutter="0" w:footer="0" w:header="0"/>
        </w:sectPr>
      </w:pPr>
    </w:p>
    <w:bookmarkStart w:id="348" w:name="page349"/>
    <w:bookmarkEnd w:id="348"/>
    <w:p>
      <w:pPr>
        <w:ind w:left="1400" w:right="740" w:hanging="428"/>
        <w:spacing w:after="0" w:line="489" w:lineRule="auto"/>
        <w:tabs>
          <w:tab w:leader="none" w:pos="127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Optional Conversion</w:t>
      </w:r>
      <w:r>
        <w:rPr>
          <w:rFonts w:ascii="Times New Roman" w:cs="Times New Roman" w:eastAsia="Times New Roman" w:hAnsi="Times New Roman"/>
          <w:sz w:val="18"/>
          <w:szCs w:val="18"/>
          <w:color w:val="auto"/>
        </w:rPr>
        <w:t>. The holders of the Preferred Stock shall have conversion rights as follows (the “</w:t>
      </w:r>
      <w:r>
        <w:rPr>
          <w:rFonts w:ascii="Times New Roman" w:cs="Times New Roman" w:eastAsia="Times New Roman" w:hAnsi="Times New Roman"/>
          <w:sz w:val="18"/>
          <w:szCs w:val="18"/>
          <w:b w:val="1"/>
          <w:bCs w:val="1"/>
          <w:i w:val="1"/>
          <w:iCs w:val="1"/>
          <w:color w:val="auto"/>
        </w:rPr>
        <w:t>Conversion Rights</w:t>
      </w:r>
      <w:r>
        <w:rPr>
          <w:rFonts w:ascii="Times New Roman" w:cs="Times New Roman" w:eastAsia="Times New Roman" w:hAnsi="Times New Roman"/>
          <w:sz w:val="18"/>
          <w:szCs w:val="18"/>
          <w:color w:val="auto"/>
        </w:rPr>
        <w:t xml:space="preserve">”): 4.1 </w:t>
      </w:r>
      <w:r>
        <w:rPr>
          <w:rFonts w:ascii="Times New Roman" w:cs="Times New Roman" w:eastAsia="Times New Roman" w:hAnsi="Times New Roman"/>
          <w:sz w:val="18"/>
          <w:szCs w:val="18"/>
          <w:u w:val="single" w:color="auto"/>
          <w:color w:val="auto"/>
        </w:rPr>
        <w:t>Right to Convert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right="20" w:firstLine="1928"/>
        <w:spacing w:after="0" w:line="24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Conversion Ratio</w:t>
      </w:r>
      <w:r>
        <w:rPr>
          <w:rFonts w:ascii="Times New Roman" w:cs="Times New Roman" w:eastAsia="Times New Roman" w:hAnsi="Times New Roman"/>
          <w:sz w:val="18"/>
          <w:szCs w:val="18"/>
          <w:color w:val="auto"/>
        </w:rPr>
        <w:t>. Each share of Preferred Stock (other than the Series B Preferred Stock) shall be convertible, at the option of the holder thereof, at any time and from time to time, and without the payment of additional consideration by the holder thereof, into such number of fully paid and non-assessable shares of Class A Common Stock as is determined by dividing the Original Issue Price for such series of Preferred Stock by the Conversion Price (as defined below) for such series of Preferred Stock in effect at the time of conversion. Each share of Series B Preferred Stock shall be convertible, at the option of the holder thereof, at any time and from time to time, and without the payment of additional consideration by the holder thereof, into such number of fully paid and non-assessable shares of Class B Common Stock as is determined by dividing the Original Issue Price for the Series B Preferred Stock by the Conversion Price (as defined below) for the Series B Preferred Stock in effect at the time of conversion. The shares of Class A Common Stock or Class B Common Stock, as applicable, into which shares of Preferred Stock are convertible are referred to herein as the “</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for each series of Preferred Stock shall initially mean the Original Issue Price for such series of Preferred Stock as in effect on the filing date hereof. Such initial Conversion Price and the rate at which shares of Preferred Stock may be converted into shares of Conversion Stock, shall be subject to adjustment as provided below.</w:t>
      </w:r>
    </w:p>
    <w:p>
      <w:pPr>
        <w:spacing w:after="0" w:line="196"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Termination of Conversion Rights</w:t>
      </w:r>
      <w:r>
        <w:rPr>
          <w:rFonts w:ascii="Times New Roman" w:cs="Times New Roman" w:eastAsia="Times New Roman" w:hAnsi="Times New Roman"/>
          <w:sz w:val="18"/>
          <w:szCs w:val="18"/>
          <w:color w:val="auto"/>
        </w:rPr>
        <w:t xml:space="preserve">. In the event of a notice of redemption of any shares of Series G-4 Preferred Stock, Series G-3 Preferred Stock, Series G-2 Preferred Stock, Series G Preferred Stock, Series F Preferred Stock, Series E Preferred Stock or Series D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Conversion Rights of the shares designated for redemption shall terminate at the close of business on the last full day preceding the date fixed for redemption, unless the applicable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9" w:lineRule="exact"/>
        <w:rPr>
          <w:sz w:val="20"/>
          <w:szCs w:val="20"/>
          <w:color w:val="auto"/>
        </w:rPr>
      </w:pPr>
    </w:p>
    <w:p>
      <w:pPr>
        <w:jc w:val="both"/>
        <w:ind w:right="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Conversion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shares of Conversion Stock and the aggregate number of shares of Conversion Stock issuable upon such conversion.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700"/>
          </w:cols>
          <w:pgMar w:left="580" w:top="261" w:right="619" w:bottom="1440" w:gutter="0" w:footer="0" w:header="0"/>
        </w:sectPr>
      </w:pPr>
    </w:p>
    <w:bookmarkStart w:id="349" w:name="page350"/>
    <w:bookmarkEnd w:id="349"/>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4.3</w:t>
      </w:r>
      <w:r>
        <w:rPr>
          <w:sz w:val="20"/>
          <w:szCs w:val="20"/>
          <w:color w:val="auto"/>
        </w:rPr>
        <w:tab/>
      </w:r>
      <w:r>
        <w:rPr>
          <w:rFonts w:ascii="Times New Roman" w:cs="Times New Roman" w:eastAsia="Times New Roman" w:hAnsi="Times New Roman"/>
          <w:sz w:val="16"/>
          <w:szCs w:val="16"/>
          <w:u w:val="single" w:color="auto"/>
          <w:color w:val="auto"/>
        </w:rPr>
        <w:t>Mechanics of Conversion</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firstLine="1928"/>
        <w:spacing w:after="0" w:line="244"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In order for a holder of Preferred Stock to voluntarily convert shares of Preferred Stock into shares of Conversion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Conversion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xml:space="preserve">”), and the shares of Conversion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Conversion Stock issuable upon such conversion in accordance with the provisions hereof and a certificate for the number (if any) of the shares of Preferred Stock represented by the surrendered certificate that were not converted into Conversion Stock, (ii) pay in cash such amount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lieu of any fraction of a share of Conversion Stock otherwise issuable upon such conversion, and (iii) pay all declared or accrued but unpaid dividends on the shares of Preferred Stock converted (including, without limitation, all accrued but unpaid Series G-4 PIK Dividends,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w:t>
      </w:r>
    </w:p>
    <w:p>
      <w:pPr>
        <w:spacing w:after="0" w:line="202"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4.3.2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Voting Common Stock as shall from time to time be sufficient to effect the conversion of all outstanding Preferred Stock, including the conversion of shares of Series G-4 Preferred Stock issuable as Series G-4 PIK Dividends and shares of Series G-3 Preferred Stock issuable as Series G-3 PIK Dividends; and if at any time the number of authorized but unissued shares of Voting Common Stock shall not be sufficient to effect the conversion of all then-outstanding shares of the Preferred Stock, the Corporation shall take such corporate action as may be necessary to increase its authorized but unissued shares of Voting Common Stock, as the case may be, to such number of shares as shall be sufficient for such purposes, including, without limitation, engaging in best efforts to obtain the requisite stockholder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700"/>
          </w:cols>
          <w:pgMar w:left="580" w:top="265" w:right="619" w:bottom="1440" w:gutter="0" w:footer="0" w:header="0"/>
        </w:sectPr>
      </w:pPr>
    </w:p>
    <w:bookmarkStart w:id="350" w:name="page351"/>
    <w:bookmarkEnd w:id="350"/>
    <w:p>
      <w:pPr>
        <w:ind w:right="1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approval of any necessary amendment to this Restated Certificate. Before taking any action which would cause an adjustment reducing the Conversion Price below the then par value of the shares of Voting Common Stock issuable upon conversion of the Preferred Stock, the Corporation will take any corporate action which may, in the opinion of its counsel, be necessary in order that the Corporation may validly and legally issue fully paid and non-assessable shares of Voting Common Stock at such adjusted Conversion Price.</w:t>
      </w:r>
    </w:p>
    <w:p>
      <w:pPr>
        <w:spacing w:after="0" w:line="184" w:lineRule="exact"/>
        <w:rPr>
          <w:sz w:val="20"/>
          <w:szCs w:val="20"/>
          <w:color w:val="auto"/>
        </w:rPr>
      </w:pPr>
    </w:p>
    <w:p>
      <w:pPr>
        <w:ind w:firstLine="1928"/>
        <w:spacing w:after="0" w:line="247" w:lineRule="auto"/>
        <w:rPr>
          <w:sz w:val="20"/>
          <w:szCs w:val="20"/>
          <w:color w:val="auto"/>
        </w:rPr>
      </w:pPr>
      <w:r>
        <w:rPr>
          <w:rFonts w:ascii="Times New Roman" w:cs="Times New Roman" w:eastAsia="Times New Roman" w:hAnsi="Times New Roman"/>
          <w:sz w:val="18"/>
          <w:szCs w:val="18"/>
          <w:color w:val="auto"/>
        </w:rPr>
        <w:t xml:space="preserve">4.3.3 </w:t>
      </w: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Conversion Stock in exchange therefor, to receive payment in lieu of any fraction of a share otherwise issuable upon such conversion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jc w:val="both"/>
        <w:ind w:right="360" w:firstLine="1928"/>
        <w:spacing w:after="0" w:line="331" w:lineRule="auto"/>
        <w:rPr>
          <w:sz w:val="20"/>
          <w:szCs w:val="20"/>
          <w:color w:val="auto"/>
        </w:rPr>
      </w:pPr>
      <w:r>
        <w:rPr>
          <w:rFonts w:ascii="Times New Roman" w:cs="Times New Roman" w:eastAsia="Times New Roman" w:hAnsi="Times New Roman"/>
          <w:sz w:val="16"/>
          <w:szCs w:val="16"/>
          <w:color w:val="auto"/>
        </w:rPr>
        <w:t xml:space="preserve">4.3.4 </w:t>
      </w:r>
      <w:r>
        <w:rPr>
          <w:rFonts w:ascii="Times New Roman" w:cs="Times New Roman" w:eastAsia="Times New Roman" w:hAnsi="Times New Roman"/>
          <w:sz w:val="16"/>
          <w:szCs w:val="16"/>
          <w:u w:val="single" w:color="auto"/>
          <w:color w:val="auto"/>
        </w:rPr>
        <w:t>No Further Adjustment</w:t>
      </w:r>
      <w:r>
        <w:rPr>
          <w:rFonts w:ascii="Times New Roman" w:cs="Times New Roman" w:eastAsia="Times New Roman" w:hAnsi="Times New Roman"/>
          <w:sz w:val="16"/>
          <w:szCs w:val="16"/>
          <w:color w:val="auto"/>
        </w:rPr>
        <w:t>. Upon any such conversion, no adjustment to the Conversion Price shall be made for any declared or accrued but unpaid dividends on the Preferred Stock surrendered for conversion or on the Conversion Stock delivered upon conversion.</w:t>
      </w:r>
    </w:p>
    <w:p>
      <w:pPr>
        <w:spacing w:after="0" w:line="123" w:lineRule="exact"/>
        <w:rPr>
          <w:sz w:val="20"/>
          <w:szCs w:val="20"/>
          <w:color w:val="auto"/>
        </w:rPr>
      </w:pPr>
    </w:p>
    <w:p>
      <w:pPr>
        <w:ind w:right="20" w:firstLine="1928"/>
        <w:spacing w:after="0" w:line="248" w:lineRule="auto"/>
        <w:rPr>
          <w:sz w:val="20"/>
          <w:szCs w:val="20"/>
          <w:color w:val="auto"/>
        </w:rPr>
      </w:pPr>
      <w:r>
        <w:rPr>
          <w:rFonts w:ascii="Times New Roman" w:cs="Times New Roman" w:eastAsia="Times New Roman" w:hAnsi="Times New Roman"/>
          <w:sz w:val="18"/>
          <w:szCs w:val="18"/>
          <w:color w:val="auto"/>
        </w:rPr>
        <w:t xml:space="preserve">4.3.5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The Corporation shall pay any and all issue and other similar taxes that may be payable in respect of any issuance or delivery of shares of Conversion Stock upon conversion of shares of Preferred Stock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shall not, however, be required to pay any tax which may be payable in respect of any transfer involved in the issuance and delivery of shares of Conversion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292" w:lineRule="exact"/>
        <w:rPr>
          <w:sz w:val="20"/>
          <w:szCs w:val="20"/>
          <w:color w:val="auto"/>
        </w:rPr>
      </w:pPr>
    </w:p>
    <w:p>
      <w:pPr>
        <w:ind w:left="1400"/>
        <w:spacing w:after="0"/>
        <w:tabs>
          <w:tab w:leader="none" w:pos="17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6"/>
          <w:szCs w:val="16"/>
          <w:u w:val="single" w:color="auto"/>
          <w:color w:val="auto"/>
        </w:rPr>
        <w:t>Adjustments to Conversion Price for Diluting Issues</w:t>
      </w:r>
      <w:r>
        <w:rPr>
          <w:rFonts w:ascii="Times New Roman" w:cs="Times New Roman" w:eastAsia="Times New Roman" w:hAnsi="Times New Roman"/>
          <w:sz w:val="16"/>
          <w:szCs w:val="16"/>
          <w:color w:val="auto"/>
        </w:rPr>
        <w:t>.</w:t>
      </w:r>
    </w:p>
    <w:p>
      <w:pPr>
        <w:spacing w:after="0" w:line="108"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6"/>
          <w:szCs w:val="16"/>
          <w:u w:val="single" w:color="auto"/>
          <w:color w:val="auto"/>
        </w:rPr>
        <w:t>Special Definitions</w:t>
      </w:r>
      <w:r>
        <w:rPr>
          <w:rFonts w:ascii="Times New Roman" w:cs="Times New Roman" w:eastAsia="Times New Roman" w:hAnsi="Times New Roman"/>
          <w:sz w:val="16"/>
          <w:szCs w:val="16"/>
          <w:color w:val="auto"/>
        </w:rPr>
        <w:t>. For purposes of this Article Seventh, the following definitions shall apply:</w:t>
      </w:r>
    </w:p>
    <w:p>
      <w:pPr>
        <w:spacing w:after="0" w:line="209" w:lineRule="exact"/>
        <w:rPr>
          <w:sz w:val="20"/>
          <w:szCs w:val="20"/>
          <w:color w:val="auto"/>
        </w:rPr>
      </w:pPr>
    </w:p>
    <w:p>
      <w:pPr>
        <w:ind w:left="1940"/>
        <w:spacing w:after="0"/>
        <w:tabs>
          <w:tab w:leader="none" w:pos="2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Option</w:t>
      </w:r>
      <w:r>
        <w:rPr>
          <w:rFonts w:ascii="Times New Roman" w:cs="Times New Roman" w:eastAsia="Times New Roman" w:hAnsi="Times New Roman"/>
          <w:sz w:val="16"/>
          <w:szCs w:val="16"/>
          <w:color w:val="auto"/>
        </w:rPr>
        <w:t>” means rights, options or warrants to subscribe for, purchase or otherwise acquire Common Stock 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Securities.</w:t>
      </w:r>
    </w:p>
    <w:p>
      <w:pPr>
        <w:spacing w:after="0" w:line="191" w:lineRule="exact"/>
        <w:rPr>
          <w:sz w:val="20"/>
          <w:szCs w:val="20"/>
          <w:color w:val="auto"/>
        </w:rPr>
      </w:pPr>
    </w:p>
    <w:p>
      <w:pPr>
        <w:ind w:left="1940"/>
        <w:spacing w:after="0"/>
        <w:tabs>
          <w:tab w:leader="none" w:pos="2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Original Issue Date</w:t>
      </w:r>
      <w:r>
        <w:rPr>
          <w:rFonts w:ascii="Times New Roman" w:cs="Times New Roman" w:eastAsia="Times New Roman" w:hAnsi="Times New Roman"/>
          <w:sz w:val="16"/>
          <w:szCs w:val="16"/>
          <w:color w:val="auto"/>
        </w:rPr>
        <w:t>” for a series of Preferred Stock means the date on which the first share of such series of Preferred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was issued.</w:t>
      </w:r>
    </w:p>
    <w:p>
      <w:pPr>
        <w:spacing w:after="0" w:line="191" w:lineRule="exact"/>
        <w:rPr>
          <w:sz w:val="20"/>
          <w:szCs w:val="20"/>
          <w:color w:val="auto"/>
        </w:rPr>
      </w:pPr>
    </w:p>
    <w:p>
      <w:pPr>
        <w:ind w:right="700" w:firstLine="1936"/>
        <w:spacing w:after="0" w:line="272" w:lineRule="auto"/>
        <w:tabs>
          <w:tab w:leader="none" w:pos="229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means any evidences of indebtedness, shares or other securities directly or indirectly convertible into or exchangeable for Common Stock, but excluding Options.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20"/>
          </w:cols>
          <w:pgMar w:left="580" w:top="265" w:right="599" w:bottom="1440" w:gutter="0" w:footer="0" w:header="0"/>
        </w:sectPr>
      </w:pPr>
    </w:p>
    <w:bookmarkStart w:id="351" w:name="page352"/>
    <w:bookmarkEnd w:id="351"/>
    <w:p>
      <w:pPr>
        <w:jc w:val="both"/>
        <w:ind w:firstLine="1936"/>
        <w:spacing w:after="0" w:line="253" w:lineRule="auto"/>
        <w:tabs>
          <w:tab w:leader="none" w:pos="230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Additional Shares of Common Stock</w:t>
      </w:r>
      <w:r>
        <w:rPr>
          <w:rFonts w:ascii="Times New Roman" w:cs="Times New Roman" w:eastAsia="Times New Roman" w:hAnsi="Times New Roman"/>
          <w:sz w:val="18"/>
          <w:szCs w:val="18"/>
          <w:color w:val="auto"/>
        </w:rPr>
        <w:t xml:space="preserve">” means all shares of Common Stock issued (or,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below, deemed to be issued) by the Corporation after the Original Issue Date of the Series G-4 Preferred Stock,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8"/>
          <w:szCs w:val="18"/>
          <w:b w:val="1"/>
          <w:bCs w:val="1"/>
          <w:i w:val="1"/>
          <w:iCs w:val="1"/>
          <w:color w:val="auto"/>
        </w:rPr>
        <w:t>Exempted Securities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380" w:firstLine="2364"/>
        <w:spacing w:after="0" w:line="267" w:lineRule="auto"/>
        <w:tabs>
          <w:tab w:leader="none" w:pos="2697"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as a dividend or distribution on Preferred Stock, including without limitation, the Series G-4 PIK Dividends and the Series G-3 PIK Dividends;</w:t>
      </w:r>
    </w:p>
    <w:p>
      <w:pPr>
        <w:spacing w:after="0" w:line="169" w:lineRule="exact"/>
        <w:rPr>
          <w:rFonts w:ascii="Times New Roman" w:cs="Times New Roman" w:eastAsia="Times New Roman" w:hAnsi="Times New Roman"/>
          <w:sz w:val="18"/>
          <w:szCs w:val="18"/>
          <w:color w:val="auto"/>
        </w:rPr>
      </w:pPr>
    </w:p>
    <w:p>
      <w:pPr>
        <w:ind w:right="140" w:firstLine="2364"/>
        <w:spacing w:after="0" w:line="267" w:lineRule="auto"/>
        <w:tabs>
          <w:tab w:leader="none" w:pos="274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w:t>
      </w:r>
    </w:p>
    <w:p>
      <w:pPr>
        <w:spacing w:after="0" w:line="169" w:lineRule="exact"/>
        <w:rPr>
          <w:rFonts w:ascii="Times New Roman" w:cs="Times New Roman" w:eastAsia="Times New Roman" w:hAnsi="Times New Roman"/>
          <w:sz w:val="18"/>
          <w:szCs w:val="18"/>
          <w:color w:val="auto"/>
        </w:rPr>
      </w:pPr>
    </w:p>
    <w:p>
      <w:pPr>
        <w:ind w:right="100" w:firstLine="2364"/>
        <w:spacing w:after="0" w:line="267" w:lineRule="auto"/>
        <w:tabs>
          <w:tab w:leader="none" w:pos="279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upon the conversion or exercise of Options, Convertible Securities or other rights to acquire securities of the Corporation;</w:t>
      </w:r>
    </w:p>
    <w:p>
      <w:pPr>
        <w:spacing w:after="0" w:line="169" w:lineRule="exact"/>
        <w:rPr>
          <w:rFonts w:ascii="Times New Roman" w:cs="Times New Roman" w:eastAsia="Times New Roman" w:hAnsi="Times New Roman"/>
          <w:sz w:val="18"/>
          <w:szCs w:val="18"/>
          <w:color w:val="auto"/>
        </w:rPr>
      </w:pPr>
    </w:p>
    <w:p>
      <w:pPr>
        <w:ind w:right="180" w:firstLine="2364"/>
        <w:spacing w:after="0" w:line="267" w:lineRule="auto"/>
        <w:tabs>
          <w:tab w:leader="none" w:pos="27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Nonvoting Common Stock or Options issued to employees or directors of, or consultants or advisors to, the Corporation or any of its subsidiaries pursuant to an equity incentive plan, agreement or arrangement approved by the Board;</w:t>
      </w:r>
    </w:p>
    <w:p>
      <w:pPr>
        <w:spacing w:after="0" w:line="169" w:lineRule="exact"/>
        <w:rPr>
          <w:rFonts w:ascii="Times New Roman" w:cs="Times New Roman" w:eastAsia="Times New Roman" w:hAnsi="Times New Roman"/>
          <w:sz w:val="18"/>
          <w:szCs w:val="18"/>
          <w:color w:val="auto"/>
        </w:rPr>
      </w:pPr>
    </w:p>
    <w:p>
      <w:pPr>
        <w:ind w:right="20" w:firstLine="2364"/>
        <w:spacing w:after="0" w:line="331" w:lineRule="auto"/>
        <w:tabs>
          <w:tab w:leader="none" w:pos="2736"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w:t>
      </w:r>
    </w:p>
    <w:p>
      <w:pPr>
        <w:spacing w:after="0" w:line="122" w:lineRule="exact"/>
        <w:rPr>
          <w:rFonts w:ascii="Times New Roman" w:cs="Times New Roman" w:eastAsia="Times New Roman" w:hAnsi="Times New Roman"/>
          <w:sz w:val="16"/>
          <w:szCs w:val="16"/>
          <w:color w:val="auto"/>
        </w:rPr>
      </w:pPr>
    </w:p>
    <w:p>
      <w:pPr>
        <w:ind w:right="120" w:firstLine="2364"/>
        <w:spacing w:after="0" w:line="267" w:lineRule="auto"/>
        <w:tabs>
          <w:tab w:leader="none" w:pos="27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to suppliers or third-party service-providers in connection with the provision of goods or services pursuant to transactions approved by the Board;</w:t>
      </w:r>
    </w:p>
    <w:p>
      <w:pPr>
        <w:spacing w:after="0" w:line="169" w:lineRule="exact"/>
        <w:rPr>
          <w:rFonts w:ascii="Times New Roman" w:cs="Times New Roman" w:eastAsia="Times New Roman" w:hAnsi="Times New Roman"/>
          <w:sz w:val="18"/>
          <w:szCs w:val="18"/>
          <w:color w:val="auto"/>
        </w:rPr>
      </w:pPr>
    </w:p>
    <w:p>
      <w:pPr>
        <w:ind w:right="220" w:firstLine="2364"/>
        <w:spacing w:after="0" w:line="255" w:lineRule="auto"/>
        <w:tabs>
          <w:tab w:leader="none" w:pos="283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w:t>
      </w:r>
    </w:p>
    <w:p>
      <w:pPr>
        <w:spacing w:after="0" w:line="180" w:lineRule="exact"/>
        <w:rPr>
          <w:rFonts w:ascii="Times New Roman" w:cs="Times New Roman" w:eastAsia="Times New Roman" w:hAnsi="Times New Roman"/>
          <w:sz w:val="18"/>
          <w:szCs w:val="18"/>
          <w:color w:val="auto"/>
        </w:rPr>
      </w:pPr>
    </w:p>
    <w:p>
      <w:pPr>
        <w:ind w:right="380" w:firstLine="2364"/>
        <w:spacing w:after="0" w:line="331" w:lineRule="auto"/>
        <w:tabs>
          <w:tab w:leader="none" w:pos="288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Options or Convertible Securities issued in connection with sponsored research collaboration, technology license, development, OEM, marketing or other similar agreements or strategic partnerships approved by the Board;</w:t>
      </w:r>
    </w:p>
    <w:p>
      <w:pPr>
        <w:spacing w:after="0" w:line="122" w:lineRule="exact"/>
        <w:rPr>
          <w:rFonts w:ascii="Times New Roman" w:cs="Times New Roman" w:eastAsia="Times New Roman" w:hAnsi="Times New Roman"/>
          <w:sz w:val="16"/>
          <w:szCs w:val="16"/>
          <w:color w:val="auto"/>
        </w:rPr>
      </w:pPr>
    </w:p>
    <w:p>
      <w:pPr>
        <w:ind w:left="2800" w:hanging="436"/>
        <w:spacing w:after="0"/>
        <w:tabs>
          <w:tab w:leader="none" w:pos="280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Options or Convertible Securities issued in connection with a Deemed Liquidation</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680"/>
          </w:cols>
          <w:pgMar w:left="580" w:top="261" w:right="639" w:bottom="1440" w:gutter="0" w:footer="0" w:header="0"/>
        </w:sectPr>
      </w:pPr>
    </w:p>
    <w:bookmarkStart w:id="352" w:name="page353"/>
    <w:bookmarkEnd w:id="352"/>
    <w:p>
      <w:pPr>
        <w:ind w:left="2740" w:hanging="376"/>
        <w:spacing w:after="0"/>
        <w:tabs>
          <w:tab w:leader="none" w:pos="274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shares of Common Stock sold to the public in a Public Offering (as defined in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or Qualifying Public</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Offering (as defined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firstLine="1928"/>
        <w:spacing w:after="0" w:line="276" w:lineRule="auto"/>
        <w:rPr>
          <w:sz w:val="20"/>
          <w:szCs w:val="20"/>
          <w:color w:val="auto"/>
        </w:rPr>
      </w:pPr>
      <w:r>
        <w:rPr>
          <w:rFonts w:ascii="Times New Roman" w:cs="Times New Roman" w:eastAsia="Times New Roman" w:hAnsi="Times New Roman"/>
          <w:sz w:val="16"/>
          <w:szCs w:val="16"/>
          <w:color w:val="auto"/>
        </w:rPr>
        <w:t xml:space="preserve">4.4.2 </w:t>
      </w:r>
      <w:r>
        <w:rPr>
          <w:rFonts w:ascii="Times New Roman" w:cs="Times New Roman" w:eastAsia="Times New Roman" w:hAnsi="Times New Roman"/>
          <w:sz w:val="16"/>
          <w:szCs w:val="16"/>
          <w:u w:val="single" w:color="auto"/>
          <w:color w:val="auto"/>
        </w:rPr>
        <w:t>No Adjustment of Conversion Price</w:t>
      </w:r>
      <w:r>
        <w:rPr>
          <w:rFonts w:ascii="Times New Roman" w:cs="Times New Roman" w:eastAsia="Times New Roman" w:hAnsi="Times New Roman"/>
          <w:sz w:val="16"/>
          <w:szCs w:val="16"/>
          <w:color w:val="auto"/>
        </w:rPr>
        <w:t>. No adjustment (A) in the Series A Conversion Price, Series B Conversion Price, Series B-1 Conversion Price, or Series B-2 Conversion Price, as the case may be, shall be made as the result of the issuance or deemed issuance of Additional Shares of Common Stock if the Corporation receives written notice from the holders of a majority of the then outstanding shares of Series A Preferred Stock, Series B Preferred Stock, Series B-1 Preferred Stock and Series B-2 Preferred Stock, voting together as a single class as measured on the basis of voting power set forth in this Restated Certificate, (B) in the Series C Conversion Price shall be made as the result of the issuance or deemed issuance of Additional Shares of Common Stock if the Corporation receives written notice from the holders of at least sixty percent (60%) of the then outstanding shares of Series C Preferred Stock, (C) in the Series D Conversion Price shall be made as the result of the issuance or deemed issuance of Additional Shares of Common Stock if the Corporation receives written notice from the holders of at least sixty percent (60%) of the then outstanding shares of Series D Preferred Stock, (D) in the Series E Conversion Price shall be made as the result of the issuance or deemed issuance of Additional Shares of Common Stock if the Corporation receives written notice from the holders of a majority of the then outstanding shares of Series E Preferred Stock, (E) in the Series F Conversion Price shall be made as the result of the issuance or deemed issuance of Additional Shares of Common Stock if the Corporation receives written notice from the holders of a majority of the then outstanding shares of Series F Preferred Stock, (F) in the Series G Conversion Price shall be made as the result of the issuance or deemed issuance of Additional Shares of Common Stock if the Corporation receives written notice from the holders of a majority of the then outstanding shares of Series G Preferred Stock, (G) in the Series G-2 Conversion Price shall be made as the result of the issuance or deemed issuance of Additional Shares of Common Stock if the Corporation receives written notice from the holders of a majority of the then outstanding shares of Series G-2 Preferred Stock, (H) in the Series G-3 Conversion Price shall be made as the result of the issuance or deemed issuance of Additional Shares of Common Stock if the Corporation receives written notice from the holders of a majority of the then outstanding shares of Series G-3 Preferred Stock, and (I) in the Series G-4 Conversion Price shall be made as the result of the issuance or deemed issuance of Additional Shares of Common Stock if the Corporation receives written notice from the holders of a majority of the then outstanding shares of Series G-4 Preferred Stock, respectively, agreeing that no such adjustment shall be made as the result of the issuance or deemed issuance of such Additional Shares of Common Stock, which election may be applied prospectively or retroactively and either generally or in a particular instance.</w:t>
      </w:r>
    </w:p>
    <w:p>
      <w:pPr>
        <w:spacing w:after="0" w:line="390" w:lineRule="exact"/>
        <w:rPr>
          <w:sz w:val="20"/>
          <w:szCs w:val="20"/>
          <w:color w:val="auto"/>
        </w:rPr>
      </w:pPr>
    </w:p>
    <w:p>
      <w:pPr>
        <w:ind w:left="1940"/>
        <w:spacing w:after="0"/>
        <w:tabs>
          <w:tab w:leader="none" w:pos="2440"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6"/>
          <w:szCs w:val="16"/>
          <w:u w:val="single" w:color="auto"/>
          <w:color w:val="auto"/>
        </w:rPr>
        <w:t>Deemed Issue of Additional Shares of Common Stock</w:t>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ind w:right="80" w:firstLine="1936"/>
        <w:spacing w:after="0" w:line="251" w:lineRule="auto"/>
        <w:tabs>
          <w:tab w:leader="none" w:pos="229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at any time or from time to time after the Original Issue Date of the Series G-4 Preferred Stock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700"/>
          </w:cols>
          <w:pgMar w:left="580" w:top="265" w:right="619" w:bottom="1440" w:gutter="0" w:footer="0" w:header="0"/>
        </w:sectPr>
      </w:pPr>
    </w:p>
    <w:bookmarkStart w:id="353" w:name="page354"/>
    <w:bookmarkEnd w:id="353"/>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84" w:lineRule="exact"/>
        <w:rPr>
          <w:sz w:val="20"/>
          <w:szCs w:val="20"/>
          <w:color w:val="auto"/>
        </w:rPr>
      </w:pPr>
    </w:p>
    <w:p>
      <w:pPr>
        <w:ind w:firstLine="1936"/>
        <w:spacing w:after="0" w:line="245" w:lineRule="auto"/>
        <w:tabs>
          <w:tab w:leader="none" w:pos="230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the issuance of which resulted in an adjustment to the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have the effect of increasing a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93" w:lineRule="exact"/>
        <w:rPr>
          <w:rFonts w:ascii="Times New Roman" w:cs="Times New Roman" w:eastAsia="Times New Roman" w:hAnsi="Times New Roman"/>
          <w:sz w:val="18"/>
          <w:szCs w:val="18"/>
          <w:color w:val="auto"/>
        </w:rPr>
      </w:pPr>
    </w:p>
    <w:p>
      <w:pPr>
        <w:ind w:right="100" w:firstLine="1936"/>
        <w:spacing w:after="0" w:line="245" w:lineRule="auto"/>
        <w:tabs>
          <w:tab w:leader="none" w:pos="2297"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(either because the consideration per share (determined pursuant to </w:t>
      </w:r>
      <w:r>
        <w:rPr>
          <w:rFonts w:ascii="Times New Roman" w:cs="Times New Roman" w:eastAsia="Times New Roman" w:hAnsi="Times New Roman"/>
          <w:sz w:val="18"/>
          <w:szCs w:val="18"/>
          <w:u w:val="single" w:color="auto"/>
          <w:color w:val="auto"/>
        </w:rPr>
        <w:t>Section 4.4.5</w:t>
      </w:r>
      <w:r>
        <w:rPr>
          <w:rFonts w:ascii="Times New Roman" w:cs="Times New Roman" w:eastAsia="Times New Roman" w:hAnsi="Times New Roman"/>
          <w:sz w:val="18"/>
          <w:szCs w:val="18"/>
          <w:color w:val="auto"/>
        </w:rPr>
        <w:t xml:space="preserve">) of the Additional Shares of Common Stock subject thereto was equal to or greater than the applicable Conversion Price then in effect, or because such Option or Convertible Security was issued before the Original Issue Date of the Series G-4 Preferred Stock), are revised after the Original Issue Date of the Series G-4 Preferred Stock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8"/>
          <w:szCs w:val="18"/>
          <w:u w:val="single" w:color="auto"/>
          <w:color w:val="auto"/>
        </w:rPr>
        <w:t>Section 4.4.3(a)</w:t>
      </w:r>
      <w:r>
        <w:rPr>
          <w:rFonts w:ascii="Times New Roman" w:cs="Times New Roman" w:eastAsia="Times New Roman" w:hAnsi="Times New Roman"/>
          <w:sz w:val="18"/>
          <w:szCs w:val="18"/>
          <w:color w:val="auto"/>
        </w:rPr>
        <w:t>) shall be deemed to have been issued effective upon such increase or decrease becoming effective.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700"/>
          </w:cols>
          <w:pgMar w:left="580" w:top="265" w:right="619" w:bottom="1440" w:gutter="0" w:footer="0" w:header="0"/>
        </w:sectPr>
      </w:pPr>
    </w:p>
    <w:bookmarkStart w:id="354" w:name="page355"/>
    <w:bookmarkEnd w:id="354"/>
    <w:p>
      <w:pPr>
        <w:ind w:right="40" w:firstLine="1936"/>
        <w:spacing w:after="0" w:line="251" w:lineRule="auto"/>
        <w:tabs>
          <w:tab w:leader="none" w:pos="23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Upon the expiration or termination of any unexercised Option or unconverted or unexchanged Convertible Security (or portion thereof) which resulted (either upon its original issuance or upon a revision of its terms) in an adjustment to a Conversion Price pursuant to the terms of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the applicable Conversion Price shall be readjusted to such Conversion Price as would have obtained had such Option or Convertible Security (or portion thereof) never been issued.</w:t>
      </w:r>
    </w:p>
    <w:p>
      <w:pPr>
        <w:spacing w:after="0" w:line="184" w:lineRule="exact"/>
        <w:rPr>
          <w:rFonts w:ascii="Times New Roman" w:cs="Times New Roman" w:eastAsia="Times New Roman" w:hAnsi="Times New Roman"/>
          <w:sz w:val="18"/>
          <w:szCs w:val="18"/>
          <w:color w:val="auto"/>
        </w:rPr>
      </w:pPr>
    </w:p>
    <w:p>
      <w:pPr>
        <w:ind w:firstLine="1936"/>
        <w:spacing w:after="0" w:line="245" w:lineRule="auto"/>
        <w:tabs>
          <w:tab w:leader="none" w:pos="229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96" w:lineRule="exact"/>
        <w:rPr>
          <w:sz w:val="20"/>
          <w:szCs w:val="20"/>
          <w:color w:val="auto"/>
        </w:rPr>
      </w:pPr>
    </w:p>
    <w:p>
      <w:pPr>
        <w:ind w:firstLine="1928"/>
        <w:spacing w:after="0" w:line="249" w:lineRule="auto"/>
        <w:rPr>
          <w:sz w:val="20"/>
          <w:szCs w:val="20"/>
          <w:color w:val="auto"/>
        </w:rPr>
      </w:pPr>
      <w:r>
        <w:rPr>
          <w:rFonts w:ascii="Times New Roman" w:cs="Times New Roman" w:eastAsia="Times New Roman" w:hAnsi="Times New Roman"/>
          <w:sz w:val="18"/>
          <w:szCs w:val="18"/>
          <w:color w:val="auto"/>
        </w:rPr>
        <w:t xml:space="preserve">4.4.4 </w:t>
      </w:r>
      <w:r>
        <w:rPr>
          <w:rFonts w:ascii="Times New Roman" w:cs="Times New Roman" w:eastAsia="Times New Roman" w:hAnsi="Times New Roman"/>
          <w:sz w:val="18"/>
          <w:szCs w:val="18"/>
          <w:u w:val="single" w:color="auto"/>
          <w:color w:val="auto"/>
        </w:rPr>
        <w:t>Adjustment of Conversion Price Upon Issuance of Additional Shares of Common Stock</w:t>
      </w:r>
      <w:r>
        <w:rPr>
          <w:rFonts w:ascii="Times New Roman" w:cs="Times New Roman" w:eastAsia="Times New Roman" w:hAnsi="Times New Roman"/>
          <w:sz w:val="18"/>
          <w:szCs w:val="18"/>
          <w:color w:val="auto"/>
        </w:rPr>
        <w:t xml:space="preserve">. In the event the Corporation shall at any time after the Original Issue Date of the Series G-4 Preferred Stock issue Additional Shares of Common Stock (including Additional Shares of Common Stock deemed to be issued pursuant to </w:t>
      </w:r>
      <w:r>
        <w:rPr>
          <w:rFonts w:ascii="Times New Roman" w:cs="Times New Roman" w:eastAsia="Times New Roman" w:hAnsi="Times New Roman"/>
          <w:sz w:val="18"/>
          <w:szCs w:val="18"/>
          <w:u w:val="single" w:color="auto"/>
          <w:color w:val="auto"/>
        </w:rPr>
        <w:t>Section 4.4.3</w:t>
      </w:r>
      <w:r>
        <w:rPr>
          <w:rFonts w:ascii="Times New Roman" w:cs="Times New Roman" w:eastAsia="Times New Roman" w:hAnsi="Times New Roman"/>
          <w:sz w:val="18"/>
          <w:szCs w:val="18"/>
          <w:color w:val="auto"/>
        </w:rPr>
        <w:t>), without consideration or for a consideration per share less than the applicable Conversion Price in effect immediately prior to such issue, then such Conversion Price shall be reduced, concurrently with such issue, to a price (calculated to the nearest one-hundredth of a cent) determined in accordance with the following formula:</w:t>
      </w:r>
    </w:p>
    <w:p>
      <w:pPr>
        <w:spacing w:after="0" w:line="8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 + B) ÷ (A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 the following definitions shall apply:</w:t>
      </w:r>
    </w:p>
    <w:p>
      <w:pPr>
        <w:spacing w:after="0" w:line="105" w:lineRule="exact"/>
        <w:rPr>
          <w:sz w:val="20"/>
          <w:szCs w:val="20"/>
          <w:color w:val="auto"/>
        </w:rPr>
      </w:pPr>
    </w:p>
    <w:p>
      <w:pPr>
        <w:ind w:left="1940"/>
        <w:spacing w:after="0"/>
        <w:tabs>
          <w:tab w:leader="none" w:pos="22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CP</w:t>
      </w:r>
      <w:r>
        <w:rPr>
          <w:rFonts w:ascii="Times New Roman" w:cs="Times New Roman" w:eastAsia="Times New Roman" w:hAnsi="Times New Roman"/>
          <w:sz w:val="25"/>
          <w:szCs w:val="25"/>
          <w:b w:val="1"/>
          <w:bCs w:val="1"/>
          <w:i w:val="1"/>
          <w:iCs w:val="1"/>
          <w:color w:val="auto"/>
          <w:vertAlign w:val="subscript"/>
        </w:rPr>
        <w:t>2</w:t>
      </w:r>
      <w:r>
        <w:rPr>
          <w:rFonts w:ascii="Times New Roman" w:cs="Times New Roman" w:eastAsia="Times New Roman" w:hAnsi="Times New Roman"/>
          <w:sz w:val="17"/>
          <w:szCs w:val="17"/>
          <w:color w:val="auto"/>
        </w:rPr>
        <w:t>” shall mean the applicable Conversion Price in effect immediately after such issue of Additional Shares of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85" w:lineRule="exact"/>
        <w:rPr>
          <w:sz w:val="20"/>
          <w:szCs w:val="20"/>
          <w:color w:val="auto"/>
        </w:rPr>
      </w:pPr>
    </w:p>
    <w:p>
      <w:pPr>
        <w:ind w:left="1940"/>
        <w:spacing w:after="0"/>
        <w:tabs>
          <w:tab w:leader="none" w:pos="230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CP</w:t>
      </w:r>
      <w:r>
        <w:rPr>
          <w:rFonts w:ascii="Times New Roman" w:cs="Times New Roman" w:eastAsia="Times New Roman" w:hAnsi="Times New Roman"/>
          <w:sz w:val="25"/>
          <w:szCs w:val="25"/>
          <w:b w:val="1"/>
          <w:bCs w:val="1"/>
          <w:i w:val="1"/>
          <w:iCs w:val="1"/>
          <w:color w:val="auto"/>
          <w:vertAlign w:val="subscript"/>
        </w:rPr>
        <w:t>1</w:t>
      </w:r>
      <w:r>
        <w:rPr>
          <w:rFonts w:ascii="Times New Roman" w:cs="Times New Roman" w:eastAsia="Times New Roman" w:hAnsi="Times New Roman"/>
          <w:sz w:val="17"/>
          <w:szCs w:val="17"/>
          <w:color w:val="auto"/>
        </w:rPr>
        <w:t>” shall mean the applicable Conversion Price in effect immediately prior to such issue of Additional Shares of</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189" w:lineRule="exact"/>
        <w:rPr>
          <w:sz w:val="20"/>
          <w:szCs w:val="20"/>
          <w:color w:val="auto"/>
        </w:rPr>
      </w:pPr>
    </w:p>
    <w:p>
      <w:pPr>
        <w:ind w:right="400" w:firstLine="1936"/>
        <w:spacing w:after="0" w:line="272" w:lineRule="auto"/>
        <w:tabs>
          <w:tab w:leader="none" w:pos="2297"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t>
      </w:r>
      <w:r>
        <w:rPr>
          <w:rFonts w:ascii="Times New Roman" w:cs="Times New Roman" w:eastAsia="Times New Roman" w:hAnsi="Times New Roman"/>
          <w:sz w:val="18"/>
          <w:szCs w:val="18"/>
          <w:color w:val="auto"/>
        </w:rPr>
        <w:t>” shall mean the number of shares of Common Stock outstanding immediately prior to such issue of Additional Shares of Common Stock (treating for this purpose as outstanding all shares of Common Stock issuable upon exercise of Options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680"/>
          </w:cols>
          <w:pgMar w:left="580" w:top="265" w:right="639" w:bottom="1440" w:gutter="0" w:footer="0" w:header="0"/>
        </w:sectPr>
      </w:pPr>
    </w:p>
    <w:bookmarkStart w:id="355" w:name="page356"/>
    <w:bookmarkEnd w:id="355"/>
    <w:p>
      <w:pPr>
        <w:ind w:right="5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outstanding immediately prior to such issue or upon conversion or exchange of Convertible Securities (including the Preferred Stock) outstanding (assuming exercise of any outstanding Options therefor) immediately prior to such issue);</w:t>
      </w:r>
    </w:p>
    <w:p>
      <w:pPr>
        <w:spacing w:after="0" w:line="166" w:lineRule="exact"/>
        <w:rPr>
          <w:sz w:val="20"/>
          <w:szCs w:val="20"/>
          <w:color w:val="auto"/>
        </w:rPr>
      </w:pPr>
    </w:p>
    <w:p>
      <w:pPr>
        <w:ind w:right="300" w:firstLine="1936"/>
        <w:spacing w:after="0" w:line="198" w:lineRule="auto"/>
        <w:tabs>
          <w:tab w:leader="none" w:pos="2307"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w:t>
      </w:r>
      <w:r>
        <w:rPr>
          <w:rFonts w:ascii="Times New Roman" w:cs="Times New Roman" w:eastAsia="Times New Roman" w:hAnsi="Times New Roman"/>
          <w:sz w:val="18"/>
          <w:szCs w:val="18"/>
          <w:color w:val="auto"/>
        </w:rPr>
        <w:t>” shall mean the number of shares of Common Stock that would have been issued if such Additional Shares of Common Stock had been issued at a price per share equal to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xml:space="preserve"> (determined by dividing the aggregate consideration received by the Corporation in respect of such issue by CP</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 and</w:t>
      </w:r>
    </w:p>
    <w:p>
      <w:pPr>
        <w:spacing w:after="0" w:line="176" w:lineRule="exact"/>
        <w:rPr>
          <w:rFonts w:ascii="Times New Roman" w:cs="Times New Roman" w:eastAsia="Times New Roman" w:hAnsi="Times New Roman"/>
          <w:sz w:val="18"/>
          <w:szCs w:val="18"/>
          <w:color w:val="auto"/>
        </w:rPr>
      </w:pPr>
    </w:p>
    <w:p>
      <w:pPr>
        <w:ind w:left="2300" w:hanging="364"/>
        <w:spacing w:after="0"/>
        <w:tabs>
          <w:tab w:leader="none" w:pos="2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w:t>
      </w:r>
      <w:r>
        <w:rPr>
          <w:rFonts w:ascii="Times New Roman" w:cs="Times New Roman" w:eastAsia="Times New Roman" w:hAnsi="Times New Roman"/>
          <w:sz w:val="18"/>
          <w:szCs w:val="18"/>
          <w:color w:val="auto"/>
        </w:rPr>
        <w:t>” shall mean the number of such Additional Shares of Common Stock issued in such transaction.</w:t>
      </w:r>
    </w:p>
    <w:p>
      <w:pPr>
        <w:spacing w:after="0" w:line="217" w:lineRule="exact"/>
        <w:rPr>
          <w:sz w:val="20"/>
          <w:szCs w:val="20"/>
          <w:color w:val="auto"/>
        </w:rPr>
      </w:pPr>
    </w:p>
    <w:p>
      <w:pPr>
        <w:ind w:right="180" w:firstLine="1928"/>
        <w:spacing w:after="0" w:line="267" w:lineRule="auto"/>
        <w:rPr>
          <w:sz w:val="20"/>
          <w:szCs w:val="20"/>
          <w:color w:val="auto"/>
        </w:rPr>
      </w:pPr>
      <w:r>
        <w:rPr>
          <w:rFonts w:ascii="Times New Roman" w:cs="Times New Roman" w:eastAsia="Times New Roman" w:hAnsi="Times New Roman"/>
          <w:sz w:val="18"/>
          <w:szCs w:val="18"/>
          <w:color w:val="auto"/>
        </w:rPr>
        <w:t xml:space="preserve">4.4.5 </w:t>
      </w:r>
      <w:r>
        <w:rPr>
          <w:rFonts w:ascii="Times New Roman" w:cs="Times New Roman" w:eastAsia="Times New Roman" w:hAnsi="Times New Roman"/>
          <w:sz w:val="18"/>
          <w:szCs w:val="18"/>
          <w:u w:val="single" w:color="auto"/>
          <w:color w:val="auto"/>
        </w:rPr>
        <w:t>Determination of Consideration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2300" w:hanging="364"/>
        <w:spacing w:after="0"/>
        <w:tabs>
          <w:tab w:leader="none" w:pos="23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Property</w:t>
      </w:r>
      <w:r>
        <w:rPr>
          <w:rFonts w:ascii="Times New Roman" w:cs="Times New Roman" w:eastAsia="Times New Roman" w:hAnsi="Times New Roman"/>
          <w:sz w:val="18"/>
          <w:szCs w:val="18"/>
          <w:color w:val="auto"/>
        </w:rPr>
        <w:t>: Such consideration shall:</w:t>
      </w:r>
    </w:p>
    <w:p>
      <w:pPr>
        <w:spacing w:after="0" w:line="213" w:lineRule="exact"/>
        <w:rPr>
          <w:rFonts w:ascii="Times New Roman" w:cs="Times New Roman" w:eastAsia="Times New Roman" w:hAnsi="Times New Roman"/>
          <w:sz w:val="18"/>
          <w:szCs w:val="18"/>
          <w:color w:val="auto"/>
        </w:rPr>
      </w:pPr>
    </w:p>
    <w:p>
      <w:pPr>
        <w:ind w:right="20" w:firstLine="2364"/>
        <w:spacing w:after="0" w:line="267" w:lineRule="auto"/>
        <w:tabs>
          <w:tab w:leader="none" w:pos="2697"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excluding amounts paid or payable for accrued interest;</w:t>
      </w:r>
    </w:p>
    <w:p>
      <w:pPr>
        <w:spacing w:after="0" w:line="169" w:lineRule="exact"/>
        <w:rPr>
          <w:rFonts w:ascii="Times New Roman" w:cs="Times New Roman" w:eastAsia="Times New Roman" w:hAnsi="Times New Roman"/>
          <w:sz w:val="18"/>
          <w:szCs w:val="18"/>
          <w:color w:val="auto"/>
        </w:rPr>
      </w:pPr>
    </w:p>
    <w:p>
      <w:pPr>
        <w:ind w:right="100" w:firstLine="2364"/>
        <w:spacing w:after="0" w:line="267" w:lineRule="auto"/>
        <w:tabs>
          <w:tab w:leader="none" w:pos="2746"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and</w:t>
      </w:r>
    </w:p>
    <w:p>
      <w:pPr>
        <w:spacing w:after="0" w:line="169" w:lineRule="exact"/>
        <w:rPr>
          <w:rFonts w:ascii="Times New Roman" w:cs="Times New Roman" w:eastAsia="Times New Roman" w:hAnsi="Times New Roman"/>
          <w:sz w:val="18"/>
          <w:szCs w:val="18"/>
          <w:color w:val="auto"/>
        </w:rPr>
      </w:pPr>
    </w:p>
    <w:p>
      <w:pPr>
        <w:jc w:val="both"/>
        <w:ind w:right="380" w:firstLine="2364"/>
        <w:spacing w:after="0" w:line="285" w:lineRule="auto"/>
        <w:tabs>
          <w:tab w:leader="none" w:pos="2794" w:val="left"/>
        </w:tabs>
        <w:numPr>
          <w:ilvl w:val="2"/>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Times New Roman" w:cs="Times New Roman" w:eastAsia="Times New Roman" w:hAnsi="Times New Roman"/>
          <w:sz w:val="16"/>
          <w:szCs w:val="16"/>
          <w:u w:val="single" w:color="auto"/>
          <w:color w:val="auto"/>
        </w:rPr>
        <w:t>clauses</w:t>
      </w:r>
    </w:p>
    <w:p>
      <w:pPr>
        <w:spacing w:after="0" w:line="1" w:lineRule="exact"/>
        <w:rPr>
          <w:rFonts w:ascii="Times New Roman" w:cs="Times New Roman" w:eastAsia="Times New Roman" w:hAnsi="Times New Roman"/>
          <w:sz w:val="16"/>
          <w:szCs w:val="16"/>
          <w:color w:val="auto"/>
        </w:rPr>
      </w:pPr>
    </w:p>
    <w:p>
      <w:pPr>
        <w:ind w:left="220" w:hanging="212"/>
        <w:spacing w:after="0"/>
        <w:tabs>
          <w:tab w:leader="none" w:pos="220" w:val="left"/>
        </w:tabs>
        <w:numPr>
          <w:ilvl w:val="0"/>
          <w:numId w:val="1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as determined in good faith by the Board.</w:t>
      </w:r>
    </w:p>
    <w:p>
      <w:pPr>
        <w:spacing w:after="0" w:line="195" w:lineRule="exact"/>
        <w:rPr>
          <w:rFonts w:ascii="Times New Roman" w:cs="Times New Roman" w:eastAsia="Times New Roman" w:hAnsi="Times New Roman"/>
          <w:sz w:val="18"/>
          <w:szCs w:val="18"/>
          <w:u w:val="single" w:color="auto"/>
          <w:color w:val="auto"/>
        </w:rPr>
      </w:pPr>
    </w:p>
    <w:p>
      <w:pPr>
        <w:jc w:val="both"/>
        <w:ind w:right="180" w:firstLine="1936"/>
        <w:spacing w:after="0" w:line="331" w:lineRule="auto"/>
        <w:tabs>
          <w:tab w:leader="none" w:pos="2307"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Options and Convertible Securities</w:t>
      </w:r>
      <w:r>
        <w:rPr>
          <w:rFonts w:ascii="Times New Roman" w:cs="Times New Roman" w:eastAsia="Times New Roman" w:hAnsi="Times New Roman"/>
          <w:sz w:val="16"/>
          <w:szCs w:val="16"/>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6"/>
          <w:szCs w:val="16"/>
          <w:u w:val="single" w:color="auto"/>
          <w:color w:val="auto"/>
        </w:rPr>
        <w:t>Section 4.4.3</w:t>
      </w:r>
      <w:r>
        <w:rPr>
          <w:rFonts w:ascii="Times New Roman" w:cs="Times New Roman" w:eastAsia="Times New Roman" w:hAnsi="Times New Roman"/>
          <w:sz w:val="16"/>
          <w:szCs w:val="16"/>
          <w:color w:val="auto"/>
        </w:rPr>
        <w:t>, relating to Options and Convertible Securities, shall be determined by dividing:</w:t>
      </w:r>
    </w:p>
    <w:p>
      <w:pPr>
        <w:spacing w:after="0" w:line="122" w:lineRule="exact"/>
        <w:rPr>
          <w:rFonts w:ascii="Times New Roman" w:cs="Times New Roman" w:eastAsia="Times New Roman" w:hAnsi="Times New Roman"/>
          <w:sz w:val="16"/>
          <w:szCs w:val="16"/>
          <w:color w:val="auto"/>
        </w:rPr>
      </w:pPr>
    </w:p>
    <w:p>
      <w:pPr>
        <w:ind w:firstLine="2364"/>
        <w:spacing w:after="0" w:line="249" w:lineRule="auto"/>
        <w:tabs>
          <w:tab w:leader="none" w:pos="2697"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6" w:lineRule="exact"/>
        <w:rPr>
          <w:rFonts w:ascii="Times New Roman" w:cs="Times New Roman" w:eastAsia="Times New Roman" w:hAnsi="Times New Roman"/>
          <w:sz w:val="18"/>
          <w:szCs w:val="18"/>
          <w:color w:val="auto"/>
        </w:rPr>
      </w:pPr>
    </w:p>
    <w:p>
      <w:pPr>
        <w:ind w:right="40" w:firstLine="2364"/>
        <w:spacing w:after="0" w:line="267" w:lineRule="auto"/>
        <w:tabs>
          <w:tab w:leader="none" w:pos="2746"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720"/>
          </w:cols>
          <w:pgMar w:left="580" w:top="265" w:right="599" w:bottom="1440" w:gutter="0" w:footer="0" w:header="0"/>
        </w:sectPr>
      </w:pPr>
    </w:p>
    <w:bookmarkStart w:id="356" w:name="page357"/>
    <w:bookmarkEnd w:id="356"/>
    <w:p>
      <w:pPr>
        <w:ind w:right="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conversion or exchange of such Convertible Securities, or in the case of Options for Convertible Securities, the exercise of such Options for Convertible Securities and the conversion or exchange of such Convertible Securities.</w:t>
      </w:r>
    </w:p>
    <w:p>
      <w:pPr>
        <w:spacing w:after="0" w:line="170" w:lineRule="exact"/>
        <w:rPr>
          <w:sz w:val="20"/>
          <w:szCs w:val="20"/>
          <w:color w:val="auto"/>
        </w:rPr>
      </w:pPr>
    </w:p>
    <w:p>
      <w:pPr>
        <w:ind w:right="120"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Multiple Closing Dates</w:t>
      </w:r>
      <w:r>
        <w:rPr>
          <w:rFonts w:ascii="Times New Roman" w:cs="Times New Roman" w:eastAsia="Times New Roman" w:hAnsi="Times New Roman"/>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8"/>
          <w:szCs w:val="18"/>
          <w:u w:val="single" w:color="auto"/>
          <w:color w:val="auto"/>
        </w:rPr>
        <w:t>Subsection 4.4.4</w:t>
      </w:r>
      <w:r>
        <w:rPr>
          <w:rFonts w:ascii="Times New Roman" w:cs="Times New Roman" w:eastAsia="Times New Roman" w:hAnsi="Times New Roman"/>
          <w:sz w:val="18"/>
          <w:szCs w:val="18"/>
          <w:color w:val="auto"/>
        </w:rPr>
        <w:t>,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7"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Adjustment for Stock Splits and Combinations</w:t>
      </w:r>
      <w:r>
        <w:rPr>
          <w:rFonts w:ascii="Times New Roman" w:cs="Times New Roman" w:eastAsia="Times New Roman" w:hAnsi="Times New Roman"/>
          <w:sz w:val="18"/>
          <w:szCs w:val="18"/>
          <w:color w:val="auto"/>
        </w:rPr>
        <w:t>. If the Corporation shall at any time or from time to time after the Original Issue Date of the Series G-4 Preferred Stock effect a subdivision of the outstanding Voting Common Stock, the applicable Conversion Price in effect immediately before that subdivision shall be proportionately decreased so that the number of shares of Voting Common Stock issuable on conversion of each share of such series shall be increased in proportion to such increase in the aggregate number of shares of Voting Common Stock outstanding. If the Corporation shall at any time or from time to time after the Original Issue Date of the Series G-4 Preferred Stock combine the outstanding shares of Voting Common Stock, the applicable Conversion Price in effect immediately before the combination shall be proportionately increased so that the number of shares of Voting Common Stock issuable on conversion of each share of such series shall be decreased in proportion to such decrease in the aggregate number of shares of Voting Common Stock outstanding. Any adjustment under this subsection shall become effective at the close of business on the date the subdivision or combination becomes effective. The Corporation shall not effect a subdivision or combination of the outstanding Voting Common Stock or Nonvoting Common Stock, as the case may be, without effecting the same subdivision or combination of the outstanding Nonvoting Common Stock or Voting Common Stock, respectively.</w:t>
      </w:r>
    </w:p>
    <w:p>
      <w:pPr>
        <w:spacing w:after="0" w:line="196" w:lineRule="exact"/>
        <w:rPr>
          <w:sz w:val="20"/>
          <w:szCs w:val="20"/>
          <w:color w:val="auto"/>
        </w:rPr>
      </w:pPr>
    </w:p>
    <w:p>
      <w:pPr>
        <w:ind w:right="80" w:firstLine="1393"/>
        <w:spacing w:after="0" w:line="24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Adjustment for Certain Dividends and Distributions</w:t>
      </w:r>
      <w:r>
        <w:rPr>
          <w:rFonts w:ascii="Times New Roman" w:cs="Times New Roman" w:eastAsia="Times New Roman" w:hAnsi="Times New Roman"/>
          <w:sz w:val="18"/>
          <w:szCs w:val="18"/>
          <w:color w:val="auto"/>
        </w:rPr>
        <w:t>. In the event the Corporation at any time or from time to time after the Original Issue Date of the Series G-4 Preferred Stock shall make or issue, or fix a record date for the determination of holders of Voting Common Stock entitled to receive, a dividend or other distribution payable on the Common Stock in additional shares of Voting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87" w:lineRule="exact"/>
        <w:rPr>
          <w:sz w:val="20"/>
          <w:szCs w:val="20"/>
          <w:color w:val="auto"/>
        </w:rPr>
      </w:pPr>
    </w:p>
    <w:p>
      <w:pPr>
        <w:ind w:right="860" w:firstLine="1936"/>
        <w:spacing w:after="0" w:line="267" w:lineRule="auto"/>
        <w:tabs>
          <w:tab w:leader="none" w:pos="230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shall be the total number of shares of Voting Common Stock issued and outstanding immediately prior to the time of such issuance or the close of business on such record date, and</w:t>
      </w:r>
    </w:p>
    <w:p>
      <w:pPr>
        <w:spacing w:after="0" w:line="169" w:lineRule="exact"/>
        <w:rPr>
          <w:rFonts w:ascii="Times New Roman" w:cs="Times New Roman" w:eastAsia="Times New Roman" w:hAnsi="Times New Roman"/>
          <w:sz w:val="18"/>
          <w:szCs w:val="18"/>
          <w:color w:val="auto"/>
        </w:rPr>
      </w:pPr>
    </w:p>
    <w:p>
      <w:pPr>
        <w:ind w:right="420" w:firstLine="1936"/>
        <w:spacing w:after="0" w:line="255" w:lineRule="auto"/>
        <w:tabs>
          <w:tab w:leader="none" w:pos="230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of which shall be the total number of shares of Voting Common Stock issued and outstanding immediately prior to the time of such issuance or the close of business on such record date plus the number of shares of Common Stock issuable in payment of such dividend or distribution.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720"/>
          </w:cols>
          <w:pgMar w:left="580" w:top="265" w:right="599" w:bottom="1440" w:gutter="0" w:footer="0" w:header="0"/>
        </w:sectPr>
      </w:pPr>
    </w:p>
    <w:bookmarkStart w:id="357" w:name="page358"/>
    <w:bookmarkEnd w:id="357"/>
    <w:p>
      <w:pPr>
        <w:ind w:right="2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spacing w:after="0" w:line="2" w:lineRule="exact"/>
        <w:rPr>
          <w:sz w:val="20"/>
          <w:szCs w:val="20"/>
          <w:color w:val="auto"/>
        </w:rPr>
      </w:pPr>
    </w:p>
    <w:p>
      <w:pPr>
        <w:ind w:right="60" w:firstLine="8"/>
        <w:spacing w:after="0" w:line="278" w:lineRule="auto"/>
        <w:tabs>
          <w:tab w:leader="none" w:pos="248"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no such adjustment shall be made if the holders of Preferred Stock simultaneously receive a dividend or other distribution of shares of Common Stock in a number equal to the number of shares of Voting Common Stock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additional shares of Common Stock, without making or issuing, or fixing a record date for the determination of the holders of Nonvoting Common Stock or Voting Common Stock, respectively, a dividend or other distribution payable on the Nonvoting Common Stock or Voting Common Stock, respectively, in the same number of additional shares of Common Stock per share of Nonvoting Common Stock or Voting Common Stock, respectively, as payable per share of Voting Common Stock or Nonvoting Common Stock, respectively.</w:t>
      </w:r>
    </w:p>
    <w:p>
      <w:pPr>
        <w:spacing w:after="0" w:line="168" w:lineRule="exact"/>
        <w:rPr>
          <w:sz w:val="20"/>
          <w:szCs w:val="20"/>
          <w:color w:val="auto"/>
        </w:rPr>
      </w:pPr>
    </w:p>
    <w:p>
      <w:pPr>
        <w:ind w:right="20" w:firstLine="1393"/>
        <w:spacing w:after="0" w:line="24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Adjustments for Other Dividends and Distributions</w:t>
      </w:r>
      <w:r>
        <w:rPr>
          <w:rFonts w:ascii="Times New Roman" w:cs="Times New Roman" w:eastAsia="Times New Roman" w:hAnsi="Times New Roman"/>
          <w:sz w:val="18"/>
          <w:szCs w:val="18"/>
          <w:color w:val="auto"/>
        </w:rPr>
        <w:t xml:space="preserve">. In the event the Corporation at any time or from time to time after the Original Issue Date of the Series G-4 Preferred Stock shall make or issue, or fix a record date for the determination of holders of Common Stock entitled to receive, a dividend or other distribution payable in securities of the Corporation (other than a distribution of shares of Voting Common Stock in respect of outstanding shares of Common Stock) or in other property and the provisions of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do not apply to such dividend or distribution, then and in each such event the holders of Preferred Stock shall receive, simultaneously with the distribution to the holders of Voting Common Stock, a dividend or other distribution of such securities or other property in an amount equal to the amount of such securities or other property as they would have received if all outstanding shares of Preferred Stock had been converted into Voting Common Stock on the date of such event. The Corporation shall not make or issue, or fix a record date for the determination of holders of Voting Common Stock or Nonvoting Common Stock, as the case may be, a dividend or other distribution payable on the Voting Common Stock or Nonvoting Common Stock, respectively, in securities of the Corporation or other property, without making or issuing, or fixing a record date for the determination of the holders of Nonvoting Common Stock or Voting Common Stock, respectively, a dividend or other distribution payable on the Nonvoting Common Stock or Voting Common Stock, respectively, in the same number of securities of the Corporation or other property per share of Nonvoting Common Stock or Voting Common Stock, respectively, as payable per share of Voting Common Stock or Nonvoting Common Stock, respectively.</w:t>
      </w:r>
    </w:p>
    <w:p>
      <w:pPr>
        <w:spacing w:after="0" w:line="194" w:lineRule="exact"/>
        <w:rPr>
          <w:sz w:val="20"/>
          <w:szCs w:val="20"/>
          <w:color w:val="auto"/>
        </w:rPr>
      </w:pPr>
    </w:p>
    <w:p>
      <w:pPr>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Adjustment for Merger or Reorganization, etc</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if there shall occur any reorganization, recapitalization, reclassification, consolidation or merger involving the Corporation in which the Voting Common Stock (but not the Preferred Stock) is converted into or exchanged for securities, cash or other property (other than a transaction covered by </w:t>
      </w:r>
      <w:r>
        <w:rPr>
          <w:rFonts w:ascii="Times New Roman" w:cs="Times New Roman" w:eastAsia="Times New Roman" w:hAnsi="Times New Roman"/>
          <w:sz w:val="18"/>
          <w:szCs w:val="18"/>
          <w:u w:val="single" w:color="auto"/>
          <w:color w:val="auto"/>
        </w:rPr>
        <w:t>Sections 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then, following any such reorganization, recapitalization, reclassification, consolidation or merger, each share of Preferred Stock shall thereafter be convertible in lieu of the Voting Common Stock into which it was convertible prior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720"/>
          </w:cols>
          <w:pgMar w:left="580" w:top="266" w:right="599" w:bottom="1440" w:gutter="0" w:footer="0" w:header="0"/>
        </w:sectPr>
      </w:pPr>
    </w:p>
    <w:bookmarkStart w:id="358" w:name="page359"/>
    <w:bookmarkEnd w:id="358"/>
    <w:p>
      <w:pPr>
        <w:ind w:right="26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to such event into the kind and amount of securities, cash or other property which a holder of the number of shares of Voting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with respect to the rights and interests thereafter of the holders of the Preferred Stock, to the end that the provisions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(including provisions with respect to changes in and other adjustments of the Conversion Price) shall thereafter be applicable, as nearly as reasonably may be, in relation to any securities or other property thereafter deliverable upon the conversion of the Preferred Stock.</w:t>
      </w:r>
    </w:p>
    <w:p>
      <w:pPr>
        <w:spacing w:after="0" w:line="189" w:lineRule="exact"/>
        <w:rPr>
          <w:sz w:val="20"/>
          <w:szCs w:val="20"/>
          <w:color w:val="auto"/>
        </w:rPr>
      </w:pPr>
    </w:p>
    <w:p>
      <w:pPr>
        <w:ind w:right="220" w:firstLine="1393"/>
        <w:spacing w:after="0" w:line="285"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Special IPO Adjustment to Conversion Price of Series G-4 Preferred Stock</w:t>
      </w:r>
      <w:r>
        <w:rPr>
          <w:rFonts w:ascii="Times New Roman" w:cs="Times New Roman" w:eastAsia="Times New Roman" w:hAnsi="Times New Roman"/>
          <w:sz w:val="16"/>
          <w:szCs w:val="16"/>
          <w:color w:val="auto"/>
        </w:rPr>
        <w:t xml:space="preserve">. In the event of a Public Offering or Qualifying Public Offering, the Conversion Price of the Series G-4 Preferred Stock then in effect shall be adjusted downward to an amount equal to the </w:t>
      </w:r>
      <w:r>
        <w:rPr>
          <w:rFonts w:ascii="Times New Roman" w:cs="Times New Roman" w:eastAsia="Times New Roman" w:hAnsi="Times New Roman"/>
          <w:sz w:val="16"/>
          <w:szCs w:val="16"/>
          <w:u w:val="single" w:color="auto"/>
          <w:color w:val="auto"/>
        </w:rPr>
        <w:t>lesser of</w:t>
      </w:r>
    </w:p>
    <w:p>
      <w:pPr>
        <w:spacing w:after="0" w:line="1" w:lineRule="exact"/>
        <w:rPr>
          <w:sz w:val="20"/>
          <w:szCs w:val="20"/>
          <w:color w:val="auto"/>
        </w:rPr>
      </w:pPr>
    </w:p>
    <w:p>
      <w:pPr>
        <w:ind w:left="220" w:hanging="212"/>
        <w:spacing w:after="0"/>
        <w:tabs>
          <w:tab w:leader="none" w:pos="2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(x) the price per share of Class A Common Stock sold in such Public Offering or Qualifying Public Offering and (y) 85%, and</w:t>
      </w:r>
    </w:p>
    <w:p>
      <w:pPr>
        <w:spacing w:after="0" w:line="3" w:lineRule="exact"/>
        <w:rPr>
          <w:rFonts w:ascii="Times New Roman" w:cs="Times New Roman" w:eastAsia="Times New Roman" w:hAnsi="Times New Roman"/>
          <w:sz w:val="18"/>
          <w:szCs w:val="18"/>
          <w:color w:val="auto"/>
        </w:rPr>
      </w:pPr>
    </w:p>
    <w:p>
      <w:pPr>
        <w:ind w:firstLine="8"/>
        <w:spacing w:after="0" w:line="244" w:lineRule="auto"/>
        <w:tabs>
          <w:tab w:leader="none" w:pos="25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$51.5762 (as adjusted (1) for any stock dividends, combinations, splits, recapitalizations or the like and/or (2) in an appropriate manner pursuant to </w:t>
      </w:r>
      <w:r>
        <w:rPr>
          <w:rFonts w:ascii="Times New Roman" w:cs="Times New Roman" w:eastAsia="Times New Roman" w:hAnsi="Times New Roman"/>
          <w:sz w:val="18"/>
          <w:szCs w:val="18"/>
          <w:u w:val="single" w:color="auto"/>
          <w:color w:val="auto"/>
        </w:rPr>
        <w:t>Section 4.4.4</w:t>
      </w:r>
      <w:r>
        <w:rPr>
          <w:rFonts w:ascii="Times New Roman" w:cs="Times New Roman" w:eastAsia="Times New Roman" w:hAnsi="Times New Roman"/>
          <w:sz w:val="18"/>
          <w:szCs w:val="18"/>
          <w:color w:val="auto"/>
        </w:rPr>
        <w:t xml:space="preserve"> above as if such amount were the Conversion Price of the Series G-4 Preferred Stock). The downward adjustment of the Conversion Price of the Series G-4 Preferred Stock, if any, pursuant to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occur effective as of immediately prior to any conversion of the Series G-4 Preferred Stock into Class A Common Stock in connection with a Public Offering or Qualifying Public Offering (or, in the event that no such conversion occurs, effective as of immediately prior to the closing of such public offering), and for the avoidance of doubt, shall be reflected in the number of shares of Class A Common Stock into which each share of Series G-4 Preferred Stock are converted in connection with such public offering, including, without limitation, a conversion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Notwithstanding the foregoing, the Conversion Price of Series G-4 Preferred Stock shall not be reduced at such time if the amount of such reduction would be less than $0.01.</w:t>
      </w:r>
    </w:p>
    <w:p>
      <w:pPr>
        <w:spacing w:after="0" w:line="189" w:lineRule="exact"/>
        <w:rPr>
          <w:sz w:val="20"/>
          <w:szCs w:val="20"/>
          <w:color w:val="auto"/>
        </w:rPr>
      </w:pPr>
    </w:p>
    <w:p>
      <w:pPr>
        <w:ind w:right="220" w:firstLine="1393"/>
        <w:spacing w:after="0" w:line="285" w:lineRule="auto"/>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Special IPO Adjustment to Conversion Price of Series G-3 Preferred Stock</w:t>
      </w:r>
      <w:r>
        <w:rPr>
          <w:rFonts w:ascii="Times New Roman" w:cs="Times New Roman" w:eastAsia="Times New Roman" w:hAnsi="Times New Roman"/>
          <w:sz w:val="16"/>
          <w:szCs w:val="16"/>
          <w:color w:val="auto"/>
        </w:rPr>
        <w:t xml:space="preserve">. In the event of a Public Offering or Qualifying Public Offering, the Conversion Price of the Series G-3 Preferred Stock then in effect shall be adjusted downward to an amount equal to the </w:t>
      </w:r>
      <w:r>
        <w:rPr>
          <w:rFonts w:ascii="Times New Roman" w:cs="Times New Roman" w:eastAsia="Times New Roman" w:hAnsi="Times New Roman"/>
          <w:sz w:val="16"/>
          <w:szCs w:val="16"/>
          <w:u w:val="single" w:color="auto"/>
          <w:color w:val="auto"/>
        </w:rPr>
        <w:t>lesser of</w:t>
      </w:r>
    </w:p>
    <w:p>
      <w:pPr>
        <w:spacing w:after="0" w:line="1" w:lineRule="exact"/>
        <w:rPr>
          <w:sz w:val="20"/>
          <w:szCs w:val="20"/>
          <w:color w:val="auto"/>
        </w:rPr>
      </w:pPr>
    </w:p>
    <w:p>
      <w:pPr>
        <w:ind w:right="120" w:firstLine="8"/>
        <w:spacing w:after="0" w:line="274" w:lineRule="auto"/>
        <w:tabs>
          <w:tab w:leader="none" w:pos="209"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product of (x) the price per share of Class A Common Stock sold in such Public Offering or Qualifying Public Offering and (y) the Applicable Discount, and (ii) $51.5762 (as adjusted (1) for any stock dividends, combinations, splits, recapitalizations or the like and/or (2) in an appropriate manner pursuant to </w:t>
      </w:r>
      <w:r>
        <w:rPr>
          <w:rFonts w:ascii="Times New Roman" w:cs="Times New Roman" w:eastAsia="Times New Roman" w:hAnsi="Times New Roman"/>
          <w:sz w:val="16"/>
          <w:szCs w:val="16"/>
          <w:u w:val="single" w:color="auto"/>
          <w:color w:val="auto"/>
        </w:rPr>
        <w:t>Section 4.4.4</w:t>
      </w:r>
      <w:r>
        <w:rPr>
          <w:rFonts w:ascii="Times New Roman" w:cs="Times New Roman" w:eastAsia="Times New Roman" w:hAnsi="Times New Roman"/>
          <w:sz w:val="16"/>
          <w:szCs w:val="16"/>
          <w:color w:val="auto"/>
        </w:rPr>
        <w:t xml:space="preserve"> above as if such amount were the Conversion Price of the Series G-3 Preferred Stock). “</w:t>
      </w:r>
      <w:r>
        <w:rPr>
          <w:rFonts w:ascii="Times New Roman" w:cs="Times New Roman" w:eastAsia="Times New Roman" w:hAnsi="Times New Roman"/>
          <w:sz w:val="16"/>
          <w:szCs w:val="16"/>
          <w:b w:val="1"/>
          <w:bCs w:val="1"/>
          <w:i w:val="1"/>
          <w:iCs w:val="1"/>
          <w:color w:val="auto"/>
        </w:rPr>
        <w:t>Applicable Discount</w:t>
      </w:r>
      <w:r>
        <w:rPr>
          <w:rFonts w:ascii="Times New Roman" w:cs="Times New Roman" w:eastAsia="Times New Roman" w:hAnsi="Times New Roman"/>
          <w:sz w:val="16"/>
          <w:szCs w:val="16"/>
          <w:color w:val="auto"/>
        </w:rPr>
        <w:t>” means</w:t>
      </w:r>
    </w:p>
    <w:p>
      <w:pPr>
        <w:ind w:right="180" w:firstLine="8"/>
        <w:spacing w:after="0" w:line="244" w:lineRule="auto"/>
        <w:tabs>
          <w:tab w:leader="none" w:pos="20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90% in the event a Public Offering or Qualifying Public Offering is consummated on or prior to June 30, 2023, or (ii) 85% in the event a Public Offering or Qualifying Public Offering is consummated after June 30, 2023. The downward adjustment of the Conversion Price of the Series G-3 Preferred Stock, if any, pursuant to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shall occur effective as of immediately prior to any conversion of the Series G-3 Preferred Stock into Class A Common Stock in connection with a Public Offering or Qualifying Public Offering (or, in the event that no such conversion occurs, effective as of immediately prior to the closing of such public offering), and for the avoidance of doubt, shall be reflected in the number of shares of Class A Common Stock into which each share of Series G-3 Preferred Stock are converted in connection with such public offering, including, without limitation, a conversion pursuant to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Notwithstanding the foregoing, the Conversion Price of Series G-3 Preferred Stock shall not be reduced at such time if the amount of such reduction would be less than $0.01.</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700"/>
          </w:cols>
          <w:pgMar w:left="580" w:top="265" w:right="619" w:bottom="1440" w:gutter="0" w:footer="0" w:header="0"/>
        </w:sectPr>
      </w:pPr>
    </w:p>
    <w:bookmarkStart w:id="359" w:name="page360"/>
    <w:bookmarkEnd w:id="359"/>
    <w:p>
      <w:pPr>
        <w:ind w:right="40" w:firstLine="1393"/>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Certificate as to Adjustments</w:t>
      </w:r>
      <w:r>
        <w:rPr>
          <w:rFonts w:ascii="Times New Roman" w:cs="Times New Roman" w:eastAsia="Times New Roman" w:hAnsi="Times New Roman"/>
          <w:sz w:val="18"/>
          <w:szCs w:val="18"/>
          <w:color w:val="auto"/>
        </w:rPr>
        <w:t xml:space="preserve">. Upon the occurrence of each adjustment or readjustment of the applicable Conversion Price pursuant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Corporation at its expense shall, as promptly as reasonably practicable,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Voting Common Stock and the amount, if any, of other securities, cash or property which then would be received upon the conversion of Preferred Stock.</w:t>
      </w:r>
    </w:p>
    <w:p>
      <w:pPr>
        <w:spacing w:after="0" w:line="186"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6"/>
          <w:szCs w:val="16"/>
          <w:u w:val="single" w:color="auto"/>
          <w:color w:val="auto"/>
        </w:rPr>
        <w:t>Notice of Record Date</w:t>
      </w:r>
      <w:r>
        <w:rPr>
          <w:rFonts w:ascii="Times New Roman" w:cs="Times New Roman" w:eastAsia="Times New Roman" w:hAnsi="Times New Roman"/>
          <w:sz w:val="16"/>
          <w:szCs w:val="16"/>
          <w:color w:val="auto"/>
        </w:rPr>
        <w:t>. In the event:</w:t>
      </w:r>
    </w:p>
    <w:p>
      <w:pPr>
        <w:spacing w:after="0" w:line="213" w:lineRule="exact"/>
        <w:rPr>
          <w:sz w:val="20"/>
          <w:szCs w:val="20"/>
          <w:color w:val="auto"/>
        </w:rPr>
      </w:pPr>
    </w:p>
    <w:p>
      <w:pPr>
        <w:ind w:firstLine="1936"/>
        <w:spacing w:after="0" w:line="255" w:lineRule="auto"/>
        <w:tabs>
          <w:tab w:leader="none" w:pos="229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80" w:lineRule="exact"/>
        <w:rPr>
          <w:rFonts w:ascii="Times New Roman" w:cs="Times New Roman" w:eastAsia="Times New Roman" w:hAnsi="Times New Roman"/>
          <w:sz w:val="18"/>
          <w:szCs w:val="18"/>
          <w:color w:val="auto"/>
        </w:rPr>
      </w:pPr>
    </w:p>
    <w:p>
      <w:pPr>
        <w:ind w:left="2320" w:hanging="384"/>
        <w:spacing w:after="0"/>
        <w:tabs>
          <w:tab w:leader="none" w:pos="232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any capital reorganization of the Corporation, any reclassification of the Common Stock of the Corporation, or any</w:t>
      </w:r>
    </w:p>
    <w:p>
      <w:pPr>
        <w:spacing w:after="0" w:line="4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Deemed Liquidation Event; or</w:t>
      </w:r>
    </w:p>
    <w:p>
      <w:pPr>
        <w:spacing w:after="0" w:line="195" w:lineRule="exact"/>
        <w:rPr>
          <w:rFonts w:ascii="Times New Roman" w:cs="Times New Roman" w:eastAsia="Times New Roman" w:hAnsi="Times New Roman"/>
          <w:sz w:val="16"/>
          <w:szCs w:val="16"/>
          <w:color w:val="auto"/>
        </w:rPr>
      </w:pPr>
    </w:p>
    <w:p>
      <w:pPr>
        <w:ind w:left="2300" w:hanging="364"/>
        <w:spacing w:after="0"/>
        <w:tabs>
          <w:tab w:leader="none" w:pos="23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voluntary or involuntary dissolution, liquidation or winding-up of the Corporation,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then, and in each such case, the Corporation will send or cause to be sent to the holders of the Preferred Stock a notice specifying, as the case may be,</w:t>
      </w:r>
    </w:p>
    <w:p>
      <w:pPr>
        <w:spacing w:after="0" w:line="44" w:lineRule="exact"/>
        <w:rPr>
          <w:sz w:val="20"/>
          <w:szCs w:val="20"/>
          <w:color w:val="auto"/>
        </w:rPr>
      </w:pPr>
    </w:p>
    <w:p>
      <w:pPr>
        <w:ind w:firstLine="8"/>
        <w:spacing w:after="0" w:line="274" w:lineRule="auto"/>
        <w:tabs>
          <w:tab w:leader="none" w:pos="209"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 days prior to the record date or effective date for the event specified in such notice.</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660"/>
          </w:cols>
          <w:pgMar w:left="580" w:top="265" w:right="659" w:bottom="1440" w:gutter="0" w:footer="0" w:header="0"/>
        </w:sectPr>
      </w:pPr>
    </w:p>
    <w:bookmarkStart w:id="360" w:name="page361"/>
    <w:bookmarkEnd w:id="360"/>
    <w:p>
      <w:pPr>
        <w:ind w:left="1320" w:right="7700" w:hanging="428"/>
        <w:spacing w:after="0" w:line="411" w:lineRule="auto"/>
        <w:tabs>
          <w:tab w:leader="none" w:pos="1198"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Mandatory Conversion</w:t>
      </w:r>
      <w:r>
        <w:rPr>
          <w:rFonts w:ascii="Times New Roman" w:cs="Times New Roman" w:eastAsia="Times New Roman" w:hAnsi="Times New Roman"/>
          <w:sz w:val="16"/>
          <w:szCs w:val="16"/>
          <w:color w:val="auto"/>
        </w:rPr>
        <w:t xml:space="preserve">. 5.1 </w:t>
      </w:r>
      <w:r>
        <w:rPr>
          <w:rFonts w:ascii="Times New Roman" w:cs="Times New Roman" w:eastAsia="Times New Roman" w:hAnsi="Times New Roman"/>
          <w:sz w:val="16"/>
          <w:szCs w:val="16"/>
          <w:u w:val="single" w:color="auto"/>
          <w:color w:val="auto"/>
        </w:rPr>
        <w:t>Trigger Events</w:t>
      </w:r>
      <w:r>
        <w:rPr>
          <w:rFonts w:ascii="Times New Roman" w:cs="Times New Roman" w:eastAsia="Times New Roman" w:hAnsi="Times New Roman"/>
          <w:sz w:val="16"/>
          <w:szCs w:val="16"/>
          <w:color w:val="auto"/>
        </w:rPr>
        <w:t>.</w:t>
      </w:r>
    </w:p>
    <w:p>
      <w:pPr>
        <w:ind w:left="1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6"/>
          <w:szCs w:val="16"/>
          <w:color w:val="auto"/>
        </w:rPr>
      </w:pPr>
    </w:p>
    <w:p>
      <w:pPr>
        <w:ind w:left="-80" w:right="100" w:firstLine="1936"/>
        <w:spacing w:after="0" w:line="247" w:lineRule="auto"/>
        <w:tabs>
          <w:tab w:leader="none" w:pos="221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the sale of shares of Class A Common Stock to the public in a firm-commitment underwritten public offering pursuant to an effective registration statement under the Securities Act of 1933, as amended, resulting in at least $100,000,000 of gross proceeds to the Corporation, before deductions of the underwriting discount and commissions (a “</w:t>
      </w:r>
      <w:r>
        <w:rPr>
          <w:rFonts w:ascii="Times New Roman" w:cs="Times New Roman" w:eastAsia="Times New Roman" w:hAnsi="Times New Roman"/>
          <w:sz w:val="18"/>
          <w:szCs w:val="18"/>
          <w:b w:val="1"/>
          <w:bCs w:val="1"/>
          <w:i w:val="1"/>
          <w:iCs w:val="1"/>
          <w:color w:val="auto"/>
        </w:rPr>
        <w:t>Public Offering</w:t>
      </w:r>
      <w:r>
        <w:rPr>
          <w:rFonts w:ascii="Times New Roman" w:cs="Times New Roman" w:eastAsia="Times New Roman" w:hAnsi="Times New Roman"/>
          <w:sz w:val="18"/>
          <w:szCs w:val="18"/>
          <w:color w:val="auto"/>
        </w:rPr>
        <w:t>”), or (ii) the date and time, or the occurrence of an event, specified by vote or written consent of the holders of a majority of the outstanding shares of Series G-4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G-4 Preferred Stock Mandatory Conversion Time</w:t>
      </w:r>
      <w:r>
        <w:rPr>
          <w:rFonts w:ascii="Times New Roman" w:cs="Times New Roman" w:eastAsia="Times New Roman" w:hAnsi="Times New Roman"/>
          <w:sz w:val="18"/>
          <w:szCs w:val="18"/>
          <w:color w:val="auto"/>
        </w:rPr>
        <w:t>”), (A) all outstanding shares of Series G-4 Preferred Stock shall automatically be converted into shares of Class A Common Stock, in each case at the then effective conversion rate and (B) such shares may not be reissued by the Corporation.</w:t>
      </w:r>
    </w:p>
    <w:p>
      <w:pPr>
        <w:spacing w:after="0" w:line="186" w:lineRule="exact"/>
        <w:rPr>
          <w:rFonts w:ascii="Times New Roman" w:cs="Times New Roman" w:eastAsia="Times New Roman" w:hAnsi="Times New Roman"/>
          <w:sz w:val="18"/>
          <w:szCs w:val="18"/>
          <w:color w:val="auto"/>
        </w:rPr>
      </w:pPr>
    </w:p>
    <w:p>
      <w:pPr>
        <w:ind w:left="-80" w:firstLine="1936"/>
        <w:spacing w:after="0" w:line="249" w:lineRule="auto"/>
        <w:tabs>
          <w:tab w:leader="none" w:pos="222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Public Offering, or (ii) the date and time, or the occurrence of an event, specified by vote or written consent of the holders of a majority of the outstanding shares of Series G-3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G-3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 Mandatory Conversion Time</w:t>
      </w:r>
      <w:r>
        <w:rPr>
          <w:rFonts w:ascii="Times New Roman" w:cs="Times New Roman" w:eastAsia="Times New Roman" w:hAnsi="Times New Roman"/>
          <w:sz w:val="18"/>
          <w:szCs w:val="18"/>
          <w:color w:val="auto"/>
        </w:rPr>
        <w:t>”), (A) all outstanding shares of Series G-3 Preferred Stock shall automatically be converted into shares 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in each case at the then effective conversion rate and (B) such shares may not be reissued by the Corporation.</w:t>
      </w:r>
    </w:p>
    <w:p>
      <w:pPr>
        <w:spacing w:after="0" w:line="186" w:lineRule="exact"/>
        <w:rPr>
          <w:rFonts w:ascii="Times New Roman" w:cs="Times New Roman" w:eastAsia="Times New Roman" w:hAnsi="Times New Roman"/>
          <w:sz w:val="18"/>
          <w:szCs w:val="18"/>
          <w:color w:val="auto"/>
        </w:rPr>
      </w:pPr>
    </w:p>
    <w:p>
      <w:pPr>
        <w:ind w:left="-80" w:right="20" w:firstLine="1936"/>
        <w:spacing w:after="0" w:line="281" w:lineRule="auto"/>
        <w:tabs>
          <w:tab w:leader="none" w:pos="2217" w:val="left"/>
        </w:tabs>
        <w:numPr>
          <w:ilvl w:val="1"/>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the sale of shares of Class A Common Stock to the public in a firm-commitment underwritten public offering pursuant to an effective registration statement under the Securities Act of 1933, as amended, at an offering price per share of not less than $68.7683 (subject to appropriate adjustment in the event of any stock dividend, stock split, combination or other similar recapitalization with respect to the Class A Common Stock), resulting in at least $100,000,000 of gross proceeds to the Corporation, before deductions of the underwriting discount and commissions (a “</w:t>
      </w:r>
      <w:r>
        <w:rPr>
          <w:rFonts w:ascii="Times New Roman" w:cs="Times New Roman" w:eastAsia="Times New Roman" w:hAnsi="Times New Roman"/>
          <w:sz w:val="16"/>
          <w:szCs w:val="16"/>
          <w:b w:val="1"/>
          <w:bCs w:val="1"/>
          <w:i w:val="1"/>
          <w:iCs w:val="1"/>
          <w:color w:val="auto"/>
        </w:rPr>
        <w:t>Qualifying Public Offering</w:t>
      </w:r>
      <w:r>
        <w:rPr>
          <w:rFonts w:ascii="Times New Roman" w:cs="Times New Roman" w:eastAsia="Times New Roman" w:hAnsi="Times New Roman"/>
          <w:sz w:val="16"/>
          <w:szCs w:val="16"/>
          <w:color w:val="auto"/>
        </w:rPr>
        <w:t>”), or (ii) the date and time, or the occurrence of an event, specified by vote or written consent of the holders of a majority of the outstanding shares of Series G-2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G-2 Preferred Stock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Mandatory Conversion Time</w:t>
      </w:r>
      <w:r>
        <w:rPr>
          <w:rFonts w:ascii="Times New Roman" w:cs="Times New Roman" w:eastAsia="Times New Roman" w:hAnsi="Times New Roman"/>
          <w:sz w:val="16"/>
          <w:szCs w:val="16"/>
          <w:color w:val="auto"/>
        </w:rPr>
        <w:t>”), (A) all outstanding shares of Series G-2 Preferred Stock shall automatically be converted into shares of Class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in each case at the then effective conversion rate and (B) such shares may not be reissued by the Corporation.</w:t>
      </w:r>
    </w:p>
    <w:p>
      <w:pPr>
        <w:spacing w:after="0" w:line="161" w:lineRule="exact"/>
        <w:rPr>
          <w:rFonts w:ascii="Times New Roman" w:cs="Times New Roman" w:eastAsia="Times New Roman" w:hAnsi="Times New Roman"/>
          <w:sz w:val="16"/>
          <w:szCs w:val="16"/>
          <w:color w:val="auto"/>
        </w:rPr>
      </w:pPr>
    </w:p>
    <w:p>
      <w:pPr>
        <w:ind w:left="-80" w:right="260" w:firstLine="1936"/>
        <w:spacing w:after="0" w:line="255" w:lineRule="auto"/>
        <w:tabs>
          <w:tab w:leader="none" w:pos="222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 majority of the outstanding shares of Series G Preferred Stock, voting as a separate class (the time of such closing or the date and time specified or the time of the event specified in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660" w:top="265" w:right="679" w:bottom="1440" w:gutter="0" w:footer="0" w:header="0"/>
        </w:sectPr>
      </w:pPr>
    </w:p>
    <w:bookmarkStart w:id="361" w:name="page362"/>
    <w:bookmarkEnd w:id="36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such vote or written consent is referred to herein as the “</w:t>
      </w:r>
      <w:r>
        <w:rPr>
          <w:rFonts w:ascii="Times New Roman" w:cs="Times New Roman" w:eastAsia="Times New Roman" w:hAnsi="Times New Roman"/>
          <w:sz w:val="18"/>
          <w:szCs w:val="18"/>
          <w:b w:val="1"/>
          <w:bCs w:val="1"/>
          <w:i w:val="1"/>
          <w:iCs w:val="1"/>
          <w:color w:val="auto"/>
        </w:rPr>
        <w:t>Series G Preferred Stock Mandatory Conversion Time</w:t>
      </w:r>
      <w:r>
        <w:rPr>
          <w:rFonts w:ascii="Times New Roman" w:cs="Times New Roman" w:eastAsia="Times New Roman" w:hAnsi="Times New Roman"/>
          <w:sz w:val="18"/>
          <w:szCs w:val="18"/>
          <w:color w:val="auto"/>
        </w:rPr>
        <w:t>”), (A) all outstanding shares of Series G Preferred Stock shall automatically be converted into shares of Class A Common Stock, in each case at the then effective conversion rate and (B) such shares may not be reissued by the Corporation.</w:t>
      </w:r>
    </w:p>
    <w:p>
      <w:pPr>
        <w:spacing w:after="0" w:line="177" w:lineRule="exact"/>
        <w:rPr>
          <w:sz w:val="20"/>
          <w:szCs w:val="20"/>
          <w:color w:val="auto"/>
        </w:rPr>
      </w:pPr>
    </w:p>
    <w:p>
      <w:pPr>
        <w:ind w:firstLine="1936"/>
        <w:spacing w:after="0" w:line="288" w:lineRule="auto"/>
        <w:tabs>
          <w:tab w:leader="none" w:pos="2297"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 majority of the outstanding shares of Series F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Preferred Stock Mandatory Conversion Time</w:t>
      </w:r>
      <w:r>
        <w:rPr>
          <w:rFonts w:ascii="Times New Roman" w:cs="Times New Roman" w:eastAsia="Times New Roman" w:hAnsi="Times New Roman"/>
          <w:sz w:val="16"/>
          <w:szCs w:val="16"/>
          <w:color w:val="auto"/>
        </w:rPr>
        <w:t>”), (A) all outstanding shares of Series F Preferred Stock shall automatically be converted into shares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right="120" w:firstLine="1936"/>
        <w:spacing w:after="0" w:line="288" w:lineRule="auto"/>
        <w:tabs>
          <w:tab w:leader="none" w:pos="2278"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either (i) the closing of a Qualifying Public Offering, or (ii) the date and time, or the occurrence of an event, specified by vote or written consent of the holders of at least a majority of the outstanding shares of Series E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6"/>
          <w:szCs w:val="16"/>
          <w:b w:val="1"/>
          <w:bCs w:val="1"/>
          <w:i w:val="1"/>
          <w:iCs w:val="1"/>
          <w:color w:val="auto"/>
        </w:rPr>
        <w:t>Series E Preferred Stock Mandatory Conversion Time</w:t>
      </w:r>
      <w:r>
        <w:rPr>
          <w:rFonts w:ascii="Times New Roman" w:cs="Times New Roman" w:eastAsia="Times New Roman" w:hAnsi="Times New Roman"/>
          <w:sz w:val="16"/>
          <w:szCs w:val="16"/>
          <w:color w:val="auto"/>
        </w:rPr>
        <w:t>”), (A) all outstanding shares of Series E Preferred Stock shall automatically be converted into shares of Class A Common Stock, in each case at the then effective conversion rate and (B) such shares may not be reissued by the Corporation.</w:t>
      </w:r>
    </w:p>
    <w:p>
      <w:pPr>
        <w:spacing w:after="0" w:line="156" w:lineRule="exact"/>
        <w:rPr>
          <w:rFonts w:ascii="Times New Roman" w:cs="Times New Roman" w:eastAsia="Times New Roman" w:hAnsi="Times New Roman"/>
          <w:sz w:val="16"/>
          <w:szCs w:val="16"/>
          <w:color w:val="auto"/>
        </w:rPr>
      </w:pPr>
    </w:p>
    <w:p>
      <w:pPr>
        <w:ind w:right="220" w:firstLine="1936"/>
        <w:spacing w:after="0" w:line="248" w:lineRule="auto"/>
        <w:tabs>
          <w:tab w:leader="none" w:pos="23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at least sixty percent (60%) of the outstanding shares of Series D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D Preferred Stock Mandatory Conversion Time</w:t>
      </w:r>
      <w:r>
        <w:rPr>
          <w:rFonts w:ascii="Times New Roman" w:cs="Times New Roman" w:eastAsia="Times New Roman" w:hAnsi="Times New Roman"/>
          <w:sz w:val="18"/>
          <w:szCs w:val="18"/>
          <w:color w:val="auto"/>
        </w:rPr>
        <w:t>”), (A) all outstanding shares of Series D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right="240" w:firstLine="1936"/>
        <w:spacing w:after="0" w:line="248" w:lineRule="auto"/>
        <w:tabs>
          <w:tab w:leader="none" w:pos="230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a Qualifying Public Offering, or (ii) the date and time, or the occurrence of an event, specified by vote or written consent of the holders of at least sixty percent (60%) of the outstanding shares of Series C Preferred Stock, voting as a separate class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Series C Preferred Stock Mandatory Conversion Time</w:t>
      </w:r>
      <w:r>
        <w:rPr>
          <w:rFonts w:ascii="Times New Roman" w:cs="Times New Roman" w:eastAsia="Times New Roman" w:hAnsi="Times New Roman"/>
          <w:sz w:val="18"/>
          <w:szCs w:val="18"/>
          <w:color w:val="auto"/>
        </w:rPr>
        <w:t>”), (A) all outstanding shares of Series C Preferred Stock shall automatically be converted into shares of Class A Common Stock, in each case at the then effective conversion rate and (B) such shares may not be reissued by the Corporation.</w:t>
      </w:r>
    </w:p>
    <w:p>
      <w:pPr>
        <w:spacing w:after="0" w:line="187" w:lineRule="exact"/>
        <w:rPr>
          <w:rFonts w:ascii="Times New Roman" w:cs="Times New Roman" w:eastAsia="Times New Roman" w:hAnsi="Times New Roman"/>
          <w:sz w:val="18"/>
          <w:szCs w:val="18"/>
          <w:color w:val="auto"/>
        </w:rPr>
      </w:pPr>
    </w:p>
    <w:p>
      <w:pPr>
        <w:ind w:right="60" w:firstLine="1936"/>
        <w:spacing w:after="0" w:line="251" w:lineRule="auto"/>
        <w:tabs>
          <w:tab w:leader="none" w:pos="226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either (i) the closing of the sale of shares of Class A Common Stock to the public in a firm-commitment underwritten public offering pursuant to an effective registration statement under the Securities Act of 1933, as amended, at an offering price of not less than the Series B-2 Original Issue Price, resulting in at least $20,000,000 of gross proceeds to the Corporation, before deductions of the underwriting discount and commissions, or (ii) the date and time, or the occurrence of an event, specified by vote or written consent of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700"/>
          </w:cols>
          <w:pgMar w:left="580" w:top="261" w:right="619" w:bottom="1440" w:gutter="0" w:footer="0" w:header="0"/>
        </w:sectPr>
      </w:pPr>
    </w:p>
    <w:bookmarkStart w:id="362" w:name="page363"/>
    <w:bookmarkEnd w:id="362"/>
    <w:p>
      <w:pPr>
        <w:ind w:right="20"/>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holders of a majority of the outstanding shares of Series B-2 Preferred Stock, Series B-1 Preferred Stock, Series B Preferred Stock and Series A Preferred Stock, voting together as a single class as measured on the basis of voting power set forth in this Restated Certificate (the time of such closing or the date and time specified or the time of the event specified in such vote or written consent is referred to herein as the “</w:t>
      </w:r>
      <w:r>
        <w:rPr>
          <w:rFonts w:ascii="Times New Roman" w:cs="Times New Roman" w:eastAsia="Times New Roman" w:hAnsi="Times New Roman"/>
          <w:sz w:val="18"/>
          <w:szCs w:val="18"/>
          <w:b w:val="1"/>
          <w:bCs w:val="1"/>
          <w:i w:val="1"/>
          <w:iCs w:val="1"/>
          <w:color w:val="auto"/>
        </w:rPr>
        <w:t>Preferred Stock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Time</w:t>
      </w:r>
      <w:r>
        <w:rPr>
          <w:rFonts w:ascii="Times New Roman" w:cs="Times New Roman" w:eastAsia="Times New Roman" w:hAnsi="Times New Roman"/>
          <w:sz w:val="18"/>
          <w:szCs w:val="18"/>
          <w:color w:val="auto"/>
        </w:rPr>
        <w:t>”), (A) all outstanding shares of Series B-2 Preferred Stock, Series B-1 Preferred Stock, and Series A Preferred Stock shall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be converted into shares of Class A Common Stock and all outstanding shares of Series B Preferred Stock shall automatically be converted into shares of Class B Common Stock, in each case at the then effective conversion rate, and (B) such shares may not be reissued by the Corporation. In addition, each share of Series B Preferred Stock shall automatically be converted into shares of Class A Common Stock, based on the then-effective Conversion Price, upon any sale, assignment, transfer, conveyance, hypothecation or other disposition of any legal or beneficial interest in such share, whether or not for value and whether voluntary or involuntary or by operation of law (a “</w:t>
      </w:r>
      <w:r>
        <w:rPr>
          <w:rFonts w:ascii="Times New Roman" w:cs="Times New Roman" w:eastAsia="Times New Roman" w:hAnsi="Times New Roman"/>
          <w:sz w:val="18"/>
          <w:szCs w:val="18"/>
          <w:b w:val="1"/>
          <w:bCs w:val="1"/>
          <w:i w:val="1"/>
          <w:iCs w:val="1"/>
          <w:color w:val="auto"/>
        </w:rPr>
        <w:t>Series B Preferred Transfer</w:t>
      </w:r>
      <w:r>
        <w:rPr>
          <w:rFonts w:ascii="Times New Roman" w:cs="Times New Roman" w:eastAsia="Times New Roman" w:hAnsi="Times New Roman"/>
          <w:sz w:val="18"/>
          <w:szCs w:val="18"/>
          <w:color w:val="auto"/>
        </w:rPr>
        <w:t>”), other than (i) any Series B Preferred Transfer without consideration by a holder of Series B Preferred Stock to such holder’s ancestors, descendants, siblings or spouse or to trusts or other entities established primarily for the purpose of estate planning for the benefit of such persons or such holder, (ii) any Series B Preferred Transfer or Transfers by a holder of Series B Preferred Stock to another holder of Series B Preferred Stock or its Controlled Affiliate (as defined below), (iii) any Series B Preferred Transfer or Transfers to Controlled Affiliates, or (iv) any Series B Preferred Transfer or Transfers by (A) a partnership transferring to its partners or former partners in accordance with their interest in the partnership, (B) a corporation transferring to a wholly-owned subsidiary, its stockholders or to former stockholders in accordance with their interest in the corporation, or (C) a limited liability company transferring to its members or former members in accordance with their interest in the limited liability company. For purposes of this Restated Certificate, “</w:t>
      </w:r>
      <w:r>
        <w:rPr>
          <w:rFonts w:ascii="Times New Roman" w:cs="Times New Roman" w:eastAsia="Times New Roman" w:hAnsi="Times New Roman"/>
          <w:sz w:val="18"/>
          <w:szCs w:val="18"/>
          <w:b w:val="1"/>
          <w:bCs w:val="1"/>
          <w:i w:val="1"/>
          <w:iCs w:val="1"/>
          <w:color w:val="auto"/>
        </w:rPr>
        <w:t>Controlled Affiliate</w:t>
      </w:r>
      <w:r>
        <w:rPr>
          <w:rFonts w:ascii="Times New Roman" w:cs="Times New Roman" w:eastAsia="Times New Roman" w:hAnsi="Times New Roman"/>
          <w:sz w:val="18"/>
          <w:szCs w:val="18"/>
          <w:color w:val="auto"/>
        </w:rPr>
        <w:t>” shall mean, with respect to any person or entity, any other person or entity which, directly or indirectly, is controlled by, or is under common control with, such person or entity, where “control” shall mean and include the ownership or eighty percent (80%) or more of the voting securities or other voting interest of another person or entity.</w:t>
      </w:r>
    </w:p>
    <w:p>
      <w:pPr>
        <w:spacing w:after="0" w:line="203" w:lineRule="exact"/>
        <w:rPr>
          <w:sz w:val="20"/>
          <w:szCs w:val="20"/>
          <w:color w:val="auto"/>
        </w:rPr>
      </w:pPr>
    </w:p>
    <w:p>
      <w:pPr>
        <w:ind w:right="100" w:firstLine="1928"/>
        <w:spacing w:after="0" w:line="24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Nonvoting Common Stock</w:t>
      </w:r>
      <w:r>
        <w:rPr>
          <w:rFonts w:ascii="Times New Roman" w:cs="Times New Roman" w:eastAsia="Times New Roman" w:hAnsi="Times New Roman"/>
          <w:sz w:val="18"/>
          <w:szCs w:val="18"/>
          <w:color w:val="auto"/>
        </w:rPr>
        <w:t>. Upon the closing of the sale of shares of Class A Common Stock to the public in a firm-commitment underwritten public offering pursuant to an effective registration statement under the Securities Act of 1933, as amended (the time of such closing is referred to herein as the “</w:t>
      </w:r>
      <w:r>
        <w:rPr>
          <w:rFonts w:ascii="Times New Roman" w:cs="Times New Roman" w:eastAsia="Times New Roman" w:hAnsi="Times New Roman"/>
          <w:sz w:val="18"/>
          <w:szCs w:val="18"/>
          <w:b w:val="1"/>
          <w:bCs w:val="1"/>
          <w:i w:val="1"/>
          <w:iCs w:val="1"/>
          <w:color w:val="auto"/>
        </w:rPr>
        <w:t>Nonvoting Mandatory Conversion Time</w:t>
      </w:r>
      <w:r>
        <w:rPr>
          <w:rFonts w:ascii="Times New Roman" w:cs="Times New Roman" w:eastAsia="Times New Roman" w:hAnsi="Times New Roman"/>
          <w:sz w:val="18"/>
          <w:szCs w:val="18"/>
          <w:color w:val="auto"/>
        </w:rPr>
        <w:t>”), then each outstanding share of Nonvoting Stock shall automatically be converted into one (1) share of Class A Common Stock. The Series G-4 Preferred Stock Mandatory Conversion Time, Series G-3 Preferred Stock Mandatory Conversion Time, Series G-2 Preferred Stock Mandatory Conversion Time, Series G Preferred Stock Mandatory Conversion Time, Series F Preferred Stock Mandatory Conversion Time, Series E Preferred Stock Mandatory Conversion Time, Series D Preferred Stock Mandatory Conversion Time, Series C Preferred Stock Mandatory Conversion Time, Preferred Stock Mandatory Conversion Time and the Nonvoting Mandatory Conversion Time shall each be referred to as the “</w:t>
      </w:r>
      <w:r>
        <w:rPr>
          <w:rFonts w:ascii="Times New Roman" w:cs="Times New Roman" w:eastAsia="Times New Roman" w:hAnsi="Times New Roman"/>
          <w:sz w:val="18"/>
          <w:szCs w:val="18"/>
          <w:b w:val="1"/>
          <w:bCs w:val="1"/>
          <w:i w:val="1"/>
          <w:iCs w:val="1"/>
          <w:color w:val="auto"/>
        </w:rPr>
        <w:t>Mandatory Conversion Time</w:t>
      </w:r>
      <w:r>
        <w:rPr>
          <w:rFonts w:ascii="Times New Roman" w:cs="Times New Roman" w:eastAsia="Times New Roman" w:hAnsi="Times New Roman"/>
          <w:sz w:val="18"/>
          <w:szCs w:val="18"/>
          <w:color w:val="auto"/>
        </w:rPr>
        <w:t>”, as applicable.</w:t>
      </w:r>
    </w:p>
    <w:p>
      <w:pPr>
        <w:spacing w:after="0" w:line="186" w:lineRule="exact"/>
        <w:rPr>
          <w:sz w:val="20"/>
          <w:szCs w:val="20"/>
          <w:color w:val="auto"/>
        </w:rPr>
      </w:pPr>
    </w:p>
    <w:p>
      <w:pPr>
        <w:jc w:val="both"/>
        <w:ind w:firstLine="1393"/>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Procedural Requirements</w:t>
      </w:r>
      <w:r>
        <w:rPr>
          <w:rFonts w:ascii="Times New Roman" w:cs="Times New Roman" w:eastAsia="Times New Roman" w:hAnsi="Times New Roman"/>
          <w:sz w:val="18"/>
          <w:szCs w:val="18"/>
          <w:color w:val="auto"/>
        </w:rPr>
        <w:t>. All holders of record of shares of each series of Preferred Stock and Nonvoting Common Stock shall be sent written notice of the applicable Mandatory Conversion Time and the place designated for mandatory conversion of all such shares of such series of Preferred Stock and Nonvoting Common Stock pursuant to this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720"/>
          </w:cols>
          <w:pgMar w:left="580" w:top="265" w:right="599" w:bottom="1440" w:gutter="0" w:footer="0" w:header="0"/>
        </w:sectPr>
      </w:pPr>
    </w:p>
    <w:bookmarkStart w:id="363" w:name="page364"/>
    <w:bookmarkEnd w:id="363"/>
    <w:p>
      <w:pPr>
        <w:spacing w:after="0" w:line="276" w:lineRule="auto"/>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5</w:t>
      </w:r>
      <w:r>
        <w:rPr>
          <w:rFonts w:ascii="Times New Roman" w:cs="Times New Roman" w:eastAsia="Times New Roman" w:hAnsi="Times New Roman"/>
          <w:sz w:val="16"/>
          <w:szCs w:val="16"/>
          <w:color w:val="auto"/>
        </w:rPr>
        <w:t xml:space="preserve">. Such notice need not be sent in advance of the occurrence of the Mandatory Conversion Time. Upon receipt of such notice, each holder of shares of such series of Preferred Stock and Nonvoting Common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and Nonvoting Common Stock converted pursuant to </w:t>
      </w:r>
      <w:r>
        <w:rPr>
          <w:rFonts w:ascii="Times New Roman" w:cs="Times New Roman" w:eastAsia="Times New Roman" w:hAnsi="Times New Roman"/>
          <w:sz w:val="16"/>
          <w:szCs w:val="16"/>
          <w:u w:val="single" w:color="auto"/>
          <w:color w:val="auto"/>
        </w:rPr>
        <w:t>Section 5.1</w:t>
      </w:r>
      <w:r>
        <w:rPr>
          <w:rFonts w:ascii="Times New Roman" w:cs="Times New Roman" w:eastAsia="Times New Roman" w:hAnsi="Times New Roman"/>
          <w:sz w:val="16"/>
          <w:szCs w:val="16"/>
          <w:color w:val="auto"/>
        </w:rPr>
        <w:t xml:space="preserve">, including the rights, if any, to receive notices and vote (other than as a holder of Voting Common Stock), as applicable, will terminate at the applicable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Times New Roman" w:cs="Times New Roman" w:eastAsia="Times New Roman" w:hAnsi="Times New Roman"/>
          <w:sz w:val="16"/>
          <w:szCs w:val="16"/>
          <w:u w:val="single" w:color="auto"/>
          <w:color w:val="auto"/>
        </w:rPr>
        <w:t>Section 5.2</w:t>
      </w:r>
      <w:r>
        <w:rPr>
          <w:rFonts w:ascii="Times New Roman" w:cs="Times New Roman" w:eastAsia="Times New Roman" w:hAnsi="Times New Roman"/>
          <w:sz w:val="16"/>
          <w:szCs w:val="16"/>
          <w:color w:val="auto"/>
        </w:rPr>
        <w:t xml:space="preserve">. As soon as practicable after the applicable Mandatory Conversion Time and the surrender of the certificate or certificates (or lost certificate affidavit and agreement) for Preferred Stock or Nonvoting Common Stock, the Corporation shall (a) issue and deliver to such holder, or to his, her or its nominees, a certificate or certificates for the number of full shares of Voting Common Stock issuable on such conversion in accordance with the provisions hereof, (b) pay cash as provided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in lieu of any fraction of a share of Voting Common Stock otherwise issuable upon such conversion, and (c) pay any declared or accrued but unpaid dividends on the shares of Preferred Stock or Nonvoting Common Stock converted (including, without limitation, all accrued but unpaid Series G-4 PIK Dividends, Series G-3 PIK Dividends, Series G Accruing Dividends, Series F Accruing Dividends, Series E Accruing Dividends, Series D Accruing Dividends, Series C Accruing Dividends, Series B-2 Accruing Dividends, Series B-1 Accruing Dividends, Series B Accruing Dividends or Series A Accruing Dividends, as applicable), at the Corporation’s option, in either (i) cash or (ii) in the case of a public offering, shares of Voting Common Stock determined by dividing (A) the aggregate amount of such unpaid dividends by (B) the final per share public offering price of such securities (and pay cash as provided in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in lieu of any fraction of a share of Voting Common Stock otherwise issuable upon such payment in shares of Voting Common Stock). Such converted Preferred Stock and Nonvoting Common Stock shall be retired and cancelled and may not be reissued as shares of such series, and the Corporation may thereafter take such appropriate action (without the need for stockholder action) as may be necessary to reduce the authorized number of shares of Preferred Stock or Nonvoting Common Stock accordingly.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80" w:hanging="308"/>
        <w:spacing w:after="0"/>
        <w:tabs>
          <w:tab w:leader="none" w:pos="12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firstLine="1393"/>
        <w:spacing w:after="0" w:line="249"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Series G-4 Preferred Stock</w:t>
      </w:r>
      <w:r>
        <w:rPr>
          <w:rFonts w:ascii="Times New Roman" w:cs="Times New Roman" w:eastAsia="Times New Roman" w:hAnsi="Times New Roman"/>
          <w:sz w:val="18"/>
          <w:szCs w:val="18"/>
          <w:color w:val="auto"/>
        </w:rPr>
        <w:t>. Unless prohibited by Delaware law governing distributions to stockholders, shares of Series G-4 Preferred Stock shall be redeemed by the Corporation at a price equal to the Series G-4 Original Issue Price, plus any accrued but unpaid Series G-4 PIK Dividends,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G-4 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G-4 Redemption 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580" w:top="265" w:right="599" w:bottom="1440" w:gutter="0" w:footer="0" w:header="0"/>
        </w:sectPr>
      </w:pPr>
    </w:p>
    <w:bookmarkStart w:id="364" w:name="page365"/>
    <w:bookmarkEnd w:id="364"/>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Original Issue Date of the Series G-4 Preferred Stock and ending sixty (60) days thereafter, of written notice from the holders of a majority of the then outstanding shares of Series G-4 Preferred Stock, voting as a separate class and series, requesting redemption of all shares of Series G-4 Preferred Stock (the “</w:t>
      </w:r>
      <w:r>
        <w:rPr>
          <w:rFonts w:ascii="Times New Roman" w:cs="Times New Roman" w:eastAsia="Times New Roman" w:hAnsi="Times New Roman"/>
          <w:sz w:val="18"/>
          <w:szCs w:val="18"/>
          <w:b w:val="1"/>
          <w:bCs w:val="1"/>
          <w:i w:val="1"/>
          <w:iCs w:val="1"/>
          <w:color w:val="auto"/>
        </w:rPr>
        <w:t>Series G-4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G-4 Excluded Shares (as defined below) shall not be redeemed. Upon receipt of a Series G-4 Redemption Request, the Corporation shall apply all of its assets to any such redemption, and to no other corporate purpose, except to the extent prohibited by Delaware law governing distributions to stockholders. If, on the Series G-4 Redemption Date, Delaware law governing distributions to stockholders prevents the Corporation from redeeming all shares of Series G-4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G-4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to each holder of record of Series G-4 Preferred Stock, Series G-3 Preferred Stock, Series G-2 Preferred Stock, Series G Preferred Stock, Series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 Preferred Stock, Series E Preferred Stock and Series D Preferred Stock at least fifteen (15) days but no more than thirty (30) days prior to the Series G-4 Redemption Date. The Series G-4 Redemption Notice shall state (i) the number of shares of Series G-4 Preferred Stock held by the holder that the Corporation shall redeem on the Series G-4 Redemption Date, (ii) the Series G-4 Redemption Date and the Series G-4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G-4 Preferred Stock to be redeemed.</w:t>
      </w:r>
    </w:p>
    <w:p>
      <w:pPr>
        <w:spacing w:after="0" w:line="191"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G-4 Redemption Notice to a holder of Series G-4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then the shares of Series G-4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G-4 Excluded Shares</w:t>
      </w:r>
      <w:r>
        <w:rPr>
          <w:rFonts w:ascii="Times New Roman" w:cs="Times New Roman" w:eastAsia="Times New Roman" w:hAnsi="Times New Roman"/>
          <w:sz w:val="18"/>
          <w:szCs w:val="18"/>
          <w:color w:val="auto"/>
        </w:rPr>
        <w:t xml:space="preserve">.” Series G-4 Excluded Shares shall not be redeemed or redeemable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whether on such Series G-4 Redemption Date or thereafter.</w:t>
      </w:r>
    </w:p>
    <w:p>
      <w:pPr>
        <w:spacing w:after="0" w:line="194" w:lineRule="exact"/>
        <w:rPr>
          <w:sz w:val="20"/>
          <w:szCs w:val="20"/>
          <w:color w:val="auto"/>
        </w:rPr>
      </w:pPr>
    </w:p>
    <w:p>
      <w:pPr>
        <w:ind w:firstLine="1393"/>
        <w:spacing w:after="0" w:line="24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Series G-3 Preferred Stock</w:t>
      </w:r>
      <w:r>
        <w:rPr>
          <w:rFonts w:ascii="Times New Roman" w:cs="Times New Roman" w:eastAsia="Times New Roman" w:hAnsi="Times New Roman"/>
          <w:sz w:val="18"/>
          <w:szCs w:val="18"/>
          <w:color w:val="auto"/>
        </w:rPr>
        <w:t>. Unless prohibited by Delaware law governing distributions to stockholders, shares of Series G-3 Preferred Stock shall be redeemed by the Corporation at a price equal to the Series G-3 Original Issue Price, plus any accrued but unpaid Series G-3 PIK Dividends,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G-3 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G-3 Redemption Date</w:t>
      </w:r>
      <w:r>
        <w:rPr>
          <w:rFonts w:ascii="Times New Roman" w:cs="Times New Roman" w:eastAsia="Times New Roman" w:hAnsi="Times New Roman"/>
          <w:sz w:val="18"/>
          <w:szCs w:val="18"/>
          <w:color w:val="auto"/>
        </w:rPr>
        <w:t>”) not more than sixty (60) days after receipt by the Corporation, at any time during the period commencing on the date that is seven (7) years from the Original Issue Date of the Series G-4 Preferred Stock and ending sixty (60) days thereafter, of written notice from the holders of a majority of the then outstanding shares of Series G-3 Preferred Stock, voting as a separate class and series, requesting redemption of all shares of Series G-3 Preferred Stock (the “</w:t>
      </w:r>
      <w:r>
        <w:rPr>
          <w:rFonts w:ascii="Times New Roman" w:cs="Times New Roman" w:eastAsia="Times New Roman" w:hAnsi="Times New Roman"/>
          <w:sz w:val="18"/>
          <w:szCs w:val="18"/>
          <w:b w:val="1"/>
          <w:bCs w:val="1"/>
          <w:i w:val="1"/>
          <w:iCs w:val="1"/>
          <w:color w:val="auto"/>
        </w:rPr>
        <w:t>Series G-3 Redemption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Series G-3 Excluded Shares (as defined below) shall not be redeemed. Upon receipt of a Series G-3 Redemption Request, the Corporation shall apply all of its assets to any such redemption, and to no other corporate purpose, except to the extent prohibited by Delaware law governing distributions to stockholders. If, on the Series G-3 Redemption Date, Delaware law governing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20"/>
          </w:cols>
          <w:pgMar w:left="580" w:top="265" w:right="599" w:bottom="1440" w:gutter="0" w:footer="0" w:header="0"/>
        </w:sectPr>
      </w:pPr>
    </w:p>
    <w:bookmarkStart w:id="365" w:name="page366"/>
    <w:bookmarkEnd w:id="365"/>
    <w:p>
      <w:pPr>
        <w:ind w:right="4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distributions to stockholders prevents the Corporation from redeeming all shares of Series G-3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8"/>
          <w:szCs w:val="18"/>
          <w:b w:val="1"/>
          <w:bCs w:val="1"/>
          <w:i w:val="1"/>
          <w:iCs w:val="1"/>
          <w:color w:val="auto"/>
        </w:rPr>
        <w:t>Series G-3 Redemption Notice</w:t>
      </w:r>
      <w:r>
        <w:rPr>
          <w:rFonts w:ascii="Times New Roman" w:cs="Times New Roman" w:eastAsia="Times New Roman" w:hAnsi="Times New Roman"/>
          <w:sz w:val="18"/>
          <w:szCs w:val="18"/>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G-3 Redemption Date. The Series G-3 Redemption Notice shall state (i) the number of shares of Series G-3 Preferred Stock held by the holder that the Corporation shall redeem on the Series G-3 Redemption Date, (ii) the Series G-3 Redemption Date and the Series G-3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G-3 Preferred Stock to be redeemed.</w:t>
      </w:r>
    </w:p>
    <w:p>
      <w:pPr>
        <w:spacing w:after="0" w:line="189"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G-3 Redemption Notice to a holder of Series G-3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then the shares of Series G-3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G-3 Excluded Shares</w:t>
      </w:r>
      <w:r>
        <w:rPr>
          <w:rFonts w:ascii="Times New Roman" w:cs="Times New Roman" w:eastAsia="Times New Roman" w:hAnsi="Times New Roman"/>
          <w:sz w:val="18"/>
          <w:szCs w:val="18"/>
          <w:color w:val="auto"/>
        </w:rPr>
        <w:t xml:space="preserve">.” Series G-3 Excluded Shares shall not be redeemed or redeemable pursuant to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whether on such Series G-3 Redemption Date or thereafter.</w:t>
      </w:r>
    </w:p>
    <w:p>
      <w:pPr>
        <w:spacing w:after="0" w:line="194" w:lineRule="exact"/>
        <w:rPr>
          <w:sz w:val="20"/>
          <w:szCs w:val="20"/>
          <w:color w:val="auto"/>
        </w:rPr>
      </w:pPr>
    </w:p>
    <w:p>
      <w:pPr>
        <w:ind w:firstLine="1393"/>
        <w:spacing w:after="0" w:line="278"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u w:val="single" w:color="auto"/>
          <w:color w:val="auto"/>
        </w:rPr>
        <w:t>Series G-2 Preferred Stock</w:t>
      </w:r>
      <w:r>
        <w:rPr>
          <w:rFonts w:ascii="Times New Roman" w:cs="Times New Roman" w:eastAsia="Times New Roman" w:hAnsi="Times New Roman"/>
          <w:sz w:val="16"/>
          <w:szCs w:val="16"/>
          <w:color w:val="auto"/>
        </w:rPr>
        <w:t>. Unless prohibited by Delaware law governing distributions to stockholders, shares of Series G-2 Preferred Stock shall be redeemed by the Corporation at a price equal to the Series G-2 Original Issue Price per share, together with any other dividends declared but unpaid thereon (the “</w:t>
      </w:r>
      <w:r>
        <w:rPr>
          <w:rFonts w:ascii="Times New Roman" w:cs="Times New Roman" w:eastAsia="Times New Roman" w:hAnsi="Times New Roman"/>
          <w:sz w:val="16"/>
          <w:szCs w:val="16"/>
          <w:b w:val="1"/>
          <w:bCs w:val="1"/>
          <w:i w:val="1"/>
          <w:iCs w:val="1"/>
          <w:color w:val="auto"/>
        </w:rPr>
        <w:t>Series G-2 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G-2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Date</w:t>
      </w:r>
      <w:r>
        <w:rPr>
          <w:rFonts w:ascii="Times New Roman" w:cs="Times New Roman" w:eastAsia="Times New Roman" w:hAnsi="Times New Roman"/>
          <w:sz w:val="16"/>
          <w:szCs w:val="16"/>
          <w:color w:val="auto"/>
        </w:rPr>
        <w:t>”) not more than sixty (60) days after receipt by the Corporation, at any time during the period commencing on the date that is seven (7) years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Original Issue Date of the Series G-4 Preferred Stock and ending sixty (60) days thereafter, of written notice from the holders of a majority of the then outstanding shares of Series G-2 Preferred Stock, voting as a separate class and series, requesting redemption of all shares of Series G-2 Preferred Stock (the “</w:t>
      </w:r>
      <w:r>
        <w:rPr>
          <w:rFonts w:ascii="Times New Roman" w:cs="Times New Roman" w:eastAsia="Times New Roman" w:hAnsi="Times New Roman"/>
          <w:sz w:val="16"/>
          <w:szCs w:val="16"/>
          <w:b w:val="1"/>
          <w:bCs w:val="1"/>
          <w:i w:val="1"/>
          <w:iCs w:val="1"/>
          <w:color w:val="auto"/>
        </w:rPr>
        <w:t>Series G-2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G-2 Excluded Shares (as defined below) shall not be redeemed. Upon receipt of a Series G-2 Redemption Request, the Corporation shall apply all of its assets to any such redemption, and to no other corporate purpose, except to the extent prohibited by Delaware law governing distributions to stockholders. If, on the Series G-2 Redemption Date, Delaware law governing distributions to stockholders prevents the Corporation from redeeming all shares of Series G-2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G-2 Redemption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Notice</w:t>
      </w:r>
      <w:r>
        <w:rPr>
          <w:rFonts w:ascii="Times New Roman" w:cs="Times New Roman" w:eastAsia="Times New Roman" w:hAnsi="Times New Roman"/>
          <w:sz w:val="16"/>
          <w:szCs w:val="16"/>
          <w:color w:val="auto"/>
        </w:rPr>
        <w:t>”) to each holder of record of Series G-4 Preferred Stock, Series G-3 Preferred Stock, Series G-2 Preferred Stock, Series G Preferred Stock, Series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 Preferred Stock, Series E Preferred Stock and Series D Preferred Stock at least fifteen (15) days but no more than thirty (30) days prior to the Series G-2 Redemption Date. The Series G-2 Redemption Notice shall state (i) the number of shares of Series G-2</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720"/>
          </w:cols>
          <w:pgMar w:left="580" w:top="265" w:right="599" w:bottom="1440" w:gutter="0" w:footer="0" w:header="0"/>
        </w:sectPr>
      </w:pPr>
    </w:p>
    <w:bookmarkStart w:id="366" w:name="page367"/>
    <w:bookmarkEnd w:id="366"/>
    <w:p>
      <w:pPr>
        <w:ind w:right="1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Preferred Stock held by the holder that the Corporation shall redeem on the Series G-2 Redemption Date, (ii) the Series G-2 Redemption Date and the Series G-2 Redemption Price, (iii) the date upon which the holder’s right to convert such shares terminates (as determined in accordance with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and (iv) for holders of shares in certificated form, that the holder is to surrender to the Corporation, in the manner and at the place designated, his, her or its certificate or certificates representing the shares of Series G-2 Preferred Stock to be redeemed.</w:t>
      </w:r>
    </w:p>
    <w:p>
      <w:pPr>
        <w:spacing w:after="0" w:line="184"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G-2 Redemption Notice to a holder of Series G-2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then the shares of Series G-2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G-2 Excluded Shares</w:t>
      </w:r>
      <w:r>
        <w:rPr>
          <w:rFonts w:ascii="Times New Roman" w:cs="Times New Roman" w:eastAsia="Times New Roman" w:hAnsi="Times New Roman"/>
          <w:sz w:val="18"/>
          <w:szCs w:val="18"/>
          <w:color w:val="auto"/>
        </w:rPr>
        <w:t xml:space="preserve">.” Series G-2 Excluded Shares shall not be redeemed or redeemable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whether on such Series G-2 Redemption Date or thereafter.</w:t>
      </w:r>
    </w:p>
    <w:p>
      <w:pPr>
        <w:spacing w:after="0" w:line="194"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u w:val="single" w:color="auto"/>
          <w:color w:val="auto"/>
        </w:rPr>
        <w:t>Series G Preferred Stock</w:t>
      </w:r>
      <w:r>
        <w:rPr>
          <w:rFonts w:ascii="Times New Roman" w:cs="Times New Roman" w:eastAsia="Times New Roman" w:hAnsi="Times New Roman"/>
          <w:sz w:val="16"/>
          <w:szCs w:val="16"/>
          <w:color w:val="auto"/>
        </w:rPr>
        <w:t>. Unless prohibited by Delaware law governing distributions to stockholders, shares of Series G Preferred Stock shall be redeemed by the Corporation at a price equal to the Series G Original Issue Price per share, plus any Series G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G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G-4 Preferred Stock and ending sixty (60) days thereafter, of written notice from the holders of a majority of the then outstanding shares of Series G Preferred Stock, voting as a separate class and series, requesting redemption of all shares of Series G Preferred Stock (the “</w:t>
      </w:r>
      <w:r>
        <w:rPr>
          <w:rFonts w:ascii="Times New Roman" w:cs="Times New Roman" w:eastAsia="Times New Roman" w:hAnsi="Times New Roman"/>
          <w:sz w:val="16"/>
          <w:szCs w:val="16"/>
          <w:b w:val="1"/>
          <w:bCs w:val="1"/>
          <w:i w:val="1"/>
          <w:iCs w:val="1"/>
          <w:color w:val="auto"/>
        </w:rPr>
        <w:t>Series G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G Excluded Shares (as defined below) shall not be redeemed. Upon receipt of a Series G Redemption Request, the Corporation shall apply all of its assets to any such redemption, and to no other corporate purpose, except to the extent prohibited by Delaware law governing distributions to stockholders. If, on the Series G Redemption Date, Delaware law governing distributions to stockholders prevents the Corporation from redeeming all shares of Series G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G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G Redemption Date. The Series G Redemption Notice shall state (i) the number of shares of Series G Preferred Stock held by the holder that the Corporation shall redeem on the Series G Redemption Date, (ii) the Series G Redemption Date and the Series G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G Preferred Stock to be redeemed.</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660"/>
          </w:cols>
          <w:pgMar w:left="580" w:top="265" w:right="659" w:bottom="1440" w:gutter="0" w:footer="0" w:header="0"/>
        </w:sectPr>
      </w:pPr>
    </w:p>
    <w:bookmarkStart w:id="367" w:name="page368"/>
    <w:bookmarkEnd w:id="367"/>
    <w:p>
      <w:pPr>
        <w:ind w:right="40"/>
        <w:spacing w:after="0" w:line="22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G Redemption Notice to a holder of Series G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then the shares of Series G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G Excluded Shares</w:t>
      </w:r>
      <w:r>
        <w:rPr>
          <w:rFonts w:ascii="Times New Roman" w:cs="Times New Roman" w:eastAsia="Times New Roman" w:hAnsi="Times New Roman"/>
          <w:sz w:val="18"/>
          <w:szCs w:val="18"/>
          <w:color w:val="auto"/>
        </w:rPr>
        <w:t xml:space="preserve">.” Series G Excluded Shares shall not be redeemed or redeemable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whether on such Series G Redemption Date or thereafter.</w:t>
      </w:r>
    </w:p>
    <w:p>
      <w:pPr>
        <w:spacing w:after="0" w:line="194" w:lineRule="exact"/>
        <w:rPr>
          <w:sz w:val="20"/>
          <w:szCs w:val="20"/>
          <w:color w:val="auto"/>
        </w:rPr>
      </w:pPr>
    </w:p>
    <w:p>
      <w:pPr>
        <w:ind w:firstLine="1393"/>
        <w:spacing w:after="0" w:line="277"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u w:val="single" w:color="auto"/>
          <w:color w:val="auto"/>
        </w:rPr>
        <w:t>Series F Preferred Stock</w:t>
      </w:r>
      <w:r>
        <w:rPr>
          <w:rFonts w:ascii="Times New Roman" w:cs="Times New Roman" w:eastAsia="Times New Roman" w:hAnsi="Times New Roman"/>
          <w:sz w:val="16"/>
          <w:szCs w:val="16"/>
          <w:color w:val="auto"/>
        </w:rPr>
        <w:t>. Unless prohibited by Delaware law governing distributions to stockholders, shares of Series F Preferred Stock shall be redeemed by the Corporation at a price equal to the Series F Original Issue Price per share, plus any Series F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F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G-4 Preferred Stock and ending sixty (60) days thereafter, of written notice from the holders of a majority of the then outstanding shares of Series F Preferred Stock, voting as a separate class and series, requesting redemption of all shares of Series F Preferred Stock (the “</w:t>
      </w:r>
      <w:r>
        <w:rPr>
          <w:rFonts w:ascii="Times New Roman" w:cs="Times New Roman" w:eastAsia="Times New Roman" w:hAnsi="Times New Roman"/>
          <w:sz w:val="16"/>
          <w:szCs w:val="16"/>
          <w:b w:val="1"/>
          <w:bCs w:val="1"/>
          <w:i w:val="1"/>
          <w:iCs w:val="1"/>
          <w:color w:val="auto"/>
        </w:rPr>
        <w:t>Series F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F Excluded Shares (as defined below) shall not be redeemed. Upon receipt of a Series F Redemption Request, the Corporation shall apply all of its assets to any such redemption, and to no other corporate purpose, except to the extent prohibited by Delaware law governing distributions to stockholders. If, on the Series F Redemption Date, Delaware law governing distributions to stockholders prevents the Corporation from redeeming all shares of Series F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F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F Redemption Date. The Series F Redemption Notice shall state (i) the number of shares of Series F Preferred Stock held by the holder that the Corporation shall redeem on the Series F Redemption Date, (ii) the Series F Redemption Date and the Series F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F Preferred Stock to be redeemed.</w:t>
      </w:r>
    </w:p>
    <w:p>
      <w:pPr>
        <w:spacing w:after="0" w:line="379"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F Redemption Notice to a holder of Series F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then the shares of Series F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F Excluded Shares</w:t>
      </w:r>
      <w:r>
        <w:rPr>
          <w:rFonts w:ascii="Times New Roman" w:cs="Times New Roman" w:eastAsia="Times New Roman" w:hAnsi="Times New Roman"/>
          <w:sz w:val="18"/>
          <w:szCs w:val="18"/>
          <w:color w:val="auto"/>
        </w:rPr>
        <w:t xml:space="preserve">.” Series F Excluded Shares shall not be redeemed or redeemable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whether on such Series F Redemption Date or thereafter.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700"/>
          </w:cols>
          <w:pgMar w:left="580" w:top="265" w:right="619" w:bottom="1440" w:gutter="0" w:footer="0" w:header="0"/>
        </w:sectPr>
      </w:pPr>
    </w:p>
    <w:bookmarkStart w:id="368" w:name="page369"/>
    <w:bookmarkEnd w:id="368"/>
    <w:p>
      <w:pPr>
        <w:ind w:firstLine="1393"/>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6.6 </w:t>
      </w:r>
      <w:r>
        <w:rPr>
          <w:rFonts w:ascii="Times New Roman" w:cs="Times New Roman" w:eastAsia="Times New Roman" w:hAnsi="Times New Roman"/>
          <w:sz w:val="16"/>
          <w:szCs w:val="16"/>
          <w:u w:val="single" w:color="auto"/>
          <w:color w:val="auto"/>
        </w:rPr>
        <w:t>Series E Preferred Stock</w:t>
      </w:r>
      <w:r>
        <w:rPr>
          <w:rFonts w:ascii="Times New Roman" w:cs="Times New Roman" w:eastAsia="Times New Roman" w:hAnsi="Times New Roman"/>
          <w:sz w:val="16"/>
          <w:szCs w:val="16"/>
          <w:color w:val="auto"/>
        </w:rPr>
        <w:t>. Unless prohibited by Delaware law governing distributions to stockholders, shares of Series E Preferred Stock shall be redeemed by the Corporation at a price equal to the Series E Original Issue Price per share, plus any Series E Accruing Dividends accrued but unpaid thereon, whether or not declared, together with any other dividends declared but unpaid thereon (the “</w:t>
      </w:r>
      <w:r>
        <w:rPr>
          <w:rFonts w:ascii="Times New Roman" w:cs="Times New Roman" w:eastAsia="Times New Roman" w:hAnsi="Times New Roman"/>
          <w:sz w:val="16"/>
          <w:szCs w:val="16"/>
          <w:b w:val="1"/>
          <w:bCs w:val="1"/>
          <w:i w:val="1"/>
          <w:iCs w:val="1"/>
          <w:color w:val="auto"/>
        </w:rPr>
        <w:t>Series 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Redemption Price</w:t>
      </w:r>
      <w:r>
        <w:rPr>
          <w:rFonts w:ascii="Times New Roman" w:cs="Times New Roman" w:eastAsia="Times New Roman" w:hAnsi="Times New Roman"/>
          <w:sz w:val="16"/>
          <w:szCs w:val="16"/>
          <w:color w:val="auto"/>
        </w:rPr>
        <w:t>”), in one (1) cash payment (such date of redemption, the “</w:t>
      </w:r>
      <w:r>
        <w:rPr>
          <w:rFonts w:ascii="Times New Roman" w:cs="Times New Roman" w:eastAsia="Times New Roman" w:hAnsi="Times New Roman"/>
          <w:sz w:val="16"/>
          <w:szCs w:val="16"/>
          <w:b w:val="1"/>
          <w:bCs w:val="1"/>
          <w:i w:val="1"/>
          <w:iCs w:val="1"/>
          <w:color w:val="auto"/>
        </w:rPr>
        <w:t>Series E Redemption Date</w:t>
      </w:r>
      <w:r>
        <w:rPr>
          <w:rFonts w:ascii="Times New Roman" w:cs="Times New Roman" w:eastAsia="Times New Roman" w:hAnsi="Times New Roman"/>
          <w:sz w:val="16"/>
          <w:szCs w:val="16"/>
          <w:color w:val="auto"/>
        </w:rPr>
        <w:t>”) not more than sixty (60) days after receipt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Corporation, at any time during the period commencing on the date that is seven (7) years from the Original Issue Date of the Series G-4 Preferred Stock and ending sixty (60) days thereafter, of written notice from the holders of a majority of the then outstanding shares of Series E Preferred Stock, voting as a separate class and series, requesting redemption of all shares of Series E Preferred Stock (the “</w:t>
      </w:r>
      <w:r>
        <w:rPr>
          <w:rFonts w:ascii="Times New Roman" w:cs="Times New Roman" w:eastAsia="Times New Roman" w:hAnsi="Times New Roman"/>
          <w:sz w:val="16"/>
          <w:szCs w:val="16"/>
          <w:b w:val="1"/>
          <w:bCs w:val="1"/>
          <w:i w:val="1"/>
          <w:iCs w:val="1"/>
          <w:color w:val="auto"/>
        </w:rPr>
        <w:t>Series E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E Excluded Shares (as defined below) shall not be redeemed. Upon receipt of a Series E Redemption Request, the Corporation shall apply all of its assets to any such redemption, and to no other corporate purpose, except to the extent prohibited by Delaware law governing distributions to stockholders. If, on the Series E Redemption Date, Delaware law governing distributions to stockholders prevents the Corporation from redeeming all shares of Series E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E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E Redemption Date. The Series E Redemption Notice shall state (i) the number of shares of Series E Preferred Stock held by the holder that the Corporation shall redeem on the Series E Redemption Date, (ii) the Series E Redemption Date and the Series E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E Preferred Stock to be redeemed.</w:t>
      </w:r>
    </w:p>
    <w:p>
      <w:pPr>
        <w:spacing w:after="0" w:line="379"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E Redemption Notice to a holder of Series E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then the shares of Series E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E Excluded Shares</w:t>
      </w:r>
      <w:r>
        <w:rPr>
          <w:rFonts w:ascii="Times New Roman" w:cs="Times New Roman" w:eastAsia="Times New Roman" w:hAnsi="Times New Roman"/>
          <w:sz w:val="18"/>
          <w:szCs w:val="18"/>
          <w:color w:val="auto"/>
        </w:rPr>
        <w:t xml:space="preserve">.” Series E Excluded Shares shall not be redeemed or redeemable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whether on such Series E Redemption Date or thereafter.</w:t>
      </w:r>
    </w:p>
    <w:p>
      <w:pPr>
        <w:spacing w:after="0" w:line="194" w:lineRule="exact"/>
        <w:rPr>
          <w:sz w:val="20"/>
          <w:szCs w:val="20"/>
          <w:color w:val="auto"/>
        </w:rPr>
      </w:pPr>
    </w:p>
    <w:p>
      <w:pPr>
        <w:ind w:right="200" w:firstLine="1393"/>
        <w:spacing w:after="0" w:line="24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Series D Preferred Stock</w:t>
      </w:r>
      <w:r>
        <w:rPr>
          <w:rFonts w:ascii="Times New Roman" w:cs="Times New Roman" w:eastAsia="Times New Roman" w:hAnsi="Times New Roman"/>
          <w:sz w:val="18"/>
          <w:szCs w:val="18"/>
          <w:color w:val="auto"/>
        </w:rPr>
        <w:t>. Unless prohibited by Delaware law governing distributions to stockholders, shares of Series D Preferred Stock shall be redeemed by the Corporation at a price equal to the Series D Original Issue Price per share, plus any Series D Accruing Dividends accrued but unpaid thereon, whether or not declared, together with any other dividends declared but unpaid thereon (the “</w:t>
      </w:r>
      <w:r>
        <w:rPr>
          <w:rFonts w:ascii="Times New Roman" w:cs="Times New Roman" w:eastAsia="Times New Roman" w:hAnsi="Times New Roman"/>
          <w:sz w:val="18"/>
          <w:szCs w:val="18"/>
          <w:b w:val="1"/>
          <w:bCs w:val="1"/>
          <w:i w:val="1"/>
          <w:iCs w:val="1"/>
          <w:color w:val="auto"/>
        </w:rPr>
        <w:t>Series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in one (1) cash payment (such date of redemption, the “</w:t>
      </w:r>
      <w:r>
        <w:rPr>
          <w:rFonts w:ascii="Times New Roman" w:cs="Times New Roman" w:eastAsia="Times New Roman" w:hAnsi="Times New Roman"/>
          <w:sz w:val="18"/>
          <w:szCs w:val="18"/>
          <w:b w:val="1"/>
          <w:bCs w:val="1"/>
          <w:i w:val="1"/>
          <w:iCs w:val="1"/>
          <w:color w:val="auto"/>
        </w:rPr>
        <w:t>Series D Redemption Date</w:t>
      </w:r>
      <w:r>
        <w:rPr>
          <w:rFonts w:ascii="Times New Roman" w:cs="Times New Roman" w:eastAsia="Times New Roman" w:hAnsi="Times New Roman"/>
          <w:sz w:val="18"/>
          <w:szCs w:val="18"/>
          <w:color w:val="auto"/>
        </w:rPr>
        <w:t>” and together with each of the Series 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Date, the Series F Redemption Date and the Series E Redemption Date, a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not more than sixty (60) days after receipt by the Corporation, at any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20"/>
          </w:cols>
          <w:pgMar w:left="580" w:top="265" w:right="59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during the period commencing on the date that is seven (7) years from the Original Issue Date of the Series G-4 Preferred Stock and ending sixty</w:t>
      </w:r>
    </w:p>
    <w:p>
      <w:pPr>
        <w:spacing w:after="0" w:line="21" w:lineRule="exact"/>
        <w:rPr>
          <w:sz w:val="20"/>
          <w:szCs w:val="20"/>
          <w:color w:val="auto"/>
        </w:rPr>
      </w:pPr>
    </w:p>
    <w:p>
      <w:pPr>
        <w:ind w:firstLine="8"/>
        <w:spacing w:after="0" w:line="276" w:lineRule="auto"/>
        <w:tabs>
          <w:tab w:leader="none" w:pos="335"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thereafter, of written notice from the holders of at least sixty percent (60%) of the then outstanding shares of Series D Preferred Stock, voting as a separate class and series, requesting redemption of all shares of Series D Preferred Stock (the “</w:t>
      </w:r>
      <w:r>
        <w:rPr>
          <w:rFonts w:ascii="Times New Roman" w:cs="Times New Roman" w:eastAsia="Times New Roman" w:hAnsi="Times New Roman"/>
          <w:sz w:val="16"/>
          <w:szCs w:val="16"/>
          <w:b w:val="1"/>
          <w:bCs w:val="1"/>
          <w:i w:val="1"/>
          <w:iCs w:val="1"/>
          <w:color w:val="auto"/>
        </w:rPr>
        <w:t>Series D Redemption Request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Series D Excluded Shares (as defined below) shall not be redeemed. Upon receipt of a Series D Redemption Request, the Corporation shall apply all of its assets to any such redemption, and to no other corporate purpose, except to the extent prohibited by Delaware law governing distributions to stockholders. If, on the Series D Redemption Date, Delaware law governing distributions to stockholders prevents the Corporation from redeeming all shares of Series D Preferred Stock to be redeemed, then the Corporation shall ratably redeem the maximum number of shares that it may redeem consistent with such law, and shall redeem the remaining shares as soon as it may lawfully do so under such law. The Corporation shall send written notice of the mandatory redemption (the “</w:t>
      </w:r>
      <w:r>
        <w:rPr>
          <w:rFonts w:ascii="Times New Roman" w:cs="Times New Roman" w:eastAsia="Times New Roman" w:hAnsi="Times New Roman"/>
          <w:sz w:val="16"/>
          <w:szCs w:val="16"/>
          <w:b w:val="1"/>
          <w:bCs w:val="1"/>
          <w:i w:val="1"/>
          <w:iCs w:val="1"/>
          <w:color w:val="auto"/>
        </w:rPr>
        <w:t>Series D Redemption Notice</w:t>
      </w:r>
      <w:r>
        <w:rPr>
          <w:rFonts w:ascii="Times New Roman" w:cs="Times New Roman" w:eastAsia="Times New Roman" w:hAnsi="Times New Roman"/>
          <w:sz w:val="16"/>
          <w:szCs w:val="16"/>
          <w:color w:val="auto"/>
        </w:rPr>
        <w:t xml:space="preserve">”) to each holder of record of Series G-4 Preferred Stock, Series G-3 Preferred Stock, Series G-2 Preferred Stock, Series G Preferred Stock, Series F Preferred Stock, Series E Preferred Stock and Series D Preferred Stock at least fifteen (15) days but no more than thirty (30) days prior to the Series D Redemption Date. The Series D Redemption Notice shall state (i) the number of shares of Series D Preferred Stock held by the holder that the Corporation shall redeem on the Series D Redemption Date, (ii) the Series D Redemption Date and the Series D Redemption Price, (iii) the date upon which the holder’s right to convert such shares terminates (as determined in accordance with </w:t>
      </w:r>
      <w:r>
        <w:rPr>
          <w:rFonts w:ascii="Times New Roman" w:cs="Times New Roman" w:eastAsia="Times New Roman" w:hAnsi="Times New Roman"/>
          <w:sz w:val="16"/>
          <w:szCs w:val="16"/>
          <w:u w:val="single" w:color="auto"/>
          <w:color w:val="auto"/>
        </w:rPr>
        <w:t>Section 4.1.2</w:t>
      </w:r>
      <w:r>
        <w:rPr>
          <w:rFonts w:ascii="Times New Roman" w:cs="Times New Roman" w:eastAsia="Times New Roman" w:hAnsi="Times New Roman"/>
          <w:sz w:val="16"/>
          <w:szCs w:val="16"/>
          <w:color w:val="auto"/>
        </w:rPr>
        <w:t>), and (iv) for holders of shares in certificated form, that the holder is to surrender to the Corporation, in the manner and at the place designated, his, her or its certificate or certificates representing the shares of Series D Preferred Stock to be redeemed.</w:t>
      </w:r>
    </w:p>
    <w:p>
      <w:pPr>
        <w:spacing w:after="0" w:line="382"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color w:val="auto"/>
        </w:rPr>
        <w:t>If the Corporation receives, on or prior to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date of delivery of the Series D Redemption Notice to a holder of Series D Preferred Stock, written notice from such holder that such holder elects to be excluded from the redemption provided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then the shares of Series D Preferred Stock registered on the books of the Corporation in the name of such holder at the time of the Corporation’s receipt of such notice shall thereafter be “</w:t>
      </w:r>
      <w:r>
        <w:rPr>
          <w:rFonts w:ascii="Times New Roman" w:cs="Times New Roman" w:eastAsia="Times New Roman" w:hAnsi="Times New Roman"/>
          <w:sz w:val="18"/>
          <w:szCs w:val="18"/>
          <w:b w:val="1"/>
          <w:bCs w:val="1"/>
          <w:i w:val="1"/>
          <w:iCs w:val="1"/>
          <w:color w:val="auto"/>
        </w:rPr>
        <w:t>Series D Excluded Shares</w:t>
      </w:r>
      <w:r>
        <w:rPr>
          <w:rFonts w:ascii="Times New Roman" w:cs="Times New Roman" w:eastAsia="Times New Roman" w:hAnsi="Times New Roman"/>
          <w:sz w:val="18"/>
          <w:szCs w:val="18"/>
          <w:color w:val="auto"/>
        </w:rPr>
        <w:t xml:space="preserve">.” Series D Excluded Shares shall not be redeemed or redeemable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whether on such Series D Redemption Date or thereafter.</w:t>
      </w:r>
    </w:p>
    <w:p>
      <w:pPr>
        <w:spacing w:after="0" w:line="194" w:lineRule="exact"/>
        <w:rPr>
          <w:sz w:val="20"/>
          <w:szCs w:val="20"/>
          <w:color w:val="auto"/>
        </w:rPr>
      </w:pPr>
    </w:p>
    <w:p>
      <w:pPr>
        <w:ind w:right="20" w:firstLine="1393"/>
        <w:spacing w:after="0" w:line="24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Priority of Redemption Payments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to the contrary, if (i) the Corporation receives a Series G-4 Redemption Request, Series G-3 Redemption Request, Series G-2 Redemption Request, Series G Redemption Request, Series F Redemption Request, Series E Redemption Request and/or a Series D Redemption Request, and (ii) on the applicable Redemption Date, Delaware law governing distributions to stockholders prevents the Corporation from redeeming all of the shares of Series G-4 Preferred Stock, Series G-3 Preferred Stock, Series G-2 Preferred Stock, Series G Preferred Stock, Series F Preferred Stock, Series E Preferred Stock and/or Series D Preferred Stock, then the Corporation shall so notify the holders of shares of Series G-3 Preferred Stock, Series G-2 Preferred Stock, Series G Preferred Stock, Series F Preferred Stock, Series E Preferred Stock and/or Series D Preferred Stock, as applicable, and the Corporation shall redeem such shares of Series G-4 Preferred Stock, Series G-3 Preferred Stock, Series G-2 Preferred Stock, Series G Preferred Stock, Series F Preferred Stock, Series E Preferred Stock and/or Series D Preferred Stock in the following order of priority: (A)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the Corporation shall redeem the number of shares of Series G-4 Preferred Stock which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720"/>
          </w:cols>
          <w:pgMar w:left="580" w:top="265" w:right="599" w:bottom="1440" w:gutter="0" w:footer="0" w:header="0"/>
        </w:sectPr>
      </w:pPr>
    </w:p>
    <w:bookmarkStart w:id="370" w:name="page371"/>
    <w:bookmarkEnd w:id="370"/>
    <w:p>
      <w:pPr>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G-4 Preferred Stock, and shall redeem the remaining shares of Series G-4 Preferred Stock as soon as it may lawfully do so under such law; (B)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after redemption of all shares of Series G-4 Preferred Stock, the Corporation shall redeem the number of shares of Series G-3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G-3 Preferred Stock, and shall redeem the remaining shares of Series G-3 Preferred Stock as soon as it may lawfully do so under such law (C)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after redemption of all shares of Series G-4 Preferred Stock and Series G-3 Preferred Stock, the Corporation shall redeem the number of shares of Series G-2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G-2 Preferred Stock, and shall redeem the remaining shares of Series G-2 Preferred Stock as soon as it may lawfully do so under such law; (D)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after redemption of all shares of Series G-4 Preferred Stock, Series G-3 Preferred Stock and Series G-2 Preferred Stock, the Corporation shall redeem the number of shares of Series G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G Preferred Stock, and shall redeem the remaining shares of Series G Preferred Stock as soon as it may lawfully do so under such law; (E)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after redemption of all shares of Series G-4 Preferred Stock, Series G-3 Preferred Stock, Series G-2 Preferred Stock and Series G Preferred Stock, the Corporation shall redeem the number of shares of Series F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F Preferred Stock, and shall redeem the remaining shares of Series F Preferred Stock as soon as it may lawfully do so under such law; (F)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after redemption of all shares of Series G-4 Preferred Stock, Series G-3 Preferred Stock, Series G-2 Preferred Stock, Series G Preferred Stock and Series F Preferred Stock, the Corporation shall redeem the number of shares of Series E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E Preferred Stock, and shall redeem the remaining shares of Series E Preferred Stock as soon as it may lawfully do so under such law; and (G)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after redemption of all shares of Series G-4 Preferred Stock, Series G-3 Preferred Stock, Series G-2 Preferred Stock, Series G Preferred Stock, Series F Preferred Stock and Series E Preferred Stock, the Corporation shall redeem the number of shares of Series D Preferred Stock which the Corporation may redeem in a manner consistent with such law,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all holders of Series D Preferred Stock, and shall redeem the remaining shares of Series D Preferred Stock as soon as it may lawfully do so under such law.</w:t>
      </w:r>
    </w:p>
    <w:p>
      <w:pPr>
        <w:spacing w:after="0" w:line="204" w:lineRule="exact"/>
        <w:rPr>
          <w:sz w:val="20"/>
          <w:szCs w:val="20"/>
          <w:color w:val="auto"/>
        </w:rPr>
      </w:pPr>
    </w:p>
    <w:p>
      <w:pPr>
        <w:ind w:right="40" w:firstLine="1393"/>
        <w:spacing w:after="0" w:line="281"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u w:val="single" w:color="auto"/>
          <w:color w:val="auto"/>
        </w:rPr>
        <w:t>Surrender of Certificates; Payment</w:t>
      </w:r>
      <w:r>
        <w:rPr>
          <w:rFonts w:ascii="Times New Roman" w:cs="Times New Roman" w:eastAsia="Times New Roman" w:hAnsi="Times New Roman"/>
          <w:sz w:val="16"/>
          <w:szCs w:val="16"/>
          <w:color w:val="auto"/>
        </w:rPr>
        <w:t>. On or before the Series G-4 Redemption Date, Series G-3 Redemption Date, Series G-2 Redemption Date, Series G Redemption Date, Series F Redemption Date, Series E Redemption Date and/or the Series D Redemption Date, each holder of Series G-3 Preferred Stock, Series G-2 Preferred Stock, Series G Preferred Stock, Series F Preferred Stock, Series E Preferred Stock or Series D Preferred Stock, as applicable, having shares redeemed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Series G-4 Redemption Notice, Series G-3 Redemption Notice, Series G-2 Redemption Notice, Series G Redemption Notice, Series F Redemption Notice, Series E Redemption Notice or the Series D Redemption Notice, and thereupon the Series G-3 Redemption Notice, Series G-2 Redemption Notice, Series G</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720"/>
          </w:cols>
          <w:pgMar w:left="580" w:top="263" w:right="599" w:bottom="1440" w:gutter="0" w:footer="0" w:header="0"/>
        </w:sectPr>
      </w:pPr>
    </w:p>
    <w:bookmarkStart w:id="371" w:name="page372"/>
    <w:bookmarkEnd w:id="371"/>
    <w:p>
      <w:pPr>
        <w:ind w:right="3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Redemption Notice, Series F Redemption Price, Series E Redemption Price or the Series D Redemption Price for such shares shall be payable to the order of the person whose name appears on such certificate or certificates as the owner thereof.</w:t>
      </w:r>
    </w:p>
    <w:p>
      <w:pPr>
        <w:spacing w:after="0" w:line="170" w:lineRule="exact"/>
        <w:rPr>
          <w:sz w:val="20"/>
          <w:szCs w:val="20"/>
          <w:color w:val="auto"/>
        </w:rPr>
      </w:pPr>
    </w:p>
    <w:p>
      <w:pPr>
        <w:ind w:firstLine="1393"/>
        <w:spacing w:after="0" w:line="245"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Rights Subsequent to Redemption</w:t>
      </w:r>
      <w:r>
        <w:rPr>
          <w:rFonts w:ascii="Times New Roman" w:cs="Times New Roman" w:eastAsia="Times New Roman" w:hAnsi="Times New Roman"/>
          <w:sz w:val="18"/>
          <w:szCs w:val="18"/>
          <w:color w:val="auto"/>
        </w:rPr>
        <w:t>. If the Series G-4 Redemption Notice, Series G-3 Redemption Notice, Series G-2 Redemption Notice, Series G Redemption Notice, the Series F Redemption Notice, the Series E Redemption Notice or the Series D Redemption Notice shall have been duly given, and if the Series G-4 Redemption Price, Series G-3 Redemption Price, Series G-2 Redemption Price, Series G Redemption Price, the Series F Redemption Price, the Series E Redemption Price or the Series D Redemption Price payable upon redemption of the shares of Series G-3 Preferred Stock, Series G-2 Preferred Stock, Series G Preferred Stock, Series F Preferred Stock, Series E Preferred Stock or Series D Preferred Stock to be redeemed (or shares of Voting Common Stock into which such shares of Series G-4 Preferred Stock, Series G-3 Preferred Stock, Series G-2 Preferred Stock, Series G Preferred Stock, Series F Preferred Stock, Series E Preferred Stock or Series D Preferred Stock have been converted) is paid or tendered for payment or deposited with an independent payment agent so as to be available therefor in a timely manner, then notwithstanding that any certificates evidencing any of the shares of Series G-4 Preferred Stock, Series G-3 Preferred Stock, Series G-2 Preferred Stock, Series G Preferred Stock, Series F Preferred Stock, Series E Preferred Stock or Series D Preferred Stock (or shares of Voting Common Stock into which such shares of Series G-3 Preferred Stock, Series G-2 Preferred Stock, Series G Preferred Stock, Series F Preferred Stock, Series E Preferred Stock or Series D Preferred Stock have been converted) so called for redemption shall not have been surrendered, dividends with respect to such shares shall cease to accrue after such date and all rights with respect to such shares shall forthwith after such date terminate, except only the right of the holders to receive the Series G-4 Redemption Price, Series G-3 Redemption Price, Series G-2 Redemption Price, Series G Redemption Price, Series F Redemption Price, the Series E Redemption Price or the Series D Redemption Price, as applicable, without interest upon surrender of any such certificate or certificates therefor.</w:t>
      </w:r>
    </w:p>
    <w:p>
      <w:pPr>
        <w:spacing w:after="0" w:line="190" w:lineRule="exact"/>
        <w:rPr>
          <w:sz w:val="20"/>
          <w:szCs w:val="20"/>
          <w:color w:val="auto"/>
        </w:rPr>
      </w:pPr>
    </w:p>
    <w:p>
      <w:pPr>
        <w:jc w:val="both"/>
        <w:ind w:right="6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Failure to Pay Redemption Price</w:t>
      </w:r>
      <w:r>
        <w:rPr>
          <w:rFonts w:ascii="Times New Roman" w:cs="Times New Roman" w:eastAsia="Times New Roman" w:hAnsi="Times New Roman"/>
          <w:sz w:val="18"/>
          <w:szCs w:val="18"/>
          <w:color w:val="auto"/>
        </w:rPr>
        <w:t>. If, for any reason, the Corporation fails to pay the Series G-4 Redemption Price, Series G-3 Redemption Price, Series G-2 Redemption Price, Series G Redemption Price, the Series F Redemption Price, the Series E Redemption Price and/or the Series D Redemption Price when due (including as a result of any applicable law prohibiting payment), then:</w:t>
      </w:r>
    </w:p>
    <w:p>
      <w:pPr>
        <w:spacing w:after="0" w:line="180" w:lineRule="exact"/>
        <w:rPr>
          <w:sz w:val="20"/>
          <w:szCs w:val="20"/>
          <w:color w:val="auto"/>
        </w:rPr>
      </w:pPr>
    </w:p>
    <w:p>
      <w:pPr>
        <w:ind w:right="20" w:firstLine="1928"/>
        <w:spacing w:after="0" w:line="282" w:lineRule="auto"/>
        <w:rPr>
          <w:sz w:val="20"/>
          <w:szCs w:val="20"/>
          <w:color w:val="auto"/>
        </w:rPr>
      </w:pPr>
      <w:r>
        <w:rPr>
          <w:rFonts w:ascii="Times New Roman" w:cs="Times New Roman" w:eastAsia="Times New Roman" w:hAnsi="Times New Roman"/>
          <w:sz w:val="16"/>
          <w:szCs w:val="16"/>
          <w:color w:val="auto"/>
        </w:rPr>
        <w:t>6.11.1 The Corporation shall, if requested by (i) the holders of a majority of the outstanding shares of Series G-4 Preferred Stock subject to redemption, voting as a separate class and series, upon failure to pay the Series G-4 Redemption Price, (ii) the holders of a majority of the outstanding shares of Series G-3 Preferred Stock subject to redemption, voting as a separate class and series, upon failure to pay the Series G-3 Redemption Price, (iii) the holders of a majority of the outstanding shares of Series G-2 Preferred Stock subject to redemption, voting as a separate class and series, upon failure to pay the Series G-2 Redemption Price, (iv) the holders of a majority of the outstanding shares of Series G Preferred Stock subject to redemption, voting as a separate class and series, upon failure to pay the Series G Redemption Price, (v) the holders of a majority of the outstanding shares of Series F Preferred Stock subject to redemption, voting as a separate class and series, upon failure to pay the Series F Redemption Price, (vi) the holders of a majority of the outstanding shares of Series E Preferred Stock subject to redemption, voting</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700"/>
          </w:cols>
          <w:pgMar w:left="580" w:top="265" w:right="61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as a separate class and series, upon failure to pay the Series E Redemption Price, or (vii) the holders of at least sixty percent (60%) of the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Series D Preferred Stock subject to redemption, voting as a separate class and series, upon failure to pay the Series D Redemption Price,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each case by delivery of written notice to the Corporation, initiate a sale process (the “</w:t>
      </w:r>
      <w:r>
        <w:rPr>
          <w:rFonts w:ascii="Times New Roman" w:cs="Times New Roman" w:eastAsia="Times New Roman" w:hAnsi="Times New Roman"/>
          <w:sz w:val="16"/>
          <w:szCs w:val="16"/>
          <w:b w:val="1"/>
          <w:bCs w:val="1"/>
          <w:i w:val="1"/>
          <w:iCs w:val="1"/>
          <w:color w:val="auto"/>
        </w:rPr>
        <w:t>Sale Process</w:t>
      </w:r>
      <w:r>
        <w:rPr>
          <w:rFonts w:ascii="Times New Roman" w:cs="Times New Roman" w:eastAsia="Times New Roman" w:hAnsi="Times New Roman"/>
          <w:sz w:val="16"/>
          <w:szCs w:val="16"/>
          <w:color w:val="auto"/>
        </w:rPr>
        <w:t xml:space="preserve">”) in accordance with this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intended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a transaction constituting a Deemed Liquidation Event. In furtherance of the foregoing, upon receipt of such written notice, the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shall, and shall cause its officers, employees, consultants, counsel and advisors to use all commercially reasonable efforts to consummate a transaction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would constitute a Deemed Liquidation Event, including without limitation by taking (or causing to be taken) the actions set forth in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this obligation and the obligations set forth in </w:t>
      </w:r>
      <w:r>
        <w:rPr>
          <w:rFonts w:ascii="Times New Roman" w:cs="Times New Roman" w:eastAsia="Times New Roman" w:hAnsi="Times New Roman"/>
          <w:sz w:val="16"/>
          <w:szCs w:val="16"/>
          <w:u w:val="single" w:color="auto"/>
          <w:color w:val="auto"/>
        </w:rPr>
        <w:t>Subsections 6.11.2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6.11.3</w:t>
      </w:r>
      <w:r>
        <w:rPr>
          <w:rFonts w:ascii="Times New Roman" w:cs="Times New Roman" w:eastAsia="Times New Roman" w:hAnsi="Times New Roman"/>
          <w:sz w:val="16"/>
          <w:szCs w:val="16"/>
          <w:color w:val="auto"/>
        </w:rPr>
        <w:t xml:space="preserve"> shall not require the Board or the stockholders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Corporation to approve any transaction that would constitute a Deemed Liquidation Event.</w:t>
      </w:r>
    </w:p>
    <w:p>
      <w:pPr>
        <w:spacing w:after="0" w:line="191" w:lineRule="exact"/>
        <w:rPr>
          <w:sz w:val="20"/>
          <w:szCs w:val="20"/>
          <w:color w:val="auto"/>
        </w:rPr>
      </w:pPr>
    </w:p>
    <w:p>
      <w:pPr>
        <w:ind w:right="20" w:firstLine="1928"/>
        <w:spacing w:after="0" w:line="253" w:lineRule="auto"/>
        <w:rPr>
          <w:sz w:val="20"/>
          <w:szCs w:val="20"/>
          <w:color w:val="auto"/>
        </w:rPr>
      </w:pPr>
      <w:r>
        <w:rPr>
          <w:rFonts w:ascii="Times New Roman" w:cs="Times New Roman" w:eastAsia="Times New Roman" w:hAnsi="Times New Roman"/>
          <w:sz w:val="18"/>
          <w:szCs w:val="18"/>
          <w:color w:val="auto"/>
        </w:rPr>
        <w:t>6.11.2 The Corporation shall engage a reputable investment bank (the “</w:t>
      </w:r>
      <w:r>
        <w:rPr>
          <w:rFonts w:ascii="Times New Roman" w:cs="Times New Roman" w:eastAsia="Times New Roman" w:hAnsi="Times New Roman"/>
          <w:sz w:val="18"/>
          <w:szCs w:val="18"/>
          <w:b w:val="1"/>
          <w:bCs w:val="1"/>
          <w:i w:val="1"/>
          <w:iCs w:val="1"/>
          <w:color w:val="auto"/>
        </w:rPr>
        <w:t>Financial Advisor</w:t>
      </w:r>
      <w:r>
        <w:rPr>
          <w:rFonts w:ascii="Times New Roman" w:cs="Times New Roman" w:eastAsia="Times New Roman" w:hAnsi="Times New Roman"/>
          <w:sz w:val="18"/>
          <w:szCs w:val="18"/>
          <w:color w:val="auto"/>
        </w:rPr>
        <w:t xml:space="preserve">”) to assist with the Sale Process. The Financial Advisor, as well as any other advisors engaged pursuant to this </w:t>
      </w:r>
      <w:r>
        <w:rPr>
          <w:rFonts w:ascii="Times New Roman" w:cs="Times New Roman" w:eastAsia="Times New Roman" w:hAnsi="Times New Roman"/>
          <w:sz w:val="18"/>
          <w:szCs w:val="18"/>
          <w:u w:val="single" w:color="auto"/>
          <w:color w:val="auto"/>
        </w:rPr>
        <w:t>Subsection 6.11.2</w:t>
      </w:r>
      <w:r>
        <w:rPr>
          <w:rFonts w:ascii="Times New Roman" w:cs="Times New Roman" w:eastAsia="Times New Roman" w:hAnsi="Times New Roman"/>
          <w:sz w:val="18"/>
          <w:szCs w:val="18"/>
          <w:color w:val="auto"/>
        </w:rPr>
        <w:t>, shall represent the Corporation, and only the Corporation, in the Sale Process, and the costs, fees and expenses of such advisors shall be paid by the Corporation (or may be paid through a reduction from the sale proceeds payable to the stockholders of the Corporation).</w:t>
      </w:r>
    </w:p>
    <w:p>
      <w:pPr>
        <w:spacing w:after="0" w:line="181" w:lineRule="exact"/>
        <w:rPr>
          <w:sz w:val="20"/>
          <w:szCs w:val="20"/>
          <w:color w:val="auto"/>
        </w:rPr>
      </w:pPr>
    </w:p>
    <w:p>
      <w:pPr>
        <w:ind w:firstLine="1928"/>
        <w:spacing w:after="0" w:line="246" w:lineRule="auto"/>
        <w:rPr>
          <w:sz w:val="20"/>
          <w:szCs w:val="20"/>
          <w:color w:val="auto"/>
        </w:rPr>
      </w:pPr>
      <w:r>
        <w:rPr>
          <w:rFonts w:ascii="Times New Roman" w:cs="Times New Roman" w:eastAsia="Times New Roman" w:hAnsi="Times New Roman"/>
          <w:sz w:val="18"/>
          <w:szCs w:val="18"/>
          <w:color w:val="auto"/>
        </w:rPr>
        <w:t xml:space="preserve">6.11.3 Without limiting the generality of the provisions of </w:t>
      </w:r>
      <w:r>
        <w:rPr>
          <w:rFonts w:ascii="Times New Roman" w:cs="Times New Roman" w:eastAsia="Times New Roman" w:hAnsi="Times New Roman"/>
          <w:sz w:val="18"/>
          <w:szCs w:val="18"/>
          <w:u w:val="single" w:color="auto"/>
          <w:color w:val="auto"/>
        </w:rPr>
        <w:t>Subsection 6.11.1</w:t>
      </w:r>
      <w:r>
        <w:rPr>
          <w:rFonts w:ascii="Times New Roman" w:cs="Times New Roman" w:eastAsia="Times New Roman" w:hAnsi="Times New Roman"/>
          <w:sz w:val="18"/>
          <w:szCs w:val="18"/>
          <w:color w:val="auto"/>
        </w:rPr>
        <w:t>, the Corporation shall, at the request of (i) the holders of a majority of the outstanding shares of Series G-4 Preferred Stock subject to redemption, voting as a separate class and series, (ii) the holders of a majority of the outstanding shares of Series G-3 Preferred Stock subject to redemption, voting as a separate class and series, (iii) the holders of a majority of the outstanding shares of Series G-2 Preferred Stock subject to redemption, voting as a separate class and series, (iv) the holders of a majority of the outstanding shares of Series G Preferred Stock subject to redemption, voting as a separate class and series, (v) the holders of a majority of the outstanding shares of Series F Preferred Stock subject to redemption, voting as a separate class and series, (vi) the holders of a majority of the outstanding shares of Series E Preferred Stock subject to redemption, voting as a separate class and series, or (vii) the holders of at least sixty percent (60%) of the outstanding shares of Series D Preferred Stock subject to redemption, voting as a separate class and series, as applicable, and shall cause its employees, officers, consultants, counsel and advisors to:</w:t>
      </w:r>
    </w:p>
    <w:p>
      <w:pPr>
        <w:spacing w:after="0" w:line="191" w:lineRule="exact"/>
        <w:rPr>
          <w:sz w:val="20"/>
          <w:szCs w:val="20"/>
          <w:color w:val="auto"/>
        </w:rPr>
      </w:pPr>
    </w:p>
    <w:p>
      <w:pPr>
        <w:ind w:left="2300" w:hanging="364"/>
        <w:spacing w:after="0"/>
        <w:tabs>
          <w:tab w:leader="none" w:pos="2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the Financial Advisor to provide a valuation of the Corporation and create a list of potential acquirers;</w:t>
      </w:r>
    </w:p>
    <w:p>
      <w:pPr>
        <w:spacing w:after="0" w:line="213" w:lineRule="exact"/>
        <w:rPr>
          <w:rFonts w:ascii="Times New Roman" w:cs="Times New Roman" w:eastAsia="Times New Roman" w:hAnsi="Times New Roman"/>
          <w:sz w:val="18"/>
          <w:szCs w:val="18"/>
          <w:color w:val="auto"/>
        </w:rPr>
      </w:pPr>
    </w:p>
    <w:p>
      <w:pPr>
        <w:ind w:left="2320" w:hanging="384"/>
        <w:spacing w:after="0"/>
        <w:tabs>
          <w:tab w:leader="none" w:pos="23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Financial Advisor in creating a list of potential acquirers;</w:t>
      </w:r>
    </w:p>
    <w:p>
      <w:pPr>
        <w:spacing w:after="0" w:line="213" w:lineRule="exact"/>
        <w:rPr>
          <w:rFonts w:ascii="Times New Roman" w:cs="Times New Roman" w:eastAsia="Times New Roman" w:hAnsi="Times New Roman"/>
          <w:sz w:val="18"/>
          <w:szCs w:val="18"/>
          <w:color w:val="auto"/>
        </w:rPr>
      </w:pPr>
    </w:p>
    <w:p>
      <w:pPr>
        <w:ind w:right="160" w:firstLine="1936"/>
        <w:spacing w:after="0" w:line="267" w:lineRule="auto"/>
        <w:tabs>
          <w:tab w:leader="none" w:pos="2297"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Financial Advisor to contact potential acquirers and solicit offers with respect to the Sale Process from such potential acquirers as identified by the Financial Advisor and approved by the Corporation;</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700"/>
          </w:cols>
          <w:pgMar w:left="580" w:top="265" w:right="619" w:bottom="1440" w:gutter="0" w:footer="0" w:header="0"/>
        </w:sectPr>
      </w:pPr>
    </w:p>
    <w:bookmarkStart w:id="373" w:name="page374"/>
    <w:bookmarkEnd w:id="373"/>
    <w:p>
      <w:pPr>
        <w:ind w:firstLine="1936"/>
        <w:spacing w:after="0" w:line="267" w:lineRule="auto"/>
        <w:tabs>
          <w:tab w:leader="none" w:pos="230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set up and maintain a virtual or actual data room containing due diligence materials customarily provided in connection with a Sale Process, together with any other due diligence materials reasonably requested by any potential acquirer;</w:t>
      </w:r>
    </w:p>
    <w:p>
      <w:pPr>
        <w:spacing w:after="0" w:line="169" w:lineRule="exact"/>
        <w:rPr>
          <w:rFonts w:ascii="Times New Roman" w:cs="Times New Roman" w:eastAsia="Times New Roman" w:hAnsi="Times New Roman"/>
          <w:sz w:val="18"/>
          <w:szCs w:val="18"/>
          <w:color w:val="auto"/>
        </w:rPr>
      </w:pPr>
    </w:p>
    <w:p>
      <w:pPr>
        <w:ind w:left="2300" w:hanging="364"/>
        <w:spacing w:after="0"/>
        <w:tabs>
          <w:tab w:leader="none" w:pos="23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customary non-disclosure agreements with potential acquirers;</w:t>
      </w:r>
    </w:p>
    <w:p>
      <w:pPr>
        <w:spacing w:after="0" w:line="213" w:lineRule="exact"/>
        <w:rPr>
          <w:rFonts w:ascii="Times New Roman" w:cs="Times New Roman" w:eastAsia="Times New Roman" w:hAnsi="Times New Roman"/>
          <w:sz w:val="18"/>
          <w:szCs w:val="18"/>
          <w:color w:val="auto"/>
        </w:rPr>
      </w:pPr>
    </w:p>
    <w:p>
      <w:pPr>
        <w:ind w:right="140" w:firstLine="1936"/>
        <w:spacing w:after="0" w:line="267" w:lineRule="auto"/>
        <w:tabs>
          <w:tab w:leader="none" w:pos="2278"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or assist the Financial Advisor with the preparation of, any marketing, financial or other materials deemed by the Financial Advisor to be necessary or helpful in connection with the Sale Process;</w:t>
      </w:r>
    </w:p>
    <w:p>
      <w:pPr>
        <w:spacing w:after="0" w:line="169" w:lineRule="exact"/>
        <w:rPr>
          <w:rFonts w:ascii="Times New Roman" w:cs="Times New Roman" w:eastAsia="Times New Roman" w:hAnsi="Times New Roman"/>
          <w:sz w:val="18"/>
          <w:szCs w:val="18"/>
          <w:color w:val="auto"/>
        </w:rPr>
      </w:pPr>
    </w:p>
    <w:p>
      <w:pPr>
        <w:ind w:left="2320" w:hanging="384"/>
        <w:spacing w:after="0"/>
        <w:tabs>
          <w:tab w:leader="none" w:pos="23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participate in any meetings, conference calls, or presentations regarding the Corporation and its business</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potential acquirers; and</w:t>
      </w:r>
    </w:p>
    <w:p>
      <w:pPr>
        <w:spacing w:after="0" w:line="195" w:lineRule="exact"/>
        <w:rPr>
          <w:rFonts w:ascii="Times New Roman" w:cs="Times New Roman" w:eastAsia="Times New Roman" w:hAnsi="Times New Roman"/>
          <w:sz w:val="18"/>
          <w:szCs w:val="18"/>
          <w:color w:val="auto"/>
        </w:rPr>
      </w:pPr>
    </w:p>
    <w:p>
      <w:pPr>
        <w:ind w:right="540" w:firstLine="1936"/>
        <w:spacing w:after="0" w:line="267" w:lineRule="auto"/>
        <w:tabs>
          <w:tab w:leader="none" w:pos="2307"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of the Corporation’s Board of Directors, execute a letter of intent or term sheet on terms and conditions reasonably acceptable to the Corporation.</w:t>
      </w:r>
    </w:p>
    <w:p>
      <w:pPr>
        <w:spacing w:after="0" w:line="170" w:lineRule="exact"/>
        <w:rPr>
          <w:sz w:val="20"/>
          <w:szCs w:val="20"/>
          <w:color w:val="auto"/>
        </w:rPr>
      </w:pPr>
    </w:p>
    <w:p>
      <w:pPr>
        <w:ind w:firstLine="1928"/>
        <w:spacing w:after="0" w:line="246" w:lineRule="auto"/>
        <w:rPr>
          <w:sz w:val="20"/>
          <w:szCs w:val="20"/>
          <w:color w:val="auto"/>
        </w:rPr>
      </w:pPr>
      <w:r>
        <w:rPr>
          <w:rFonts w:ascii="Times New Roman" w:cs="Times New Roman" w:eastAsia="Times New Roman" w:hAnsi="Times New Roman"/>
          <w:sz w:val="18"/>
          <w:szCs w:val="18"/>
          <w:color w:val="auto"/>
        </w:rPr>
        <w:t xml:space="preserve">6.11.4 The Corporation shall, upon the request of (i) the holders of a majority of the outstanding shares of Series G-4 Preferred Stock subject to redemption, voting as a separate class and series, (ii) the holders of a majority of the outstanding shares of Series G-3 Preferred Stock subject to redemption, voting as a separate class and series, (iii) the holders of a majority of the outstanding shares of Series G-2 Preferred Stock subject to redemption, voting as a separate class and series, (iv) the holders of a majority of the outstanding shares of Series G Preferred Stock subject to redemption, voting as a separate class and series, (v) the holders of a majority of the outstanding shares of Series F Preferred Stock subject to redemption, voting as a separate class and series, (vi) the holders of a majority of the outstanding shares of Series E Preferred Stock subject to redemption, voting as a separate class and series, or (vii) the holders of at least sixty percent (60%) of the outstanding shares of Series D Preferred Stock subject to redemption, voting as a separate class and series, as applicable, call a meeting of the Corporation’s Board of Directors to discuss or vote on a proposed transaction constituting a Deemed Liquidation Event or other matters relating to the Sale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nothing herein shall require the Corporation’s Board of Directors to approve any Deemed Liquidation Event.</w:t>
      </w:r>
    </w:p>
    <w:p>
      <w:pPr>
        <w:spacing w:after="0" w:line="189" w:lineRule="exact"/>
        <w:rPr>
          <w:sz w:val="20"/>
          <w:szCs w:val="20"/>
          <w:color w:val="auto"/>
        </w:rPr>
      </w:pPr>
    </w:p>
    <w:p>
      <w:pPr>
        <w:ind w:left="1940"/>
        <w:spacing w:after="0"/>
        <w:tabs>
          <w:tab w:leader="none" w:pos="2520" w:val="left"/>
        </w:tabs>
        <w:rPr>
          <w:sz w:val="20"/>
          <w:szCs w:val="20"/>
          <w:color w:val="auto"/>
        </w:rPr>
      </w:pPr>
      <w:r>
        <w:rPr>
          <w:rFonts w:ascii="Times New Roman" w:cs="Times New Roman" w:eastAsia="Times New Roman" w:hAnsi="Times New Roman"/>
          <w:sz w:val="18"/>
          <w:szCs w:val="18"/>
          <w:color w:val="auto"/>
        </w:rPr>
        <w:t>6.11.5</w:t>
      </w:r>
      <w:r>
        <w:rPr>
          <w:sz w:val="20"/>
          <w:szCs w:val="20"/>
          <w:color w:val="auto"/>
        </w:rPr>
        <w:tab/>
      </w:r>
      <w:r>
        <w:rPr>
          <w:rFonts w:ascii="Times New Roman" w:cs="Times New Roman" w:eastAsia="Times New Roman" w:hAnsi="Times New Roman"/>
          <w:sz w:val="16"/>
          <w:szCs w:val="16"/>
          <w:color w:val="auto"/>
        </w:rPr>
        <w:t xml:space="preserve">The covenants set forth in this </w:t>
      </w:r>
      <w:r>
        <w:rPr>
          <w:rFonts w:ascii="Times New Roman" w:cs="Times New Roman" w:eastAsia="Times New Roman" w:hAnsi="Times New Roman"/>
          <w:sz w:val="16"/>
          <w:szCs w:val="16"/>
          <w:u w:val="single" w:color="auto"/>
          <w:color w:val="auto"/>
        </w:rPr>
        <w:t>Section 6.11</w:t>
      </w:r>
      <w:r>
        <w:rPr>
          <w:rFonts w:ascii="Times New Roman" w:cs="Times New Roman" w:eastAsia="Times New Roman" w:hAnsi="Times New Roman"/>
          <w:sz w:val="16"/>
          <w:szCs w:val="16"/>
          <w:color w:val="auto"/>
        </w:rPr>
        <w:t xml:space="preserve"> shall terminate and be of no further force or effect upon the earlier of</w:t>
      </w:r>
    </w:p>
    <w:p>
      <w:pPr>
        <w:spacing w:after="0" w:line="21" w:lineRule="exact"/>
        <w:rPr>
          <w:sz w:val="20"/>
          <w:szCs w:val="20"/>
          <w:color w:val="auto"/>
        </w:rPr>
      </w:pPr>
    </w:p>
    <w:p>
      <w:pPr>
        <w:ind w:right="620" w:firstLine="8"/>
        <w:spacing w:after="0" w:line="308" w:lineRule="auto"/>
        <w:tabs>
          <w:tab w:leader="none" w:pos="209"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immediately prior to the consummation of a Public Offering, (ii) the date when the Corporation first becomes subject to the periodic reporting requirements of Section 12(g) or 15(d) of the Securities Exchange Act of 1934, as amended, or (iii) a Deemed Liquidation Event.</w:t>
      </w:r>
    </w:p>
    <w:p>
      <w:pPr>
        <w:spacing w:after="0" w:line="140" w:lineRule="exact"/>
        <w:rPr>
          <w:rFonts w:ascii="Times New Roman" w:cs="Times New Roman" w:eastAsia="Times New Roman" w:hAnsi="Times New Roman"/>
          <w:sz w:val="16"/>
          <w:szCs w:val="16"/>
          <w:color w:val="auto"/>
        </w:rPr>
      </w:pPr>
    </w:p>
    <w:p>
      <w:pPr>
        <w:ind w:right="320" w:firstLine="972"/>
        <w:spacing w:after="0" w:line="251" w:lineRule="auto"/>
        <w:tabs>
          <w:tab w:leader="none" w:pos="127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Converted, Redeemed or Otherwise Acquired Shares</w:t>
      </w:r>
      <w:r>
        <w:rPr>
          <w:rFonts w:ascii="Times New Roman" w:cs="Times New Roman" w:eastAsia="Times New Roman" w:hAnsi="Times New Roman"/>
          <w:sz w:val="18"/>
          <w:szCs w:val="18"/>
          <w:color w:val="auto"/>
        </w:rPr>
        <w:t>. Any shares of Preferred Stock that are converted,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84" w:lineRule="exact"/>
        <w:rPr>
          <w:rFonts w:ascii="Times New Roman" w:cs="Times New Roman" w:eastAsia="Times New Roman" w:hAnsi="Times New Roman"/>
          <w:sz w:val="18"/>
          <w:szCs w:val="18"/>
          <w:color w:val="auto"/>
        </w:rPr>
      </w:pPr>
    </w:p>
    <w:p>
      <w:pPr>
        <w:ind w:right="200" w:firstLine="972"/>
        <w:spacing w:after="0" w:line="267" w:lineRule="auto"/>
        <w:tabs>
          <w:tab w:leader="none" w:pos="127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of the rights, powers, preferences and other terms of the Series G-4 Preferred Stock set forth herein may be waived on behalf of all holders of Series G-4 Preferred</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680"/>
          </w:cols>
          <w:pgMar w:left="580" w:top="265" w:right="639" w:bottom="1440" w:gutter="0" w:footer="0" w:header="0"/>
        </w:sectPr>
      </w:pPr>
    </w:p>
    <w:bookmarkStart w:id="374" w:name="page375"/>
    <w:bookmarkEnd w:id="374"/>
    <w:p>
      <w:pPr>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Stock by the affirmative written consent or vote of the holders of a majority of the shares of Series G-4 Preferred Stock then outstanding, voting as a separate class. Any of the rights, powers, preferences and other terms of the Series G-3 Preferred Stock set forth herein may be waived on behalf of all holders of Series G-3 Preferred Stock by the affirmative written consent or vote of the holders of a majority of the shares of Series G-3 Preferred Stock then outstanding, voting as a separate class. Any of the rights, powers, preferences and other terms of the Series G-2 Preferred Stock set forth herein may be waived on behalf of all holders of Series G-2 Preferred Stock by the affirmative written consent or vote of the holders of a majority of the shares of Series G-2 Preferred Stock then outstanding, voting as a separate class. Any of the rights, powers, preferences and other terms of the Series G Preferred Stock set forth herein may be waived on behalf of all holders of Series G Preferred Stock by the affirmative written consent or vote of the holders of a majority of the shares of Series G Preferred Stock then outstanding, voting as a separate class. Any of the rights, powers, preferences and other terms of the Series F Preferred Stock set forth herein may be waived on behalf of all holders of Series F Preferred Stock by the affirmative written consent or vote of the holders of a majority of the shares of Series F Preferred Stock then outstanding, voting as a separate class. Any of the rights, powers, preferences and other terms of the Series E Preferred Stock set forth herein may be waived on behalf of all holders of Series E Preferred Stock by the affirmative written consent or vote of the holders of a majority of the shares of Series E Preferred Stock then outstanding, voting as a separate class. Any of the rights, powers, preferences and other terms of the Series D Preferred Stock set forth herein may be waived on behalf of all holders of Series D Preferred Stock by the affirmative written consent or vote of the holders of at least sixty percent (60%) of the shares of Series D Preferred Stock then outstanding, voting as a separate class. Any of the rights, powers, preferences and other terms of the Series C Preferred Stock set forth herein may be waived on behalf of all holders of Series C Preferred Stock by the affirmative written consent or vote of the holders of at least sixty percent (60%) of the shares of Series C Preferred Stock then outstanding, voting as a separate class. Any of the rights, powers, preferences and other terms of any other series of Preferred Stock (other than the Series E Preferred Stock, Series D Preferred Stock and Series C Preferred Stock) set forth herein may be waived on behalf of all holders of such series of Preferred Stock by the affirmative written consent or vote of the holders of a majority of the shares of such series of Preferred Stock then outstanding.</w:t>
      </w:r>
    </w:p>
    <w:p>
      <w:pPr>
        <w:spacing w:after="0" w:line="200" w:lineRule="exact"/>
        <w:rPr>
          <w:sz w:val="20"/>
          <w:szCs w:val="20"/>
          <w:color w:val="auto"/>
        </w:rPr>
      </w:pPr>
    </w:p>
    <w:p>
      <w:pPr>
        <w:spacing w:after="0" w:line="389" w:lineRule="exact"/>
        <w:rPr>
          <w:sz w:val="20"/>
          <w:szCs w:val="20"/>
          <w:color w:val="auto"/>
        </w:rPr>
      </w:pPr>
    </w:p>
    <w:p>
      <w:pPr>
        <w:ind w:firstLine="972"/>
        <w:spacing w:after="0" w:line="255" w:lineRule="auto"/>
        <w:tabs>
          <w:tab w:leader="none" w:pos="127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required or permitted by the provisions of this Article Seventh to be given to a holder of shares of Preferred Stock shall be mailed, postage prepaid, to the post office address last shown on the records of the Corporation, or given by electronic communication in compliance with the provisions of the DGCL, and shall be deemed sent upon such mailing or electronic transmission.</w:t>
      </w:r>
    </w:p>
    <w:p>
      <w:pPr>
        <w:spacing w:after="0" w:line="178" w:lineRule="exact"/>
        <w:rPr>
          <w:sz w:val="20"/>
          <w:szCs w:val="20"/>
          <w:color w:val="auto"/>
        </w:rPr>
      </w:pPr>
    </w:p>
    <w:p>
      <w:pPr>
        <w:ind w:right="48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t xml:space="preserve">EIGHTH: </w:t>
      </w:r>
      <w:r>
        <w:rPr>
          <w:rFonts w:ascii="Times New Roman" w:cs="Times New Roman" w:eastAsia="Times New Roman" w:hAnsi="Times New Roman"/>
          <w:sz w:val="16"/>
          <w:szCs w:val="16"/>
          <w:color w:val="auto"/>
        </w:rPr>
        <w:t>Subject to any additional vote required by this Restated Certificate or Bylaws, in furtherance and not in limitation of the powers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conferred by statute, the Board is expressly authorized to make, repeal, alter, amend and rescind any or all of the Bylaws of the Corporation.</w:t>
      </w:r>
    </w:p>
    <w:p>
      <w:pPr>
        <w:spacing w:after="0" w:line="120"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Subject to any additional vote required by this Restated Certificate, the number of directors of the Corporation shall be determined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set forth in the Bylaws of the Corporation.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TENTH: </w:t>
      </w: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680"/>
          </w:cols>
          <w:pgMar w:left="580" w:top="265" w:right="639" w:bottom="1440" w:gutter="0" w:footer="0" w:header="0"/>
        </w:sectPr>
      </w:pPr>
    </w:p>
    <w:bookmarkStart w:id="375" w:name="page376"/>
    <w:bookmarkEnd w:id="375"/>
    <w:p>
      <w:pPr>
        <w:ind w:right="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ELEVENTH: </w:t>
      </w:r>
      <w:r>
        <w:rPr>
          <w:rFonts w:ascii="Times New Roman" w:cs="Times New Roman" w:eastAsia="Times New Roman" w:hAnsi="Times New Roman"/>
          <w:sz w:val="18"/>
          <w:szCs w:val="18"/>
          <w:color w:val="auto"/>
        </w:rPr>
        <w:t>Meetings of stockholders may be held within or without the State of Delaware, as the Bylaws of the Corporation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outside the State of Delaware at such place or places as may be designated from time to time by the Board or in the Bylaws of the Corporation.</w:t>
      </w:r>
    </w:p>
    <w:p>
      <w:pPr>
        <w:spacing w:after="0" w:line="178" w:lineRule="exact"/>
        <w:rPr>
          <w:sz w:val="20"/>
          <w:szCs w:val="20"/>
          <w:color w:val="auto"/>
        </w:rPr>
      </w:pPr>
    </w:p>
    <w:p>
      <w:pPr>
        <w:ind w:right="18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TWELFTH: </w:t>
      </w:r>
      <w:r>
        <w:rPr>
          <w:rFonts w:ascii="Times New Roman" w:cs="Times New Roman" w:eastAsia="Times New Roman" w:hAnsi="Times New Roman"/>
          <w:sz w:val="16"/>
          <w:szCs w:val="16"/>
          <w:color w:val="auto"/>
        </w:rPr>
        <w:t>To the fullest extent permitted by law, a director of the Corporation shall not be personally liable to the Corporation or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stockholders for monetary damages for breach of fiduciary duty as a director. If the DGCL or any other law of the State of Delaware is amended after approval by the stockholders of this Article Twelfth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4" w:lineRule="exact"/>
        <w:rPr>
          <w:sz w:val="20"/>
          <w:szCs w:val="20"/>
          <w:color w:val="auto"/>
        </w:rPr>
      </w:pPr>
    </w:p>
    <w:p>
      <w:pPr>
        <w:ind w:firstLine="428"/>
        <w:spacing w:after="0" w:line="255" w:lineRule="auto"/>
        <w:rPr>
          <w:sz w:val="20"/>
          <w:szCs w:val="20"/>
          <w:color w:val="auto"/>
        </w:rPr>
      </w:pPr>
      <w:r>
        <w:rPr>
          <w:rFonts w:ascii="Times New Roman" w:cs="Times New Roman" w:eastAsia="Times New Roman" w:hAnsi="Times New Roman"/>
          <w:sz w:val="18"/>
          <w:szCs w:val="18"/>
          <w:color w:val="auto"/>
        </w:rPr>
        <w:t>Any repeal or modification of the foregoing provisions of this Article Twelfth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8"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THIRTEENTH: </w:t>
      </w:r>
      <w:r>
        <w:rPr>
          <w:rFonts w:ascii="Times New Roman" w:cs="Times New Roman" w:eastAsia="Times New Roman" w:hAnsi="Times New Roman"/>
          <w:sz w:val="18"/>
          <w:szCs w:val="18"/>
          <w:color w:val="auto"/>
        </w:rPr>
        <w:t>To the fullest extent permitted by applicable law, the Corporation is authorized to provide indemnification of (and advancement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expenses to) directors, officers and agents of the Corporation (and any other persons to which the DGCL permits the Corporation to provide indemnification) through Bylaw provisions, agreements with such agents or other persons, vote of stockholders or disinterested directors or otherwise, in excess of the indemnification and advancement otherwise permitted by Section 145 of the DGCL.</w:t>
      </w:r>
    </w:p>
    <w:p>
      <w:pPr>
        <w:spacing w:after="0" w:line="183" w:lineRule="exact"/>
        <w:rPr>
          <w:sz w:val="20"/>
          <w:szCs w:val="20"/>
          <w:color w:val="auto"/>
        </w:rPr>
      </w:pPr>
    </w:p>
    <w:p>
      <w:pPr>
        <w:ind w:right="160" w:firstLine="428"/>
        <w:spacing w:after="0" w:line="267" w:lineRule="auto"/>
        <w:rPr>
          <w:sz w:val="20"/>
          <w:szCs w:val="20"/>
          <w:color w:val="auto"/>
        </w:rPr>
      </w:pPr>
      <w:r>
        <w:rPr>
          <w:rFonts w:ascii="Times New Roman" w:cs="Times New Roman" w:eastAsia="Times New Roman" w:hAnsi="Times New Roman"/>
          <w:sz w:val="18"/>
          <w:szCs w:val="18"/>
          <w:color w:val="auto"/>
        </w:rPr>
        <w:t>Any amendment, repeal or modification of the foregoing provisions of this Article Thirteenth shall not adversely affect any right or protection of any director, officer or other agent of the Corporation existing at the time of such amendment, repeal or modification.</w:t>
      </w:r>
    </w:p>
    <w:p>
      <w:pPr>
        <w:spacing w:after="0" w:line="168" w:lineRule="exact"/>
        <w:rPr>
          <w:sz w:val="20"/>
          <w:szCs w:val="20"/>
          <w:color w:val="auto"/>
        </w:rPr>
      </w:pPr>
    </w:p>
    <w:p>
      <w:pPr>
        <w:ind w:right="20" w:firstLine="428"/>
        <w:spacing w:after="0" w:line="280" w:lineRule="auto"/>
        <w:rPr>
          <w:sz w:val="20"/>
          <w:szCs w:val="20"/>
          <w:color w:val="auto"/>
        </w:rPr>
      </w:pPr>
      <w:r>
        <w:rPr>
          <w:rFonts w:ascii="Times New Roman" w:cs="Times New Roman" w:eastAsia="Times New Roman" w:hAnsi="Times New Roman"/>
          <w:sz w:val="16"/>
          <w:szCs w:val="16"/>
          <w:b w:val="1"/>
          <w:bCs w:val="1"/>
          <w:color w:val="auto"/>
        </w:rPr>
        <w:t xml:space="preserve">FOURTEENTH: </w:t>
      </w:r>
      <w:r>
        <w:rPr>
          <w:rFonts w:ascii="Times New Roman" w:cs="Times New Roman" w:eastAsia="Times New Roman" w:hAnsi="Times New Roman"/>
          <w:sz w:val="16"/>
          <w:szCs w:val="16"/>
          <w:color w:val="auto"/>
        </w:rPr>
        <w:t>The Corporation renounces, to the fullest extent permitted by law, any interest or expectancy of the Corporation in, or in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offered an opportunity to participate in, any Excluded Opportunity. An “</w:t>
      </w:r>
      <w:r>
        <w:rPr>
          <w:rFonts w:ascii="Times New Roman" w:cs="Times New Roman" w:eastAsia="Times New Roman" w:hAnsi="Times New Roman"/>
          <w:sz w:val="16"/>
          <w:szCs w:val="16"/>
          <w:b w:val="1"/>
          <w:bCs w:val="1"/>
          <w:i w:val="1"/>
          <w:iCs w:val="1"/>
          <w:color w:val="auto"/>
        </w:rPr>
        <w:t>Excluded Opportunity</w:t>
      </w:r>
      <w:r>
        <w:rPr>
          <w:rFonts w:ascii="Times New Roman" w:cs="Times New Roman" w:eastAsia="Times New Roman" w:hAnsi="Times New Roman"/>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 Any repeal or modification of this Article Fourteenth will only be prospective and will not affect the rights under this Article Fourteenth in effect at the time of the occurrence or of any actions or omissions to act giving rise to liability. Notwithstanding anything to the contrary contained elsewhere in this Amended and Restated Certificate of Incorporation, the affirmative vote of the Requisite Preferred Holders will be required to amend or repeal or to adopt any provisions inconsistent with this Article Fourteenth.</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720"/>
          </w:cols>
          <w:pgMar w:left="580" w:top="263" w:right="599" w:bottom="1440" w:gutter="0" w:footer="0" w:header="0"/>
        </w:sectPr>
      </w:pPr>
    </w:p>
    <w:bookmarkStart w:id="376" w:name="page377"/>
    <w:bookmarkEnd w:id="376"/>
    <w:p>
      <w:pPr>
        <w:ind w:lef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FIFTEENTH: </w:t>
      </w:r>
      <w:r>
        <w:rPr>
          <w:rFonts w:ascii="Times New Roman" w:cs="Times New Roman" w:eastAsia="Times New Roman" w:hAnsi="Times New Roman"/>
          <w:sz w:val="18"/>
          <w:szCs w:val="18"/>
          <w:color w:val="auto"/>
        </w:rPr>
        <w:t>The following indemnification provisions shall apply to the persons enumerated below.</w:t>
      </w:r>
    </w:p>
    <w:p>
      <w:pPr>
        <w:spacing w:after="0" w:line="215" w:lineRule="exact"/>
        <w:rPr>
          <w:sz w:val="20"/>
          <w:szCs w:val="20"/>
          <w:color w:val="auto"/>
        </w:rPr>
      </w:pPr>
    </w:p>
    <w:p>
      <w:pPr>
        <w:ind w:left="-40" w:right="40" w:firstLine="972"/>
        <w:spacing w:after="0" w:line="280" w:lineRule="auto"/>
        <w:tabs>
          <w:tab w:leader="none" w:pos="123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Right to Indemnification of Directors and Officers</w:t>
      </w:r>
      <w:r>
        <w:rPr>
          <w:rFonts w:ascii="Times New Roman" w:cs="Times New Roman" w:eastAsia="Times New Roman" w:hAnsi="Times New Roman"/>
          <w:sz w:val="16"/>
          <w:szCs w:val="16"/>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6"/>
          <w:szCs w:val="16"/>
          <w:b w:val="1"/>
          <w:bCs w:val="1"/>
          <w:i w:val="1"/>
          <w:iCs w:val="1"/>
          <w:color w:val="auto"/>
        </w:rPr>
        <w:t>Indemnified Person</w:t>
      </w:r>
      <w:r>
        <w:rPr>
          <w:rFonts w:ascii="Times New Roman" w:cs="Times New Roman" w:eastAsia="Times New Roman" w:hAnsi="Times New Roman"/>
          <w:sz w:val="16"/>
          <w:szCs w:val="16"/>
          <w:color w:val="auto"/>
        </w:rPr>
        <w:t>”)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6"/>
          <w:szCs w:val="16"/>
          <w:b w:val="1"/>
          <w:bCs w:val="1"/>
          <w:i w:val="1"/>
          <w:iCs w:val="1"/>
          <w:color w:val="auto"/>
        </w:rPr>
        <w:t>Proceeding</w:t>
      </w:r>
      <w:r>
        <w:rPr>
          <w:rFonts w:ascii="Times New Roman" w:cs="Times New Roman" w:eastAsia="Times New Roman" w:hAnsi="Times New Roman"/>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xml:space="preserve"> of this Article Fifteenth,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 of the Corporation.</w:t>
      </w:r>
    </w:p>
    <w:p>
      <w:pPr>
        <w:spacing w:after="0" w:line="164" w:lineRule="exact"/>
        <w:rPr>
          <w:rFonts w:ascii="Times New Roman" w:cs="Times New Roman" w:eastAsia="Times New Roman" w:hAnsi="Times New Roman"/>
          <w:sz w:val="16"/>
          <w:szCs w:val="16"/>
          <w:color w:val="auto"/>
        </w:rPr>
      </w:pPr>
    </w:p>
    <w:p>
      <w:pPr>
        <w:ind w:left="-40" w:right="20" w:firstLine="972"/>
        <w:spacing w:after="0" w:line="249" w:lineRule="auto"/>
        <w:tabs>
          <w:tab w:leader="none" w:pos="123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of Expenses of Directors and Officers</w:t>
      </w:r>
      <w:r>
        <w:rPr>
          <w:rFonts w:ascii="Times New Roman" w:cs="Times New Roman" w:eastAsia="Times New Roman" w:hAnsi="Times New Roman"/>
          <w:sz w:val="18"/>
          <w:szCs w:val="18"/>
          <w:color w:val="auto"/>
        </w:rPr>
        <w:t>. The Corporation shall pay the expenses (including attorneys’ fees) incurred by an Indemnified Person in defending any Proceeding in advance of its final disposition, provided, however,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Fifteenth or otherwise.</w:t>
      </w:r>
    </w:p>
    <w:p>
      <w:pPr>
        <w:spacing w:after="0" w:line="186" w:lineRule="exact"/>
        <w:rPr>
          <w:rFonts w:ascii="Times New Roman" w:cs="Times New Roman" w:eastAsia="Times New Roman" w:hAnsi="Times New Roman"/>
          <w:sz w:val="18"/>
          <w:szCs w:val="18"/>
          <w:color w:val="auto"/>
        </w:rPr>
      </w:pPr>
    </w:p>
    <w:p>
      <w:pPr>
        <w:ind w:left="-40" w:firstLine="972"/>
        <w:spacing w:after="0" w:line="249" w:lineRule="auto"/>
        <w:tabs>
          <w:tab w:leader="none" w:pos="123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by Directors and Officers</w:t>
      </w:r>
      <w:r>
        <w:rPr>
          <w:rFonts w:ascii="Times New Roman" w:cs="Times New Roman" w:eastAsia="Times New Roman" w:hAnsi="Times New Roman"/>
          <w:sz w:val="18"/>
          <w:szCs w:val="18"/>
          <w:color w:val="auto"/>
        </w:rPr>
        <w:t>. If a claim for indemnification or advancement of expenses under this Article Fifteenth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6" w:lineRule="exact"/>
        <w:rPr>
          <w:rFonts w:ascii="Times New Roman" w:cs="Times New Roman" w:eastAsia="Times New Roman" w:hAnsi="Times New Roman"/>
          <w:sz w:val="18"/>
          <w:szCs w:val="18"/>
          <w:color w:val="auto"/>
        </w:rPr>
      </w:pPr>
    </w:p>
    <w:p>
      <w:pPr>
        <w:ind w:left="-40" w:firstLine="972"/>
        <w:spacing w:after="0" w:line="247" w:lineRule="auto"/>
        <w:tabs>
          <w:tab w:leader="none" w:pos="123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Employees and Agents</w:t>
      </w:r>
      <w:r>
        <w:rPr>
          <w:rFonts w:ascii="Times New Roman" w:cs="Times New Roman" w:eastAsia="Times New Roman" w:hAnsi="Times New Roman"/>
          <w:sz w:val="18"/>
          <w:szCs w:val="18"/>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660"/>
          </w:cols>
          <w:pgMar w:left="620" w:top="263" w:right="619" w:bottom="1440" w:gutter="0" w:footer="0" w:header="0"/>
        </w:sectPr>
      </w:pPr>
    </w:p>
    <w:bookmarkStart w:id="377" w:name="page378"/>
    <w:bookmarkEnd w:id="377"/>
    <w:p>
      <w:pPr>
        <w:ind w:right="4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Corporation in its sole discretion. Notwithstanding the foregoing sentence, the Corporation shall not be required to indemnify a person in connection with a Proceeding initiated by such person if the Proceeding was not authorized in advance by the Board of Directors of the Corporation.</w:t>
      </w:r>
    </w:p>
    <w:p>
      <w:pPr>
        <w:spacing w:after="0" w:line="123" w:lineRule="exact"/>
        <w:rPr>
          <w:sz w:val="20"/>
          <w:szCs w:val="20"/>
          <w:color w:val="auto"/>
        </w:rPr>
      </w:pPr>
    </w:p>
    <w:p>
      <w:pPr>
        <w:jc w:val="both"/>
        <w:ind w:right="180" w:firstLine="972"/>
        <w:spacing w:after="0" w:line="255" w:lineRule="auto"/>
        <w:tabs>
          <w:tab w:leader="none" w:pos="127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 of Employees and Agents</w:t>
      </w:r>
      <w:r>
        <w:rPr>
          <w:rFonts w:ascii="Times New Roman" w:cs="Times New Roman" w:eastAsia="Times New Roman" w:hAnsi="Times New Roman"/>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 of the Corporation.</w:t>
      </w:r>
    </w:p>
    <w:p>
      <w:pPr>
        <w:spacing w:after="0" w:line="180" w:lineRule="exact"/>
        <w:rPr>
          <w:rFonts w:ascii="Times New Roman" w:cs="Times New Roman" w:eastAsia="Times New Roman" w:hAnsi="Times New Roman"/>
          <w:sz w:val="18"/>
          <w:szCs w:val="18"/>
          <w:color w:val="auto"/>
        </w:rPr>
      </w:pPr>
    </w:p>
    <w:p>
      <w:pPr>
        <w:jc w:val="both"/>
        <w:ind w:right="460" w:firstLine="972"/>
        <w:spacing w:after="0" w:line="255" w:lineRule="auto"/>
        <w:tabs>
          <w:tab w:leader="none" w:pos="127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conferred on any person by this Article Fifteenth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0" w:lineRule="exact"/>
        <w:rPr>
          <w:rFonts w:ascii="Times New Roman" w:cs="Times New Roman" w:eastAsia="Times New Roman" w:hAnsi="Times New Roman"/>
          <w:sz w:val="18"/>
          <w:szCs w:val="18"/>
          <w:color w:val="auto"/>
        </w:rPr>
      </w:pPr>
    </w:p>
    <w:p>
      <w:pPr>
        <w:ind w:right="60" w:firstLine="972"/>
        <w:spacing w:after="0" w:line="251" w:lineRule="auto"/>
        <w:tabs>
          <w:tab w:leader="none" w:pos="1270"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4" w:lineRule="exact"/>
        <w:rPr>
          <w:rFonts w:ascii="Times New Roman" w:cs="Times New Roman" w:eastAsia="Times New Roman" w:hAnsi="Times New Roman"/>
          <w:sz w:val="18"/>
          <w:szCs w:val="18"/>
          <w:color w:val="auto"/>
        </w:rPr>
      </w:pPr>
    </w:p>
    <w:p>
      <w:pPr>
        <w:ind w:right="100" w:firstLine="972"/>
        <w:spacing w:after="0" w:line="285" w:lineRule="auto"/>
        <w:tabs>
          <w:tab w:leader="none" w:pos="1270"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Board of Directors of the Corporation may, to the full extent permitted by applicable law as it presently exists, or may hereafter be amended from time to time, authorize an appropriate officer or officers to purchase and maintain at the Corporation’s expense insurance:</w:t>
      </w:r>
    </w:p>
    <w:p>
      <w:pPr>
        <w:spacing w:after="0" w:line="1" w:lineRule="exact"/>
        <w:rPr>
          <w:rFonts w:ascii="Times New Roman" w:cs="Times New Roman" w:eastAsia="Times New Roman" w:hAnsi="Times New Roman"/>
          <w:sz w:val="16"/>
          <w:szCs w:val="16"/>
          <w:color w:val="auto"/>
        </w:rPr>
      </w:pPr>
    </w:p>
    <w:p>
      <w:pPr>
        <w:ind w:right="140" w:firstLine="8"/>
        <w:spacing w:after="0" w:line="245" w:lineRule="auto"/>
        <w:tabs>
          <w:tab w:leader="none" w:pos="23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indemnify the Corporation for any obligation which it incurs as a result of the indemnification of directors, officers and employees under the provisions of this Article Fifteenth; and (b) to indemnify or insure directors, officers and employees against liability in instances in which they may not otherwise be indemnified by the Corporation under the provisions of this Article Fifteenth.</w:t>
      </w:r>
    </w:p>
    <w:p>
      <w:pPr>
        <w:spacing w:after="0" w:line="188" w:lineRule="exact"/>
        <w:rPr>
          <w:rFonts w:ascii="Times New Roman" w:cs="Times New Roman" w:eastAsia="Times New Roman" w:hAnsi="Times New Roman"/>
          <w:sz w:val="18"/>
          <w:szCs w:val="18"/>
          <w:color w:val="auto"/>
        </w:rPr>
      </w:pPr>
    </w:p>
    <w:p>
      <w:pPr>
        <w:ind w:right="140" w:firstLine="972"/>
        <w:spacing w:after="0" w:line="255" w:lineRule="auto"/>
        <w:tabs>
          <w:tab w:leader="none" w:pos="127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foregoing provisions of this Article Fifteenth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78"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SIXTEENTH: </w:t>
      </w:r>
      <w:r>
        <w:rPr>
          <w:rFonts w:ascii="Times New Roman" w:cs="Times New Roman" w:eastAsia="Times New Roman" w:hAnsi="Times New Roman"/>
          <w:sz w:val="18"/>
          <w:szCs w:val="18"/>
          <w:color w:val="auto"/>
        </w:rPr>
        <w:t>Unless the Corporation consents in writing to the selection of an alternative forum, the Court of Chancery in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 (i) through (iv) above, any claim as to which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720"/>
          </w:cols>
          <w:pgMar w:left="580" w:top="265" w:right="599" w:bottom="1440" w:gutter="0" w:footer="0" w:header="0"/>
        </w:sectPr>
      </w:pPr>
    </w:p>
    <w:bookmarkStart w:id="378" w:name="page379"/>
    <w:bookmarkEnd w:id="378"/>
    <w:p>
      <w:pPr>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Sixteenth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Sixteenth (including, without limitation, each portion of any sentence of this Article Sixteenth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13" w:lineRule="exact"/>
        <w:rPr>
          <w:sz w:val="20"/>
          <w:szCs w:val="20"/>
          <w:color w:val="auto"/>
        </w:rPr>
      </w:pPr>
    </w:p>
    <w:p>
      <w:pPr>
        <w:ind w:right="740" w:firstLine="436"/>
        <w:spacing w:after="0" w:line="267" w:lineRule="auto"/>
        <w:tabs>
          <w:tab w:leader="none" w:pos="73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and restatement was approved by the holders of the requisite number of shares of this corporation in accordance with Section 228 of the DGCL.</w:t>
      </w:r>
    </w:p>
    <w:p>
      <w:pPr>
        <w:spacing w:after="0" w:line="169" w:lineRule="exact"/>
        <w:rPr>
          <w:rFonts w:ascii="Times New Roman" w:cs="Times New Roman" w:eastAsia="Times New Roman" w:hAnsi="Times New Roman"/>
          <w:sz w:val="18"/>
          <w:szCs w:val="18"/>
          <w:color w:val="auto"/>
        </w:rPr>
      </w:pPr>
    </w:p>
    <w:p>
      <w:pPr>
        <w:ind w:right="20" w:firstLine="436"/>
        <w:spacing w:after="0" w:line="331" w:lineRule="auto"/>
        <w:tabs>
          <w:tab w:leader="none" w:pos="731"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this Eleventh Amended and Restated Certificate of Incorporation, which restates and integrates and further amends the provisions of this corporation’s Tenth Amended and Restated Certificate of Incorporation, has been duly adopted in accordance with Sections 242 and 245 of the DGCL.</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700"/>
          </w:cols>
          <w:pgMar w:left="580" w:top="265" w:right="619" w:bottom="1440" w:gutter="0" w:footer="0" w:header="0"/>
        </w:sectPr>
      </w:pPr>
    </w:p>
    <w:bookmarkStart w:id="379" w:name="page380"/>
    <w:bookmarkEnd w:id="379"/>
    <w:p>
      <w:pPr>
        <w:ind w:firstLine="428"/>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this Eleventh Amended and Restated Certificate of Incorporation has been executed by a duly authorized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corporation on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October, 2023.</w:t>
      </w:r>
    </w:p>
    <w:p>
      <w:pPr>
        <w:spacing w:after="0" w:line="55" w:lineRule="exact"/>
        <w:rPr>
          <w:sz w:val="20"/>
          <w:szCs w:val="20"/>
          <w:color w:val="auto"/>
        </w:rPr>
      </w:pPr>
    </w:p>
    <w:p>
      <w:pPr>
        <w:ind w:left="644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13335</wp:posOffset>
            </wp:positionV>
            <wp:extent cx="246761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467610" cy="8255"/>
                    </a:xfrm>
                    <a:prstGeom prst="rect">
                      <a:avLst/>
                    </a:prstGeom>
                    <a:noFill/>
                  </pic:spPr>
                </pic:pic>
              </a:graphicData>
            </a:graphic>
          </wp:anchor>
        </w:drawing>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Ryan Fukushima</w:t>
      </w:r>
    </w:p>
    <w:p>
      <w:pPr>
        <w:spacing w:after="0" w:line="2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Operating Officer</w:t>
      </w:r>
    </w:p>
    <w:p>
      <w:pPr>
        <w:sectPr>
          <w:pgSz w:w="11900" w:h="16838" w:orient="portrait"/>
          <w:cols w:equalWidth="0" w:num="1">
            <w:col w:w="10560"/>
          </w:cols>
          <w:pgMar w:left="580" w:top="263" w:right="759" w:bottom="1440" w:gutter="0" w:footer="0" w:header="0"/>
        </w:sectPr>
      </w:pPr>
    </w:p>
    <w:bookmarkStart w:id="380" w:name="page381"/>
    <w:bookmarkEnd w:id="3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CERTIFICATE OF AMENDMENT TO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ELEVENTH AMENDED AND RESTATED CERTIFICATE OF INCORPORATION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TEMPUS LABS, INC.</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Tempus Labs, Inc., a corporation organized and existing under and by virtue of the provisions of the General Corporation Law of the State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 does hereby certify:</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Tempus Labs,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was originally incorporated pursuant to the General Corporation Law on September 21, 2015, under the name Bioin, Inc.</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w:t>
      </w:r>
    </w:p>
    <w:p>
      <w:pPr>
        <w:spacing w:after="0" w:line="215" w:lineRule="exact"/>
        <w:rPr>
          <w:sz w:val="20"/>
          <w:szCs w:val="20"/>
          <w:color w:val="auto"/>
        </w:rPr>
      </w:pPr>
    </w:p>
    <w:p>
      <w:pPr>
        <w:ind w:right="200" w:firstLine="428"/>
        <w:spacing w:after="0" w:line="255" w:lineRule="auto"/>
        <w:rPr>
          <w:sz w:val="20"/>
          <w:szCs w:val="20"/>
          <w:color w:val="auto"/>
        </w:rPr>
      </w:pPr>
      <w:r>
        <w:rPr>
          <w:rFonts w:ascii="Times New Roman" w:cs="Times New Roman" w:eastAsia="Times New Roman" w:hAnsi="Times New Roman"/>
          <w:sz w:val="18"/>
          <w:szCs w:val="18"/>
          <w:color w:val="auto"/>
        </w:rPr>
        <w:t>Pursuant to Sections 141 and 242 of the General Corporation Law, this Certificate of Amendment to the Eleventh Amended and Restated Certificate of Incorporation (the “</w:t>
      </w:r>
      <w:r>
        <w:rPr>
          <w:rFonts w:ascii="Times New Roman" w:cs="Times New Roman" w:eastAsia="Times New Roman" w:hAnsi="Times New Roman"/>
          <w:sz w:val="18"/>
          <w:szCs w:val="18"/>
          <w:b w:val="1"/>
          <w:bCs w:val="1"/>
          <w:i w:val="1"/>
          <w:iCs w:val="1"/>
          <w:color w:val="auto"/>
        </w:rPr>
        <w:t>Certificate of Amendment</w:t>
      </w:r>
      <w:r>
        <w:rPr>
          <w:rFonts w:ascii="Times New Roman" w:cs="Times New Roman" w:eastAsia="Times New Roman" w:hAnsi="Times New Roman"/>
          <w:sz w:val="18"/>
          <w:szCs w:val="18"/>
          <w:color w:val="auto"/>
        </w:rPr>
        <w:t>”) amends the Corporation’s Eleventh Amended and Restated Certificate of Incorporation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as follows:</w:t>
      </w:r>
    </w:p>
    <w:p>
      <w:pPr>
        <w:spacing w:after="0" w:line="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Article FIRST of the Certificate of Incorporation is hereby amended and restated in its entirety to read as follows: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xml:space="preserve"> The name of this corporation is Tempus AI,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of Amendment has been duly adopted in accordance with Sections 141 and 242 of the General Corporation Law.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w:t>
      </w:r>
    </w:p>
    <w:p>
      <w:pPr>
        <w:spacing w:after="0" w:line="215" w:lineRule="exact"/>
        <w:rPr>
          <w:sz w:val="20"/>
          <w:szCs w:val="20"/>
          <w:color w:val="auto"/>
        </w:rPr>
      </w:pPr>
    </w:p>
    <w:p>
      <w:pPr>
        <w:ind w:firstLine="428"/>
        <w:spacing w:after="0" w:line="267" w:lineRule="auto"/>
        <w:rPr>
          <w:sz w:val="20"/>
          <w:szCs w:val="20"/>
          <w:color w:val="auto"/>
        </w:rPr>
      </w:pPr>
      <w:r>
        <w:rPr>
          <w:rFonts w:ascii="Times New Roman" w:cs="Times New Roman" w:eastAsia="Times New Roman" w:hAnsi="Times New Roman"/>
          <w:sz w:val="18"/>
          <w:szCs w:val="18"/>
          <w:color w:val="auto"/>
        </w:rPr>
        <w:t>All other provisions of the Certificate of Incorporation, as currently on file with the Secretary of State of the State of Delaware, shall remain in full force and effect.</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ectPr>
          <w:pgSz w:w="11900" w:h="16838" w:orient="portrait"/>
          <w:cols w:equalWidth="0" w:num="1">
            <w:col w:w="10720"/>
          </w:cols>
          <w:pgMar w:left="580" w:top="263" w:right="599" w:bottom="1440" w:gutter="0" w:footer="0" w:header="0"/>
        </w:sectPr>
      </w:pPr>
    </w:p>
    <w:bookmarkStart w:id="381" w:name="page382"/>
    <w:bookmarkEnd w:id="381"/>
    <w:p>
      <w:pPr>
        <w:ind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undersigned authorized officer of the Corporation has caused this Certificate of Amendment to be signed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4, 2023.</w:t>
      </w:r>
    </w:p>
    <w:p>
      <w:pPr>
        <w:spacing w:after="0" w:line="19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By: /s/ Ryan Fukushima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4314825</wp:posOffset>
            </wp:positionH>
            <wp:positionV relativeFrom="paragraph">
              <wp:posOffset>13335</wp:posOffset>
            </wp:positionV>
            <wp:extent cx="249237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9237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YAN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UKUSHIMA</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19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IGNATURE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AGE TO</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w:t>
      </w:r>
    </w:p>
    <w:sectPr>
      <w:pgSz w:w="11900" w:h="16838" w:orient="portrait"/>
      <w:cols w:equalWidth="0" w:num="1">
        <w:col w:w="10080"/>
      </w:cols>
      <w:pgMar w:left="580" w:top="26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
      <w:numFmt w:val="bullet"/>
      <w:start w:val="1"/>
    </w:lvl>
  </w:abstractNum>
  <w:abstractNum w:abstractNumId="14">
    <w:nsid w:val="71C91298"/>
    <w:multiLevelType w:val="hybridMultilevel"/>
    <w:lvl w:ilvl="0">
      <w:lvlJc w:val="left"/>
      <w:lvlText w:val="(%1)"/>
      <w:numFmt w:val="decimal"/>
      <w:start w:val="1"/>
    </w:lvl>
  </w:abstractNum>
  <w:abstractNum w:abstractNumId="15">
    <w:nsid w:val="9DAF632"/>
    <w:multiLevelType w:val="hybridMultilevel"/>
    <w:lvl w:ilvl="0">
      <w:lvlJc w:val="left"/>
      <w:lvlText w:val="(%1)"/>
      <w:numFmt w:val="decimal"/>
      <w:start w:val="1"/>
    </w:lvl>
  </w:abstractNum>
  <w:abstractNum w:abstractNumId="16">
    <w:nsid w:val="53299938"/>
    <w:multiLevelType w:val="hybridMultilevel"/>
    <w:lvl w:ilvl="0">
      <w:lvlJc w:val="left"/>
      <w:lvlText w:val="%1"/>
      <w:numFmt w:val="decimal"/>
      <w:start w:val="1"/>
    </w:lvl>
    <w:lvl w:ilvl="1">
      <w:lvlJc w:val="left"/>
      <w:lvlText w:val="(%2)"/>
      <w:numFmt w:val="lowerLetter"/>
      <w:start w:val="6"/>
    </w:lvl>
  </w:abstractNum>
  <w:abstractNum w:abstractNumId="17">
    <w:nsid w:val="1FBFE8E0"/>
    <w:multiLevelType w:val="hybridMultilevel"/>
    <w:lvl w:ilvl="0">
      <w:lvlJc w:val="left"/>
      <w:lvlText w:val="(%1)"/>
      <w:numFmt w:val="decimal"/>
      <w:start w:val="2"/>
    </w:lvl>
    <w:lvl w:ilvl="1">
      <w:lvlJc w:val="left"/>
      <w:lvlText w:val="%2"/>
      <w:numFmt w:val="lowerLetter"/>
      <w:start w:val="1"/>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1)"/>
      <w:numFmt w:val="decimal"/>
      <w:start w:val="4"/>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
      <w:numFmt w:val="bullet"/>
      <w:start w:val="1"/>
    </w:lvl>
  </w:abstractNum>
  <w:abstractNum w:abstractNumId="23">
    <w:nsid w:val="1D9F6E5F"/>
    <w:multiLevelType w:val="hybridMultilevel"/>
    <w:lvl w:ilvl="0">
      <w:lvlJc w:val="left"/>
      <w:lvlText w:val="•"/>
      <w:numFmt w:val="bullet"/>
      <w:start w:val="1"/>
    </w:lvl>
  </w:abstractNum>
  <w:abstractNum w:abstractNumId="24">
    <w:nsid w:val="97E1B4E"/>
    <w:multiLevelType w:val="hybridMultilevel"/>
    <w:lvl w:ilvl="0">
      <w:lvlJc w:val="left"/>
      <w:lvlText w:val="•"/>
      <w:numFmt w:val="bullet"/>
      <w:start w:val="1"/>
    </w:lvl>
  </w:abstractNum>
  <w:abstractNum w:abstractNumId="25">
    <w:nsid w:val="51088277"/>
    <w:multiLevelType w:val="hybridMultilevel"/>
    <w:lvl w:ilvl="0">
      <w:lvlJc w:val="left"/>
      <w:lvlText w:val="•"/>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
      <w:numFmt w:val="bullet"/>
      <w:start w:val="1"/>
    </w:lvl>
  </w:abstractNum>
  <w:abstractNum w:abstractNumId="41">
    <w:nsid w:val="69E373"/>
    <w:multiLevelType w:val="hybridMultilevel"/>
    <w:lvl w:ilvl="0">
      <w:lvlJc w:val="left"/>
      <w:lvlText w:val="•"/>
      <w:numFmt w:val="bullet"/>
      <w:start w:val="1"/>
    </w:lvl>
  </w:abstractNum>
  <w:abstractNum w:abstractNumId="42">
    <w:nsid w:val="2C27173B"/>
    <w:multiLevelType w:val="hybridMultilevel"/>
    <w:lvl w:ilvl="0">
      <w:lvlJc w:val="left"/>
      <w:lvlText w:val="•"/>
      <w:numFmt w:val="bullet"/>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
      <w:numFmt w:val="bullet"/>
      <w:start w:val="1"/>
    </w:lvl>
  </w:abstractNum>
  <w:abstractNum w:abstractNumId="45">
    <w:nsid w:val="1DF029D3"/>
    <w:multiLevelType w:val="hybridMultilevel"/>
    <w:lvl w:ilvl="0">
      <w:lvlJc w:val="left"/>
      <w:lvlText w:val="•"/>
      <w:numFmt w:val="bullet"/>
      <w:start w:val="1"/>
    </w:lvl>
  </w:abstractNum>
  <w:abstractNum w:abstractNumId="46">
    <w:nsid w:val="5675FF36"/>
    <w:multiLevelType w:val="hybridMultilevel"/>
    <w:lvl w:ilvl="0">
      <w:lvlJc w:val="left"/>
      <w:lvlText w:val="•"/>
      <w:numFmt w:val="bullet"/>
      <w:start w:val="1"/>
    </w:lvl>
  </w:abstractNum>
  <w:abstractNum w:abstractNumId="47">
    <w:nsid w:val="3DD15094"/>
    <w:multiLevelType w:val="hybridMultilevel"/>
    <w:lvl w:ilvl="0">
      <w:lvlJc w:val="left"/>
      <w:lvlText w:val="•"/>
      <w:numFmt w:val="bullet"/>
      <w:start w:val="1"/>
    </w:lvl>
  </w:abstractNum>
  <w:abstractNum w:abstractNumId="48">
    <w:nsid w:val="3DB012B3"/>
    <w:multiLevelType w:val="hybridMultilevel"/>
    <w:lvl w:ilvl="0">
      <w:lvlJc w:val="left"/>
      <w:lvlText w:val="•"/>
      <w:numFmt w:val="bullet"/>
      <w:start w:val="1"/>
    </w:lvl>
  </w:abstractNum>
  <w:abstractNum w:abstractNumId="49">
    <w:nsid w:val="2708C9AF"/>
    <w:multiLevelType w:val="hybridMultilevel"/>
    <w:lvl w:ilvl="0">
      <w:lvlJc w:val="left"/>
      <w:lvlText w:val="•"/>
      <w:numFmt w:val="bullet"/>
      <w:start w:val="1"/>
    </w:lvl>
  </w:abstractNum>
  <w:abstractNum w:abstractNumId="50">
    <w:nsid w:val="5B25ACE2"/>
    <w:multiLevelType w:val="hybridMultilevel"/>
    <w:lvl w:ilvl="0">
      <w:lvlJc w:val="left"/>
      <w:lvlText w:val="•"/>
      <w:numFmt w:val="bullet"/>
      <w:start w:val="1"/>
    </w:lvl>
  </w:abstractNum>
  <w:abstractNum w:abstractNumId="51">
    <w:nsid w:val="175DFCF0"/>
    <w:multiLevelType w:val="hybridMultilevel"/>
    <w:lvl w:ilvl="0">
      <w:lvlJc w:val="left"/>
      <w:lvlText w:val="•"/>
      <w:numFmt w:val="bullet"/>
      <w:start w:val="1"/>
    </w:lvl>
  </w:abstractNum>
  <w:abstractNum w:abstractNumId="52">
    <w:nsid w:val="4F97E3E4"/>
    <w:multiLevelType w:val="hybridMultilevel"/>
    <w:lvl w:ilvl="0">
      <w:lvlJc w:val="left"/>
      <w:lvlText w:val="•"/>
      <w:numFmt w:val="bullet"/>
      <w:start w:val="1"/>
    </w:lvl>
  </w:abstractNum>
  <w:abstractNum w:abstractNumId="53">
    <w:nsid w:val="53B0A9E"/>
    <w:multiLevelType w:val="hybridMultilevel"/>
    <w:lvl w:ilvl="0">
      <w:lvlJc w:val="left"/>
      <w:lvlText w:val="•"/>
      <w:numFmt w:val="bullet"/>
      <w:start w:val="1"/>
    </w:lvl>
  </w:abstractNum>
  <w:abstractNum w:abstractNumId="54">
    <w:nsid w:val="34FD6B4F"/>
    <w:multiLevelType w:val="hybridMultilevel"/>
    <w:lvl w:ilvl="0">
      <w:lvlJc w:val="left"/>
      <w:lvlText w:val="•"/>
      <w:numFmt w:val="bullet"/>
      <w:start w:val="1"/>
    </w:lvl>
  </w:abstractNum>
  <w:abstractNum w:abstractNumId="55">
    <w:nsid w:val="5915FF32"/>
    <w:multiLevelType w:val="hybridMultilevel"/>
    <w:lvl w:ilvl="0">
      <w:lvlJc w:val="left"/>
      <w:lvlText w:val="•"/>
      <w:numFmt w:val="bullet"/>
      <w:start w:val="1"/>
    </w:lvl>
  </w:abstractNum>
  <w:abstractNum w:abstractNumId="56">
    <w:nsid w:val="56438D15"/>
    <w:multiLevelType w:val="hybridMultilevel"/>
    <w:lvl w:ilvl="0">
      <w:lvlJc w:val="left"/>
      <w:lvlText w:val="$"/>
      <w:numFmt w:val="bullet"/>
      <w:start w:val="1"/>
    </w:lvl>
  </w:abstractNum>
  <w:abstractNum w:abstractNumId="57">
    <w:nsid w:val="519E3149"/>
    <w:multiLevelType w:val="hybridMultilevel"/>
    <w:lvl w:ilvl="0">
      <w:lvlJc w:val="left"/>
      <w:lvlText w:val="$"/>
      <w:numFmt w:val="bullet"/>
      <w:start w:val="1"/>
    </w:lvl>
  </w:abstractNum>
  <w:abstractNum w:abstractNumId="58">
    <w:nsid w:val="2C6E4AFD"/>
    <w:multiLevelType w:val="hybridMultilevel"/>
    <w:lvl w:ilvl="0">
      <w:lvlJc w:val="left"/>
      <w:lvlText w:val="•"/>
      <w:numFmt w:val="bullet"/>
      <w:start w:val="1"/>
    </w:lvl>
  </w:abstractNum>
  <w:abstractNum w:abstractNumId="59">
    <w:nsid w:val="17A1B582"/>
    <w:multiLevelType w:val="hybridMultilevel"/>
    <w:lvl w:ilvl="0">
      <w:lvlJc w:val="left"/>
      <w:lvlText w:val="$"/>
      <w:numFmt w:val="bullet"/>
      <w:start w:val="1"/>
    </w:lvl>
  </w:abstractNum>
  <w:abstractNum w:abstractNumId="60">
    <w:nsid w:val="4DF72E4E"/>
    <w:multiLevelType w:val="hybridMultilevel"/>
    <w:lvl w:ilvl="0">
      <w:lvlJc w:val="left"/>
      <w:lvlText w:val="•"/>
      <w:numFmt w:val="bullet"/>
      <w:start w:val="1"/>
    </w:lvl>
  </w:abstractNum>
  <w:abstractNum w:abstractNumId="61">
    <w:nsid w:val="5046B5A9"/>
    <w:multiLevelType w:val="hybridMultilevel"/>
    <w:lvl w:ilvl="0">
      <w:lvlJc w:val="left"/>
      <w:lvlText w:val="•"/>
      <w:numFmt w:val="bullet"/>
      <w:start w:val="1"/>
    </w:lvl>
  </w:abstractNum>
  <w:abstractNum w:abstractNumId="62">
    <w:nsid w:val="5D888A08"/>
    <w:multiLevelType w:val="hybridMultilevel"/>
    <w:lvl w:ilvl="0">
      <w:lvlJc w:val="left"/>
      <w:lvlText w:val="$"/>
      <w:numFmt w:val="bullet"/>
      <w:start w:val="1"/>
    </w:lvl>
  </w:abstractNum>
  <w:abstractNum w:abstractNumId="63">
    <w:nsid w:val="2A082C70"/>
    <w:multiLevelType w:val="hybridMultilevel"/>
    <w:lvl w:ilvl="0">
      <w:lvlJc w:val="left"/>
      <w:lvlText w:val="$"/>
      <w:numFmt w:val="bullet"/>
      <w:start w:val="1"/>
    </w:lvl>
  </w:abstractNum>
  <w:abstractNum w:abstractNumId="64">
    <w:nsid w:val="5EC6AFD4"/>
    <w:multiLevelType w:val="hybridMultilevel"/>
    <w:lvl w:ilvl="0">
      <w:lvlJc w:val="left"/>
      <w:lvlText w:val="•"/>
      <w:numFmt w:val="bullet"/>
      <w:start w:val="1"/>
    </w:lvl>
  </w:abstractNum>
  <w:abstractNum w:abstractNumId="65">
    <w:nsid w:val="19E21BB2"/>
    <w:multiLevelType w:val="hybridMultilevel"/>
    <w:lvl w:ilvl="0">
      <w:lvlJc w:val="left"/>
      <w:lvlText w:val="•"/>
      <w:numFmt w:val="bullet"/>
      <w:start w:val="1"/>
    </w:lvl>
  </w:abstractNum>
  <w:abstractNum w:abstractNumId="66">
    <w:nsid w:val="75E0858A"/>
    <w:multiLevelType w:val="hybridMultilevel"/>
    <w:lvl w:ilvl="0">
      <w:lvlJc w:val="left"/>
      <w:lvlText w:val="•"/>
      <w:numFmt w:val="bullet"/>
      <w:start w:val="1"/>
    </w:lvl>
  </w:abstractNum>
  <w:abstractNum w:abstractNumId="67">
    <w:nsid w:val="57A61A29"/>
    <w:multiLevelType w:val="hybridMultilevel"/>
    <w:lvl w:ilvl="0">
      <w:lvlJc w:val="left"/>
      <w:lvlText w:val="*"/>
      <w:numFmt w:val="bullet"/>
      <w:start w:val="1"/>
    </w:lvl>
  </w:abstractNum>
  <w:abstractNum w:abstractNumId="68">
    <w:nsid w:val="5399C654"/>
    <w:multiLevelType w:val="hybridMultilevel"/>
    <w:lvl w:ilvl="0">
      <w:lvlJc w:val="left"/>
      <w:lvlText w:val="$"/>
      <w:numFmt w:val="bullet"/>
      <w:start w:val="1"/>
    </w:lvl>
  </w:abstractNum>
  <w:abstractNum w:abstractNumId="69">
    <w:nsid w:val="20EE1348"/>
    <w:multiLevelType w:val="hybridMultilevel"/>
    <w:lvl w:ilvl="0">
      <w:lvlJc w:val="left"/>
      <w:lvlText w:val="•"/>
      <w:numFmt w:val="bullet"/>
      <w:start w:val="1"/>
    </w:lvl>
  </w:abstractNum>
  <w:abstractNum w:abstractNumId="70">
    <w:nsid w:val="4427069A"/>
    <w:multiLevelType w:val="hybridMultilevel"/>
    <w:lvl w:ilvl="0">
      <w:lvlJc w:val="left"/>
      <w:lvlText w:val="$"/>
      <w:numFmt w:val="bullet"/>
      <w:start w:val="1"/>
    </w:lvl>
  </w:abstractNum>
  <w:abstractNum w:abstractNumId="71">
    <w:nsid w:val="B37E80A"/>
    <w:multiLevelType w:val="hybridMultilevel"/>
    <w:lvl w:ilvl="0">
      <w:lvlJc w:val="left"/>
      <w:lvlText w:val="(%1)"/>
      <w:numFmt w:val="lowerRoman"/>
      <w:start w:val="2"/>
    </w:lvl>
  </w:abstractNum>
  <w:abstractNum w:abstractNumId="72">
    <w:nsid w:val="2157F6BC"/>
    <w:multiLevelType w:val="hybridMultilevel"/>
    <w:lvl w:ilvl="0">
      <w:lvlJc w:val="left"/>
      <w:lvlText w:val="(%1)"/>
      <w:numFmt w:val="lowerRoman"/>
      <w:start w:val="5"/>
    </w:lvl>
  </w:abstractNum>
  <w:abstractNum w:abstractNumId="73">
    <w:nsid w:val="704E1DD5"/>
    <w:multiLevelType w:val="hybridMultilevel"/>
    <w:lvl w:ilvl="0">
      <w:lvlJc w:val="left"/>
      <w:lvlText w:val="(%1)"/>
      <w:numFmt w:val="lowerRoman"/>
      <w:start w:val="1"/>
    </w:lvl>
  </w:abstractNum>
  <w:abstractNum w:abstractNumId="74">
    <w:nsid w:val="57D2F10E"/>
    <w:multiLevelType w:val="hybridMultilevel"/>
    <w:lvl w:ilvl="0">
      <w:lvlJc w:val="left"/>
      <w:lvlText w:val="•"/>
      <w:numFmt w:val="bullet"/>
      <w:start w:val="1"/>
    </w:lvl>
  </w:abstractNum>
  <w:abstractNum w:abstractNumId="75">
    <w:nsid w:val="BFFAE18"/>
    <w:multiLevelType w:val="hybridMultilevel"/>
    <w:lvl w:ilvl="0">
      <w:lvlJc w:val="left"/>
      <w:lvlText w:val="•"/>
      <w:numFmt w:val="bullet"/>
      <w:start w:val="1"/>
    </w:lvl>
  </w:abstractNum>
  <w:abstractNum w:abstractNumId="76">
    <w:nsid w:val="E3E47A8"/>
    <w:multiLevelType w:val="hybridMultilevel"/>
    <w:lvl w:ilvl="0">
      <w:lvlJc w:val="left"/>
      <w:lvlText w:val="•"/>
      <w:numFmt w:val="bullet"/>
      <w:start w:val="1"/>
    </w:lvl>
  </w:abstractNum>
  <w:abstractNum w:abstractNumId="77">
    <w:nsid w:val="2E48F044"/>
    <w:multiLevelType w:val="hybridMultilevel"/>
    <w:lvl w:ilvl="0">
      <w:lvlJc w:val="left"/>
      <w:lvlText w:val="•"/>
      <w:numFmt w:val="bullet"/>
      <w:start w:val="1"/>
    </w:lvl>
  </w:abstractNum>
  <w:abstractNum w:abstractNumId="78">
    <w:nsid w:val="49D0FEAC"/>
    <w:multiLevelType w:val="hybridMultilevel"/>
    <w:lvl w:ilvl="0">
      <w:lvlJc w:val="left"/>
      <w:lvlText w:val="•"/>
      <w:numFmt w:val="bullet"/>
      <w:start w:val="1"/>
    </w:lvl>
  </w:abstractNum>
  <w:abstractNum w:abstractNumId="79">
    <w:nsid w:val="4BEE5A5B"/>
    <w:multiLevelType w:val="hybridMultilevel"/>
    <w:lvl w:ilvl="0">
      <w:lvlJc w:val="left"/>
      <w:lvlText w:val="•"/>
      <w:numFmt w:val="bullet"/>
      <w:start w:val="1"/>
    </w:lvl>
  </w:abstractNum>
  <w:abstractNum w:abstractNumId="80">
    <w:nsid w:val="5551B9F3"/>
    <w:multiLevelType w:val="hybridMultilevel"/>
    <w:lvl w:ilvl="0">
      <w:lvlJc w:val="left"/>
      <w:lvlText w:val="•"/>
      <w:numFmt w:val="bullet"/>
      <w:start w:val="1"/>
    </w:lvl>
  </w:abstractNum>
  <w:abstractNum w:abstractNumId="81">
    <w:nsid w:val="24F6AB8E"/>
    <w:multiLevelType w:val="hybridMultilevel"/>
    <w:lvl w:ilvl="0">
      <w:lvlJc w:val="left"/>
      <w:lvlText w:val="•"/>
      <w:numFmt w:val="bullet"/>
      <w:start w:val="1"/>
    </w:lvl>
  </w:abstractNum>
  <w:abstractNum w:abstractNumId="82">
    <w:nsid w:val="634C574C"/>
    <w:multiLevelType w:val="hybridMultilevel"/>
    <w:lvl w:ilvl="0">
      <w:lvlJc w:val="left"/>
      <w:lvlText w:val="•"/>
      <w:numFmt w:val="bullet"/>
      <w:start w:val="1"/>
    </w:lvl>
  </w:abstractNum>
  <w:abstractNum w:abstractNumId="83">
    <w:nsid w:val="24E99DD7"/>
    <w:multiLevelType w:val="hybridMultilevel"/>
    <w:lvl w:ilvl="0">
      <w:lvlJc w:val="left"/>
      <w:lvlText w:val="•"/>
      <w:numFmt w:val="bullet"/>
      <w:start w:val="1"/>
    </w:lvl>
  </w:abstractNum>
  <w:abstractNum w:abstractNumId="84">
    <w:nsid w:val="2A31B62D"/>
    <w:multiLevelType w:val="hybridMultilevel"/>
    <w:lvl w:ilvl="0">
      <w:lvlJc w:val="left"/>
      <w:lvlText w:val="•"/>
      <w:numFmt w:val="bullet"/>
      <w:start w:val="1"/>
    </w:lvl>
  </w:abstractNum>
  <w:abstractNum w:abstractNumId="85">
    <w:nsid w:val="1849C29B"/>
    <w:multiLevelType w:val="hybridMultilevel"/>
    <w:lvl w:ilvl="0">
      <w:lvlJc w:val="left"/>
      <w:lvlText w:val="•"/>
      <w:numFmt w:val="bullet"/>
      <w:start w:val="1"/>
    </w:lvl>
  </w:abstractNum>
  <w:abstractNum w:abstractNumId="86">
    <w:nsid w:val="7DFF9D09"/>
    <w:multiLevelType w:val="hybridMultilevel"/>
    <w:lvl w:ilvl="0">
      <w:lvlJc w:val="left"/>
      <w:lvlText w:val="•"/>
      <w:numFmt w:val="bullet"/>
      <w:start w:val="1"/>
    </w:lvl>
  </w:abstractNum>
  <w:abstractNum w:abstractNumId="87">
    <w:nsid w:val="754342"/>
    <w:multiLevelType w:val="hybridMultilevel"/>
    <w:lvl w:ilvl="0">
      <w:lvlJc w:val="left"/>
      <w:lvlText w:val="(%1)"/>
      <w:numFmt w:val="decimal"/>
      <w:start w:val="1"/>
    </w:lvl>
  </w:abstractNum>
  <w:abstractNum w:abstractNumId="88">
    <w:nsid w:val="69E7F3E5"/>
    <w:multiLevelType w:val="hybridMultilevel"/>
    <w:lvl w:ilvl="0">
      <w:lvlJc w:val="left"/>
      <w:lvlText w:val="(%1)"/>
      <w:numFmt w:val="lowerLetter"/>
      <w:start w:val="1"/>
    </w:lvl>
  </w:abstractNum>
  <w:abstractNum w:abstractNumId="89">
    <w:nsid w:val="2A6DE806"/>
    <w:multiLevelType w:val="hybridMultilevel"/>
    <w:lvl w:ilvl="0">
      <w:lvlJc w:val="left"/>
      <w:lvlText w:val="(%1)"/>
      <w:numFmt w:val="decimal"/>
      <w:start w:val="3"/>
    </w:lvl>
  </w:abstractNum>
  <w:abstractNum w:abstractNumId="90">
    <w:nsid w:val="1816F8C4"/>
    <w:multiLevelType w:val="hybridMultilevel"/>
    <w:lvl w:ilvl="0">
      <w:lvlJc w:val="left"/>
      <w:lvlText w:val="(%1)"/>
      <w:numFmt w:val="decimal"/>
      <w:start w:val="4"/>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1)"/>
      <w:numFmt w:val="decimal"/>
      <w:start w:val="1"/>
    </w:lvl>
  </w:abstractNum>
  <w:abstractNum w:abstractNumId="93">
    <w:nsid w:val="759F82CD"/>
    <w:multiLevelType w:val="hybridMultilevel"/>
    <w:lvl w:ilvl="0">
      <w:lvlJc w:val="left"/>
      <w:lvlText w:val="(%1)"/>
      <w:numFmt w:val="decimal"/>
      <w:start w:val="1"/>
    </w:lvl>
  </w:abstractNum>
  <w:abstractNum w:abstractNumId="94">
    <w:nsid w:val="61E74EA3"/>
    <w:multiLevelType w:val="hybridMultilevel"/>
    <w:lvl w:ilvl="0">
      <w:lvlJc w:val="left"/>
      <w:lvlText w:val="(%1)"/>
      <w:numFmt w:val="decimal"/>
      <w:start w:val="2"/>
    </w:lvl>
  </w:abstractNum>
  <w:abstractNum w:abstractNumId="95">
    <w:nsid w:val="597B4D84"/>
    <w:multiLevelType w:val="hybridMultilevel"/>
    <w:lvl w:ilvl="0">
      <w:lvlJc w:val="left"/>
      <w:lvlText w:val="•"/>
      <w:numFmt w:val="bullet"/>
      <w:start w:val="1"/>
    </w:lvl>
  </w:abstractNum>
  <w:abstractNum w:abstractNumId="96">
    <w:nsid w:val="F819E7F"/>
    <w:multiLevelType w:val="hybridMultilevel"/>
    <w:lvl w:ilvl="0">
      <w:lvlJc w:val="left"/>
      <w:lvlText w:val="•"/>
      <w:numFmt w:val="bullet"/>
      <w:start w:val="1"/>
    </w:lvl>
  </w:abstractNum>
  <w:abstractNum w:abstractNumId="97">
    <w:nsid w:val="57C7D42D"/>
    <w:multiLevelType w:val="hybridMultilevel"/>
    <w:lvl w:ilvl="0">
      <w:lvlJc w:val="left"/>
      <w:lvlText w:val="•"/>
      <w:numFmt w:val="bullet"/>
      <w:start w:val="1"/>
    </w:lvl>
  </w:abstractNum>
  <w:abstractNum w:abstractNumId="98">
    <w:nsid w:val="312167AD"/>
    <w:multiLevelType w:val="hybridMultilevel"/>
    <w:lvl w:ilvl="0">
      <w:lvlJc w:val="left"/>
      <w:lvlText w:val="•"/>
      <w:numFmt w:val="bullet"/>
      <w:start w:val="1"/>
    </w:lvl>
  </w:abstractNum>
  <w:abstractNum w:abstractNumId="99">
    <w:nsid w:val="631B64D4"/>
    <w:multiLevelType w:val="hybridMultilevel"/>
    <w:lvl w:ilvl="0">
      <w:lvlJc w:val="left"/>
      <w:lvlText w:val="(%1)"/>
      <w:numFmt w:val="decimal"/>
      <w:start w:val="1"/>
    </w:lvl>
  </w:abstractNum>
  <w:abstractNum w:abstractNumId="100">
    <w:nsid w:val="78B5E776"/>
    <w:multiLevelType w:val="hybridMultilevel"/>
    <w:lvl w:ilvl="0">
      <w:lvlJc w:val="left"/>
      <w:lvlText w:val="(%1)"/>
      <w:numFmt w:val="decimal"/>
      <w:start w:val="1"/>
    </w:lvl>
  </w:abstractNum>
  <w:abstractNum w:abstractNumId="101">
    <w:nsid w:val="75486E47"/>
    <w:multiLevelType w:val="hybridMultilevel"/>
    <w:lvl w:ilvl="0">
      <w:lvlJc w:val="left"/>
      <w:lvlText w:val="(%1)"/>
      <w:numFmt w:val="decimal"/>
      <w:start w:val="1"/>
    </w:lvl>
  </w:abstractNum>
  <w:abstractNum w:abstractNumId="102">
    <w:nsid w:val="6E534CDE"/>
    <w:multiLevelType w:val="hybridMultilevel"/>
    <w:lvl w:ilvl="0">
      <w:lvlJc w:val="left"/>
      <w:lvlText w:val="•"/>
      <w:numFmt w:val="bullet"/>
      <w:start w:val="1"/>
    </w:lvl>
  </w:abstractNum>
  <w:abstractNum w:abstractNumId="103">
    <w:nsid w:val="1A0DDE32"/>
    <w:multiLevelType w:val="hybridMultilevel"/>
    <w:lvl w:ilvl="0">
      <w:lvlJc w:val="left"/>
      <w:lvlText w:val="(%1)"/>
      <w:numFmt w:val="decimal"/>
      <w:start w:val="2"/>
    </w:lvl>
  </w:abstractNum>
  <w:abstractNum w:abstractNumId="104">
    <w:nsid w:val="65968C1C"/>
    <w:multiLevelType w:val="hybridMultilevel"/>
    <w:lvl w:ilvl="0">
      <w:lvlJc w:val="left"/>
      <w:lvlText w:val="*"/>
      <w:numFmt w:val="bullet"/>
      <w:start w:val="1"/>
    </w:lvl>
  </w:abstractNum>
  <w:abstractNum w:abstractNumId="105">
    <w:nsid w:val="46263DEC"/>
    <w:multiLevelType w:val="hybridMultilevel"/>
    <w:lvl w:ilvl="0">
      <w:lvlJc w:val="left"/>
      <w:lvlText w:val="†"/>
      <w:numFmt w:val="bullet"/>
      <w:start w:val="1"/>
    </w:lvl>
  </w:abstractNum>
  <w:abstractNum w:abstractNumId="106">
    <w:nsid w:val="260D8C4A"/>
    <w:multiLevelType w:val="hybridMultilevel"/>
    <w:lvl w:ilvl="0">
      <w:lvlJc w:val="left"/>
      <w:lvlText w:val="•"/>
      <w:numFmt w:val="bullet"/>
      <w:start w:val="1"/>
    </w:lvl>
  </w:abstractNum>
  <w:abstractNum w:abstractNumId="107">
    <w:nsid w:val="73D4D3C4"/>
    <w:multiLevelType w:val="hybridMultilevel"/>
    <w:lvl w:ilvl="0">
      <w:lvlJc w:val="left"/>
      <w:lvlText w:val="•"/>
      <w:numFmt w:val="bullet"/>
      <w:start w:val="1"/>
    </w:lvl>
  </w:abstractNum>
  <w:abstractNum w:abstractNumId="108">
    <w:nsid w:val="746F2E30"/>
    <w:multiLevelType w:val="hybridMultilevel"/>
    <w:lvl w:ilvl="0">
      <w:lvlJc w:val="left"/>
      <w:lvlText w:val="&amp;"/>
      <w:numFmt w:val="bullet"/>
      <w:start w:val="1"/>
    </w:lvl>
  </w:abstractNum>
  <w:abstractNum w:abstractNumId="109">
    <w:nsid w:val="6FDE8AF6"/>
    <w:multiLevelType w:val="hybridMultilevel"/>
    <w:lvl w:ilvl="0">
      <w:lvlJc w:val="left"/>
      <w:lvlText w:val="•"/>
      <w:numFmt w:val="bullet"/>
      <w:start w:val="1"/>
    </w:lvl>
  </w:abstractNum>
  <w:abstractNum w:abstractNumId="110">
    <w:nsid w:val="3FC32E20"/>
    <w:multiLevelType w:val="hybridMultilevel"/>
    <w:lvl w:ilvl="0">
      <w:lvlJc w:val="left"/>
      <w:lvlText w:val="•"/>
      <w:numFmt w:val="bullet"/>
      <w:start w:val="1"/>
    </w:lvl>
  </w:abstractNum>
  <w:abstractNum w:abstractNumId="111">
    <w:nsid w:val="49C0E823"/>
    <w:multiLevelType w:val="hybridMultilevel"/>
    <w:lvl w:ilvl="0">
      <w:lvlJc w:val="left"/>
      <w:lvlText w:val="•"/>
      <w:numFmt w:val="bullet"/>
      <w:start w:val="1"/>
    </w:lvl>
  </w:abstractNum>
  <w:abstractNum w:abstractNumId="112">
    <w:nsid w:val="14D53685"/>
    <w:multiLevelType w:val="hybridMultilevel"/>
    <w:lvl w:ilvl="0">
      <w:lvlJc w:val="left"/>
      <w:lvlText w:val="•"/>
      <w:numFmt w:val="bullet"/>
      <w:start w:val="1"/>
    </w:lvl>
  </w:abstractNum>
  <w:abstractNum w:abstractNumId="113">
    <w:nsid w:val="230F856C"/>
    <w:multiLevelType w:val="hybridMultilevel"/>
    <w:lvl w:ilvl="0">
      <w:lvlJc w:val="left"/>
      <w:lvlText w:val="•"/>
      <w:numFmt w:val="bullet"/>
      <w:start w:val="1"/>
    </w:lvl>
  </w:abstractNum>
  <w:abstractNum w:abstractNumId="114">
    <w:nsid w:val="6EAA85FB"/>
    <w:multiLevelType w:val="hybridMultilevel"/>
    <w:lvl w:ilvl="0">
      <w:lvlJc w:val="left"/>
      <w:lvlText w:val="•"/>
      <w:numFmt w:val="bullet"/>
      <w:start w:val="1"/>
    </w:lvl>
  </w:abstractNum>
  <w:abstractNum w:abstractNumId="115">
    <w:nsid w:val="3F06ECB2"/>
    <w:multiLevelType w:val="hybridMultilevel"/>
    <w:lvl w:ilvl="0">
      <w:lvlJc w:val="left"/>
      <w:lvlText w:val="(%1)"/>
      <w:numFmt w:val="lowerLetter"/>
      <w:start w:val="1"/>
    </w:lvl>
  </w:abstractNum>
  <w:abstractNum w:abstractNumId="116">
    <w:nsid w:val="3B594807"/>
    <w:multiLevelType w:val="hybridMultilevel"/>
    <w:lvl w:ilvl="0">
      <w:lvlJc w:val="left"/>
      <w:lvlText w:val="(%1)"/>
      <w:numFmt w:val="lowerLetter"/>
      <w:start w:val="1"/>
    </w:lvl>
  </w:abstractNum>
  <w:abstractNum w:abstractNumId="117">
    <w:nsid w:val="6CAA2304"/>
    <w:multiLevelType w:val="hybridMultilevel"/>
    <w:lvl w:ilvl="0">
      <w:lvlJc w:val="left"/>
      <w:lvlText w:val="(%1)"/>
      <w:numFmt w:val="lowerLetter"/>
      <w:start w:val="1"/>
    </w:lvl>
  </w:abstractNum>
  <w:abstractNum w:abstractNumId="118">
    <w:nsid w:val="3F7C2FF4"/>
    <w:multiLevelType w:val="hybridMultilevel"/>
    <w:lvl w:ilvl="0">
      <w:lvlJc w:val="left"/>
      <w:lvlText w:val="(%1)"/>
      <w:numFmt w:val="lowerRoman"/>
      <w:start w:val="3"/>
    </w:lvl>
  </w:abstractNum>
  <w:abstractNum w:abstractNumId="119">
    <w:nsid w:val="25413BEC"/>
    <w:multiLevelType w:val="hybridMultilevel"/>
    <w:lvl w:ilvl="0">
      <w:lvlJc w:val="left"/>
      <w:lvlText w:val="%1."/>
      <w:numFmt w:val="decimal"/>
      <w:start w:val="1"/>
    </w:lvl>
  </w:abstractNum>
  <w:abstractNum w:abstractNumId="120">
    <w:nsid w:val="17180B0B"/>
    <w:multiLevelType w:val="hybridMultilevel"/>
    <w:lvl w:ilvl="0">
      <w:lvlJc w:val="left"/>
      <w:lvlText w:val="%1."/>
      <w:numFmt w:val="decimal"/>
      <w:start w:val="2"/>
    </w:lvl>
  </w:abstractNum>
  <w:abstractNum w:abstractNumId="121">
    <w:nsid w:val="579328B9"/>
    <w:multiLevelType w:val="hybridMultilevel"/>
    <w:lvl w:ilvl="0">
      <w:lvlJc w:val="left"/>
      <w:lvlText w:val="(%1)"/>
      <w:numFmt w:val="lowerRoman"/>
      <w:start w:val="1"/>
    </w:lvl>
  </w:abstractNum>
  <w:abstractNum w:abstractNumId="122">
    <w:nsid w:val="5D205E20"/>
    <w:multiLevelType w:val="hybridMultilevel"/>
    <w:lvl w:ilvl="0">
      <w:lvlJc w:val="left"/>
      <w:lvlText w:val="•"/>
      <w:numFmt w:val="bullet"/>
      <w:start w:val="1"/>
    </w:lvl>
  </w:abstractNum>
  <w:abstractNum w:abstractNumId="123">
    <w:nsid w:val="11CCA8BA"/>
    <w:multiLevelType w:val="hybridMultilevel"/>
    <w:lvl w:ilvl="0">
      <w:lvlJc w:val="left"/>
      <w:lvlText w:val="%1."/>
      <w:numFmt w:val="decimal"/>
      <w:start w:val="3"/>
    </w:lvl>
  </w:abstractNum>
  <w:abstractNum w:abstractNumId="124">
    <w:nsid w:val="4D32AB86"/>
    <w:multiLevelType w:val="hybridMultilevel"/>
    <w:lvl w:ilvl="0">
      <w:lvlJc w:val="left"/>
      <w:lvlText w:val="%1."/>
      <w:numFmt w:val="decimal"/>
      <w:start w:val="4"/>
    </w:lvl>
  </w:abstractNum>
  <w:abstractNum w:abstractNumId="125">
    <w:nsid w:val="3F07ACC3"/>
    <w:multiLevelType w:val="hybridMultilevel"/>
    <w:lvl w:ilvl="0">
      <w:lvlJc w:val="left"/>
      <w:lvlText w:val="%1."/>
      <w:numFmt w:val="decimal"/>
      <w:start w:val="5"/>
    </w:lvl>
  </w:abstractNum>
  <w:abstractNum w:abstractNumId="126">
    <w:nsid w:val="6B47F63E"/>
    <w:multiLevelType w:val="hybridMultilevel"/>
    <w:lvl w:ilvl="0">
      <w:lvlJc w:val="left"/>
      <w:lvlText w:val="%1."/>
      <w:numFmt w:val="decimal"/>
      <w:start w:val="6"/>
    </w:lvl>
  </w:abstractNum>
  <w:abstractNum w:abstractNumId="127">
    <w:nsid w:val="5CB44A05"/>
    <w:multiLevelType w:val="hybridMultilevel"/>
    <w:lvl w:ilvl="0">
      <w:lvlJc w:val="left"/>
      <w:lvlText w:val="%1."/>
      <w:numFmt w:val="decimal"/>
      <w:start w:val="7"/>
    </w:lvl>
  </w:abstractNum>
  <w:abstractNum w:abstractNumId="128">
    <w:nsid w:val="16CF80F1"/>
    <w:multiLevelType w:val="hybridMultilevel"/>
    <w:lvl w:ilvl="0">
      <w:lvlJc w:val="left"/>
      <w:lvlText w:val="%1."/>
      <w:numFmt w:val="decimal"/>
      <w:start w:val="8"/>
    </w:lvl>
  </w:abstractNum>
  <w:abstractNum w:abstractNumId="129">
    <w:nsid w:val="1C695DEC"/>
    <w:multiLevelType w:val="hybridMultilevel"/>
    <w:lvl w:ilvl="0">
      <w:lvlJc w:val="left"/>
      <w:lvlText w:val="%1."/>
      <w:numFmt w:val="decimal"/>
      <w:start w:val="9"/>
    </w:lvl>
  </w:abstractNum>
  <w:abstractNum w:abstractNumId="130">
    <w:nsid w:val="3FCFAED9"/>
    <w:multiLevelType w:val="hybridMultilevel"/>
    <w:lvl w:ilvl="0">
      <w:lvlJc w:val="left"/>
      <w:lvlText w:val="*"/>
      <w:numFmt w:val="bullet"/>
      <w:start w:val="1"/>
    </w:lvl>
  </w:abstractNum>
  <w:abstractNum w:abstractNumId="131">
    <w:nsid w:val="F856867"/>
    <w:multiLevelType w:val="hybridMultilevel"/>
    <w:lvl w:ilvl="0">
      <w:lvlJc w:val="left"/>
      <w:lvlText w:val="*"/>
      <w:numFmt w:val="bullet"/>
      <w:start w:val="1"/>
    </w:lvl>
  </w:abstractNum>
  <w:abstractNum w:abstractNumId="132">
    <w:nsid w:val="11B1CC33"/>
    <w:multiLevelType w:val="hybridMultilevel"/>
    <w:lvl w:ilvl="0">
      <w:lvlJc w:val="left"/>
      <w:lvlText w:val="*"/>
      <w:numFmt w:val="bullet"/>
      <w:start w:val="1"/>
    </w:lvl>
  </w:abstractNum>
  <w:abstractNum w:abstractNumId="133">
    <w:nsid w:val="2E22FBB7"/>
    <w:multiLevelType w:val="hybridMultilevel"/>
    <w:lvl w:ilvl="0">
      <w:lvlJc w:val="left"/>
      <w:lvlText w:val="%1."/>
      <w:numFmt w:val="decimal"/>
      <w:start w:val="10"/>
    </w:lvl>
  </w:abstractNum>
  <w:abstractNum w:abstractNumId="134">
    <w:nsid w:val="29934699"/>
    <w:multiLevelType w:val="hybridMultilevel"/>
    <w:lvl w:ilvl="0">
      <w:lvlJc w:val="left"/>
      <w:lvlText w:val="%1."/>
      <w:numFmt w:val="decimal"/>
      <w:start w:val="11"/>
    </w:lvl>
  </w:abstractNum>
  <w:abstractNum w:abstractNumId="135">
    <w:nsid w:val="77485850"/>
    <w:multiLevelType w:val="hybridMultilevel"/>
    <w:lvl w:ilvl="0">
      <w:lvlJc w:val="left"/>
      <w:lvlText w:val="(%1)"/>
      <w:numFmt w:val="lowerLetter"/>
      <w:start w:val="4"/>
    </w:lvl>
    <w:lvl w:ilvl="1">
      <w:lvlJc w:val="left"/>
      <w:lvlText w:val="(%2)"/>
      <w:numFmt w:val="lowerRoman"/>
      <w:start w:val="1"/>
    </w:lvl>
  </w:abstractNum>
  <w:abstractNum w:abstractNumId="136">
    <w:nsid w:val="744939A3"/>
    <w:multiLevelType w:val="hybridMultilevel"/>
    <w:lvl w:ilvl="0">
      <w:lvlJc w:val="left"/>
      <w:lvlText w:val="%1."/>
      <w:numFmt w:val="decimal"/>
      <w:start w:val="12"/>
    </w:lvl>
  </w:abstractNum>
  <w:abstractNum w:abstractNumId="137">
    <w:nsid w:val="4FA0D2E3"/>
    <w:multiLevelType w:val="hybridMultilevel"/>
    <w:lvl w:ilvl="0">
      <w:lvlJc w:val="left"/>
      <w:lvlText w:val="%1."/>
      <w:numFmt w:val="decimal"/>
      <w:start w:val="14"/>
    </w:lvl>
  </w:abstractNum>
  <w:abstractNum w:abstractNumId="138">
    <w:nsid w:val="6B1D2C14"/>
    <w:multiLevelType w:val="hybridMultilevel"/>
    <w:lvl w:ilvl="0">
      <w:lvlJc w:val="left"/>
      <w:lvlText w:val="%1."/>
      <w:numFmt w:val="decimal"/>
      <w:start w:val="15"/>
    </w:lvl>
  </w:abstractNum>
  <w:abstractNum w:abstractNumId="139">
    <w:nsid w:val="68B867D3"/>
    <w:multiLevelType w:val="hybridMultilevel"/>
    <w:lvl w:ilvl="0">
      <w:lvlJc w:val="left"/>
      <w:lvlText w:val="%1."/>
      <w:numFmt w:val="decimal"/>
      <w:start w:val="16"/>
    </w:lvl>
  </w:abstractNum>
  <w:abstractNum w:abstractNumId="140">
    <w:nsid w:val="3F7F5DD9"/>
    <w:multiLevelType w:val="hybridMultilevel"/>
    <w:lvl w:ilvl="0">
      <w:lvlJc w:val="left"/>
      <w:lvlText w:val="%1."/>
      <w:numFmt w:val="decimal"/>
      <w:start w:val="17"/>
    </w:lvl>
  </w:abstractNum>
  <w:abstractNum w:abstractNumId="141">
    <w:nsid w:val="2AE05A34"/>
    <w:multiLevelType w:val="hybridMultilevel"/>
    <w:lvl w:ilvl="0">
      <w:lvlJc w:val="left"/>
      <w:lvlText w:val="$"/>
      <w:numFmt w:val="bullet"/>
      <w:start w:val="1"/>
    </w:lvl>
  </w:abstractNum>
  <w:abstractNum w:abstractNumId="142">
    <w:nsid w:val="32794FF7"/>
    <w:multiLevelType w:val="hybridMultilevel"/>
    <w:lvl w:ilvl="0">
      <w:lvlJc w:val="left"/>
      <w:lvlText w:val="$"/>
      <w:numFmt w:val="bullet"/>
      <w:start w:val="1"/>
    </w:lvl>
  </w:abstractNum>
  <w:abstractNum w:abstractNumId="143">
    <w:nsid w:val="5454945E"/>
    <w:multiLevelType w:val="hybridMultilevel"/>
    <w:lvl w:ilvl="0">
      <w:lvlJc w:val="left"/>
      <w:lvlText w:val="(%1)"/>
      <w:numFmt w:val="decimal"/>
      <w:start w:val="1"/>
    </w:lvl>
  </w:abstractNum>
  <w:abstractNum w:abstractNumId="144">
    <w:nsid w:val="4DEFDFA0"/>
    <w:multiLevelType w:val="hybridMultilevel"/>
    <w:lvl w:ilvl="0">
      <w:lvlJc w:val="left"/>
      <w:lvlText w:val="(%1)"/>
      <w:numFmt w:val="decimal"/>
      <w:start w:val="12"/>
    </w:lvl>
  </w:abstractNum>
  <w:abstractNum w:abstractNumId="145">
    <w:nsid w:val="2123D5F2"/>
    <w:multiLevelType w:val="hybridMultilevel"/>
    <w:lvl w:ilvl="0">
      <w:lvlJc w:val="left"/>
      <w:lvlText w:val="(%1)"/>
      <w:numFmt w:val="lowerLetter"/>
      <w:start w:val="1"/>
    </w:lvl>
  </w:abstractNum>
  <w:abstractNum w:abstractNumId="146">
    <w:nsid w:val="135B8110"/>
    <w:multiLevelType w:val="hybridMultilevel"/>
    <w:lvl w:ilvl="0">
      <w:lvlJc w:val="left"/>
      <w:lvlText w:val="(%1)"/>
      <w:numFmt w:val="lowerLetter"/>
      <w:start w:val="2"/>
    </w:lvl>
  </w:abstractNum>
  <w:abstractNum w:abstractNumId="147">
    <w:nsid w:val="94927A8"/>
    <w:multiLevelType w:val="hybridMultilevel"/>
    <w:lvl w:ilvl="0">
      <w:lvlJc w:val="left"/>
      <w:lvlText w:val="(%1)"/>
      <w:numFmt w:val="decimal"/>
      <w:start w:val="1"/>
    </w:lvl>
  </w:abstractNum>
  <w:abstractNum w:abstractNumId="148">
    <w:nsid w:val="DCDF8F6"/>
    <w:multiLevelType w:val="hybridMultilevel"/>
    <w:lvl w:ilvl="0">
      <w:lvlJc w:val="left"/>
      <w:lvlText w:val="(%1)"/>
      <w:numFmt w:val="decimal"/>
      <w:start w:val="2"/>
    </w:lvl>
  </w:abstractNum>
  <w:abstractNum w:abstractNumId="149">
    <w:nsid w:val="52D7B105"/>
    <w:multiLevelType w:val="hybridMultilevel"/>
    <w:lvl w:ilvl="0">
      <w:lvlJc w:val="left"/>
      <w:lvlText w:val="*"/>
      <w:numFmt w:val="bullet"/>
      <w:start w:val="1"/>
    </w:lvl>
  </w:abstractNum>
  <w:abstractNum w:abstractNumId="150">
    <w:nsid w:val="2E8A6394"/>
    <w:multiLevelType w:val="hybridMultilevel"/>
    <w:lvl w:ilvl="0">
      <w:lvlJc w:val="left"/>
      <w:lvlText w:val="%1."/>
      <w:numFmt w:val="decimal"/>
      <w:start w:val="1"/>
    </w:lvl>
  </w:abstractNum>
  <w:abstractNum w:abstractNumId="151">
    <w:nsid w:val="24E60401"/>
    <w:multiLevelType w:val="hybridMultilevel"/>
    <w:lvl w:ilvl="0">
      <w:lvlJc w:val="left"/>
      <w:lvlText w:val="%1."/>
      <w:numFmt w:val="decimal"/>
      <w:start w:val="1"/>
    </w:lvl>
  </w:abstractNum>
  <w:abstractNum w:abstractNumId="152">
    <w:nsid w:val="2A6AD9BE"/>
    <w:multiLevelType w:val="hybridMultilevel"/>
    <w:lvl w:ilvl="0">
      <w:lvlJc w:val="left"/>
      <w:lvlText w:val="%1."/>
      <w:numFmt w:val="decimal"/>
      <w:start w:val="3"/>
    </w:lvl>
  </w:abstractNum>
  <w:abstractNum w:abstractNumId="153">
    <w:nsid w:val="BAAC1B4"/>
    <w:multiLevelType w:val="hybridMultilevel"/>
    <w:lvl w:ilvl="0">
      <w:lvlJc w:val="left"/>
      <w:lvlText w:val="%1"/>
      <w:numFmt w:val="upperLetter"/>
      <w:start w:val="1"/>
    </w:lvl>
    <w:lvl w:ilvl="1">
      <w:lvlJc w:val="left"/>
      <w:lvlText w:val="%2."/>
      <w:numFmt w:val="decimal"/>
      <w:start w:val="4"/>
    </w:lvl>
  </w:abstractNum>
  <w:abstractNum w:abstractNumId="154">
    <w:nsid w:val="36B2ACBC"/>
    <w:multiLevelType w:val="hybridMultilevel"/>
    <w:lvl w:ilvl="0">
      <w:lvlJc w:val="left"/>
      <w:lvlText w:val="%1."/>
      <w:numFmt w:val="upperLetter"/>
      <w:start w:val="2"/>
    </w:lvl>
    <w:lvl w:ilvl="1">
      <w:lvlJc w:val="left"/>
      <w:lvlText w:val="%2"/>
      <w:numFmt w:val="decimal"/>
      <w:start w:val="1"/>
    </w:lvl>
  </w:abstractNum>
  <w:abstractNum w:abstractNumId="155">
    <w:nsid w:val="779D8544"/>
    <w:multiLevelType w:val="hybridMultilevel"/>
    <w:lvl w:ilvl="0">
      <w:lvlJc w:val="left"/>
      <w:lvlText w:val="%1."/>
      <w:numFmt w:val="decimal"/>
      <w:start w:val="1"/>
    </w:lvl>
  </w:abstractNum>
  <w:abstractNum w:abstractNumId="156">
    <w:nsid w:val="4AB26E78"/>
    <w:multiLevelType w:val="hybridMultilevel"/>
    <w:lvl w:ilvl="0">
      <w:lvlJc w:val="left"/>
      <w:lvlText w:val="%1."/>
      <w:numFmt w:val="decimal"/>
      <w:start w:val="2"/>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1"/>
    </w:lvl>
  </w:abstractNum>
  <w:abstractNum w:abstractNumId="159">
    <w:nsid w:val="6181EF69"/>
    <w:multiLevelType w:val="hybridMultilevel"/>
    <w:lvl w:ilvl="0">
      <w:lvlJc w:val="left"/>
      <w:lvlText w:val="(%1)"/>
      <w:numFmt w:val="lowerLetter"/>
      <w:start w:val="3"/>
    </w:lvl>
    <w:lvl w:ilvl="1">
      <w:lvlJc w:val="left"/>
      <w:lvlText w:val="(%2)"/>
      <w:numFmt w:val="lowerRoman"/>
      <w:start w:val="1"/>
    </w:lvl>
  </w:abstractNum>
  <w:abstractNum w:abstractNumId="160">
    <w:nsid w:val="3E6400E6"/>
    <w:multiLevelType w:val="hybridMultilevel"/>
    <w:lvl w:ilvl="0">
      <w:lvlJc w:val="left"/>
      <w:lvlText w:val="(%1)"/>
      <w:numFmt w:val="lowerLetter"/>
      <w:start w:val="4"/>
    </w:lvl>
  </w:abstractNum>
  <w:abstractNum w:abstractNumId="161">
    <w:nsid w:val="14217E23"/>
    <w:multiLevelType w:val="hybridMultilevel"/>
    <w:lvl w:ilvl="0">
      <w:lvlJc w:val="left"/>
      <w:lvlText w:val="(%1)"/>
      <w:numFmt w:val="lowerLetter"/>
      <w:start w:val="1"/>
    </w:lvl>
    <w:lvl w:ilvl="1">
      <w:lvlJc w:val="left"/>
      <w:lvlText w:val="(%2)"/>
      <w:numFmt w:val="lowerRoman"/>
      <w:start w:val="1"/>
    </w:lvl>
  </w:abstractNum>
  <w:abstractNum w:abstractNumId="162">
    <w:nsid w:val="710757D0"/>
    <w:multiLevelType w:val="hybridMultilevel"/>
    <w:lvl w:ilvl="0">
      <w:lvlJc w:val="left"/>
      <w:lvlText w:val="(%1)"/>
      <w:numFmt w:val="upperLetter"/>
      <w:start w:val="9"/>
    </w:lvl>
  </w:abstractNum>
  <w:abstractNum w:abstractNumId="163">
    <w:nsid w:val="5015CD1A"/>
    <w:multiLevelType w:val="hybridMultilevel"/>
    <w:lvl w:ilvl="0">
      <w:lvlJc w:val="left"/>
      <w:lvlText w:val="%1."/>
      <w:numFmt w:val="decimal"/>
      <w:start w:val="3"/>
    </w:lvl>
  </w:abstractNum>
  <w:abstractNum w:abstractNumId="164">
    <w:nsid w:val="424479DA"/>
    <w:multiLevelType w:val="hybridMultilevel"/>
    <w:lvl w:ilvl="0">
      <w:lvlJc w:val="left"/>
      <w:lvlText w:val="%1."/>
      <w:numFmt w:val="decimal"/>
      <w:start w:val="4"/>
    </w:lvl>
  </w:abstractNum>
  <w:abstractNum w:abstractNumId="165">
    <w:nsid w:val="1A9A9E69"/>
    <w:multiLevelType w:val="hybridMultilevel"/>
    <w:lvl w:ilvl="0">
      <w:lvlJc w:val="left"/>
      <w:lvlText w:val="(%1)"/>
      <w:numFmt w:val="lowerLetter"/>
      <w:start w:val="3"/>
    </w:lvl>
  </w:abstractNum>
  <w:abstractNum w:abstractNumId="166">
    <w:nsid w:val="475E256A"/>
    <w:multiLevelType w:val="hybridMultilevel"/>
    <w:lvl w:ilvl="0">
      <w:lvlJc w:val="left"/>
      <w:lvlText w:val="(%1)"/>
      <w:numFmt w:val="lowerLetter"/>
      <w:start w:val="4"/>
    </w:lvl>
    <w:lvl w:ilvl="1">
      <w:lvlJc w:val="left"/>
      <w:lvlText w:val="(%2)"/>
      <w:numFmt w:val="lowerRoman"/>
      <w:start w:val="1"/>
    </w:lvl>
  </w:abstractNum>
  <w:abstractNum w:abstractNumId="167">
    <w:nsid w:val="368DB37E"/>
    <w:multiLevelType w:val="hybridMultilevel"/>
    <w:lvl w:ilvl="0">
      <w:lvlJc w:val="left"/>
      <w:lvlText w:val="(%1)"/>
      <w:numFmt w:val="lowerRoman"/>
      <w:start w:val="10"/>
    </w:lvl>
  </w:abstractNum>
  <w:abstractNum w:abstractNumId="168">
    <w:nsid w:val="6A3B714C"/>
    <w:multiLevelType w:val="hybridMultilevel"/>
    <w:lvl w:ilvl="0">
      <w:lvlJc w:val="left"/>
      <w:lvlText w:val="(%1)"/>
      <w:numFmt w:val="lowerLetter"/>
      <w:start w:val="1"/>
    </w:lvl>
  </w:abstractNum>
  <w:abstractNum w:abstractNumId="169">
    <w:nsid w:val="327B517E"/>
    <w:multiLevelType w:val="hybridMultilevel"/>
    <w:lvl w:ilvl="0">
      <w:lvlJc w:val="left"/>
      <w:lvlText w:val="(%1)"/>
      <w:numFmt w:val="lowerLetter"/>
      <w:start w:val="2"/>
    </w:lvl>
  </w:abstractNum>
  <w:abstractNum w:abstractNumId="170">
    <w:nsid w:val="1F461B51"/>
    <w:multiLevelType w:val="hybridMultilevel"/>
    <w:lvl w:ilvl="0">
      <w:lvlJc w:val="left"/>
      <w:lvlText w:val="(%1)"/>
      <w:numFmt w:val="lowerLetter"/>
      <w:start w:val="4"/>
    </w:lvl>
  </w:abstractNum>
  <w:abstractNum w:abstractNumId="171">
    <w:nsid w:val="29BACF25"/>
    <w:multiLevelType w:val="hybridMultilevel"/>
    <w:lvl w:ilvl="0">
      <w:lvlJc w:val="left"/>
      <w:lvlText w:val="(%1)"/>
      <w:numFmt w:val="lowerLetter"/>
      <w:start w:val="3"/>
    </w:lvl>
  </w:abstractNum>
  <w:abstractNum w:abstractNumId="172">
    <w:nsid w:val="5D5BABB3"/>
    <w:multiLevelType w:val="hybridMultilevel"/>
    <w:lvl w:ilvl="0">
      <w:lvlJc w:val="left"/>
      <w:lvlText w:val="(%1)"/>
      <w:numFmt w:val="lowerLetter"/>
      <w:start w:val="4"/>
    </w:lvl>
  </w:abstractNum>
  <w:abstractNum w:abstractNumId="173">
    <w:nsid w:val="51BF6B4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4">
    <w:nsid w:val="7E0F6384"/>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175">
    <w:nsid w:val="2B4B8B53"/>
    <w:multiLevelType w:val="hybridMultilevel"/>
    <w:lvl w:ilvl="0">
      <w:lvlJc w:val="left"/>
      <w:lvlText w:val="(%1)"/>
      <w:numFmt w:val="decimal"/>
      <w:start w:val="1"/>
    </w:lvl>
  </w:abstractNum>
  <w:abstractNum w:abstractNumId="176">
    <w:nsid w:val="72E3413A"/>
    <w:multiLevelType w:val="hybridMultilevel"/>
    <w:lvl w:ilvl="0">
      <w:lvlJc w:val="left"/>
      <w:lvlText w:val="(%1)"/>
      <w:numFmt w:val="lowerLetter"/>
      <w:start w:val="2"/>
    </w:lvl>
  </w:abstractNum>
  <w:abstractNum w:abstractNumId="177">
    <w:nsid w:val="116AE494"/>
    <w:multiLevelType w:val="hybridMultilevel"/>
    <w:lvl w:ilvl="0">
      <w:lvlJc w:val="left"/>
      <w:lvlText w:val="(%1)"/>
      <w:numFmt w:val="lowerRoman"/>
      <w:start w:val="1"/>
    </w:lvl>
  </w:abstractNum>
  <w:abstractNum w:abstractNumId="178">
    <w:nsid w:val="3494B2FB"/>
    <w:multiLevelType w:val="hybridMultilevel"/>
    <w:lvl w:ilvl="0">
      <w:lvlJc w:val="left"/>
      <w:lvlText w:val="(%1)"/>
      <w:numFmt w:val="lowerRoman"/>
      <w:start w:val="1"/>
    </w:lvl>
  </w:abstractNum>
  <w:abstractNum w:abstractNumId="179">
    <w:nsid w:val="B13A31"/>
    <w:multiLevelType w:val="hybridMultilevel"/>
    <w:lvl w:ilvl="0">
      <w:lvlJc w:val="left"/>
      <w:lvlText w:val="(%1)"/>
      <w:numFmt w:val="lowerRoman"/>
      <w:start w:val="1"/>
    </w:lvl>
  </w:abstractNum>
  <w:abstractNum w:abstractNumId="180">
    <w:nsid w:val="64429599"/>
    <w:multiLevelType w:val="hybridMultilevel"/>
    <w:lvl w:ilvl="0">
      <w:lvlJc w:val="left"/>
      <w:lvlText w:val="(%1)"/>
      <w:numFmt w:val="lowerLetter"/>
      <w:start w:val="1"/>
    </w:lvl>
  </w:abstractNum>
  <w:abstractNum w:abstractNumId="181">
    <w:nsid w:val="631F1690"/>
    <w:multiLevelType w:val="hybridMultilevel"/>
    <w:lvl w:ilvl="0">
      <w:lvlJc w:val="left"/>
      <w:lvlText w:val="(%1)"/>
      <w:numFmt w:val="lowerRoman"/>
      <w:start w:val="1"/>
    </w:lvl>
  </w:abstractNum>
  <w:abstractNum w:abstractNumId="182">
    <w:nsid w:val="25973E32"/>
    <w:multiLevelType w:val="hybridMultilevel"/>
    <w:lvl w:ilvl="0">
      <w:lvlJc w:val="left"/>
      <w:lvlText w:val="%1."/>
      <w:numFmt w:val="decimal"/>
      <w:start w:val="5"/>
    </w:lvl>
    <w:lvl w:ilvl="1">
      <w:lvlJc w:val="left"/>
      <w:lvlText w:val="(%2)"/>
      <w:numFmt w:val="lowerLetter"/>
      <w:start w:val="1"/>
    </w:lvl>
  </w:abstractNum>
  <w:abstractNum w:abstractNumId="183">
    <w:nsid w:val="EAD6F57"/>
    <w:multiLevelType w:val="hybridMultilevel"/>
    <w:lvl w:ilvl="0">
      <w:lvlJc w:val="left"/>
      <w:lvlText w:val="(%1)"/>
      <w:numFmt w:val="lowerLetter"/>
      <w:start w:val="5"/>
    </w:lvl>
  </w:abstractNum>
  <w:abstractNum w:abstractNumId="184">
    <w:nsid w:val="6EC9D844"/>
    <w:multiLevelType w:val="hybridMultilevel"/>
    <w:lvl w:ilvl="0">
      <w:lvlJc w:val="left"/>
      <w:lvlText w:val="%1."/>
      <w:numFmt w:val="decimal"/>
      <w:start w:val="6"/>
    </w:lvl>
  </w:abstractNum>
  <w:abstractNum w:abstractNumId="185">
    <w:nsid w:val="5C49EAEE"/>
    <w:multiLevelType w:val="hybridMultilevel"/>
    <w:lvl w:ilvl="0">
      <w:lvlJc w:val="left"/>
      <w:lvlText w:val="(%1)"/>
      <w:numFmt w:val="decimal"/>
      <w:start w:val="60"/>
    </w:lvl>
  </w:abstractNum>
  <w:abstractNum w:abstractNumId="186">
    <w:nsid w:val="64AF49B"/>
    <w:multiLevelType w:val="hybridMultilevel"/>
    <w:lvl w:ilvl="0">
      <w:lvlJc w:val="left"/>
      <w:lvlText w:val="(%1)"/>
      <w:numFmt w:val="lowerLetter"/>
      <w:start w:val="1"/>
    </w:lvl>
  </w:abstractNum>
  <w:abstractNum w:abstractNumId="187">
    <w:nsid w:val="397C46BC"/>
    <w:multiLevelType w:val="hybridMultilevel"/>
    <w:lvl w:ilvl="0">
      <w:lvlJc w:val="left"/>
      <w:lvlText w:val="(%1)"/>
      <w:numFmt w:val="lowerLetter"/>
      <w:start w:val="4"/>
    </w:lvl>
  </w:abstractNum>
  <w:abstractNum w:abstractNumId="188">
    <w:nsid w:val="7E448DE9"/>
    <w:multiLevelType w:val="hybridMultilevel"/>
    <w:lvl w:ilvl="0">
      <w:lvlJc w:val="left"/>
      <w:lvlText w:val="(%1)"/>
      <w:numFmt w:val="lowerRoman"/>
      <w:start w:val="1"/>
    </w:lvl>
    <w:lvl w:ilvl="1">
      <w:lvlJc w:val="left"/>
      <w:lvlText w:val="%2."/>
      <w:numFmt w:val="decimal"/>
      <w:start w:val="7"/>
    </w:lvl>
  </w:abstractNum>
  <w:abstractNum w:abstractNumId="189">
    <w:nsid w:val="5A9CC3E5"/>
    <w:multiLevelType w:val="hybridMultilevel"/>
    <w:lvl w:ilvl="0">
      <w:lvlJc w:val="left"/>
      <w:lvlText w:val="%1."/>
      <w:numFmt w:val="decimal"/>
      <w:start w:val="9"/>
    </w:lvl>
  </w:abstractNum>
  <w:abstractNum w:abstractNumId="190">
    <w:nsid w:val="1AFE3625"/>
    <w:multiLevelType w:val="hybridMultilevel"/>
    <w:lvl w:ilvl="0">
      <w:lvlJc w:val="left"/>
      <w:lvlText w:val="%1."/>
      <w:numFmt w:val="decimal"/>
      <w:start w:val="1"/>
    </w:lvl>
  </w:abstractNum>
  <w:abstractNum w:abstractNumId="191">
    <w:nsid w:val="3CA88ECF"/>
    <w:multiLevelType w:val="hybridMultilevel"/>
    <w:lvl w:ilvl="0">
      <w:lvlJc w:val="left"/>
      <w:lvlText w:val="%1"/>
      <w:numFmt w:val="lowerLetter"/>
      <w:start w:val="1"/>
    </w:lvl>
    <w:lvl w:ilvl="1">
      <w:lvlJc w:val="left"/>
      <w:lvlText w:val="%2."/>
      <w:numFmt w:val="decimal"/>
      <w:start w:val="5"/>
    </w:lvl>
  </w:abstractNum>
  <w:abstractNum w:abstractNumId="192">
    <w:nsid w:val="6EBE4208"/>
    <w:multiLevelType w:val="hybridMultilevel"/>
    <w:lvl w:ilvl="0">
      <w:lvlJc w:val="left"/>
      <w:lvlText w:val="(%1)"/>
      <w:numFmt w:val="lowerLetter"/>
      <w:start w:val="1"/>
    </w:lvl>
    <w:lvl w:ilvl="1">
      <w:lvlJc w:val="left"/>
      <w:lvlText w:val="%2."/>
      <w:numFmt w:val="decimal"/>
      <w:start w:val="9"/>
    </w:lvl>
  </w:abstractNum>
  <w:abstractNum w:abstractNumId="193">
    <w:nsid w:val="C058DF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2024-05-25T05:22:28Z</dcterms:created>
  <dcterms:modified xsi:type="dcterms:W3CDTF">2024-05-25T05:22:28Z</dcterms:modified>
</cp:coreProperties>
</file>