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6084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60844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Fukushima Ryan</w:t>
              </w:r>
            </w:hyperlink>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660" w:type="dxa"/>
            <w:vAlign w:val="bottom"/>
            <w:tcBorders>
              <w:top w:val="single" w:sz="8" w:color="0000EE"/>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660" w:type="dxa"/>
            <w:vAlign w:val="bottom"/>
            <w:tcBorders>
              <w:top w:val="single" w:sz="8" w:color="EEEEEE"/>
            </w:tcBorders>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15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58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02/04/2025</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58"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84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right="11"/>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jc w:val="right"/>
              <w:ind w:right="660"/>
              <w:spacing w:after="0"/>
              <w:rPr>
                <w:sz w:val="20"/>
                <w:szCs w:val="20"/>
                <w:color w:val="auto"/>
              </w:rPr>
            </w:pPr>
            <w:r>
              <w:rPr>
                <w:rFonts w:ascii="Times New Roman" w:cs="Times New Roman" w:eastAsia="Times New Roman" w:hAnsi="Times New Roman"/>
                <w:sz w:val="17"/>
                <w:szCs w:val="17"/>
                <w:color w:val="0000FF"/>
              </w:rPr>
              <w:t>02/04/2025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2,607</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61.48</w:t>
            </w:r>
            <w:r>
              <w:rPr>
                <w:rFonts w:ascii="Times New Roman" w:cs="Times New Roman" w:eastAsia="Times New Roman" w:hAnsi="Times New Roman"/>
                <w:sz w:val="22"/>
                <w:szCs w:val="22"/>
                <w:color w:val="008000"/>
                <w:w w:val="95"/>
                <w:vertAlign w:val="superscript"/>
              </w:rPr>
              <w:t>(2)</w:t>
            </w:r>
          </w:p>
        </w:tc>
        <w:tc>
          <w:tcPr>
            <w:tcW w:w="1240" w:type="dxa"/>
            <w:vAlign w:val="bottom"/>
            <w:tcBorders>
              <w:bottom w:val="single" w:sz="8" w:color="2C2C2C"/>
            </w:tcBorders>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979,835</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jc w:val="right"/>
              <w:ind w:right="660"/>
              <w:spacing w:after="0"/>
              <w:rPr>
                <w:sz w:val="20"/>
                <w:szCs w:val="20"/>
                <w:color w:val="auto"/>
              </w:rPr>
            </w:pPr>
            <w:r>
              <w:rPr>
                <w:rFonts w:ascii="Times New Roman" w:cs="Times New Roman" w:eastAsia="Times New Roman" w:hAnsi="Times New Roman"/>
                <w:sz w:val="17"/>
                <w:szCs w:val="17"/>
                <w:color w:val="0000FF"/>
              </w:rPr>
              <w:t>02/04/2025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13,718</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62.36</w:t>
            </w:r>
            <w:r>
              <w:rPr>
                <w:rFonts w:ascii="Times New Roman" w:cs="Times New Roman" w:eastAsia="Times New Roman" w:hAnsi="Times New Roman"/>
                <w:sz w:val="22"/>
                <w:szCs w:val="22"/>
                <w:color w:val="008000"/>
                <w:w w:val="95"/>
                <w:vertAlign w:val="superscript"/>
              </w:rPr>
              <w:t>(3)</w:t>
            </w:r>
          </w:p>
        </w:tc>
        <w:tc>
          <w:tcPr>
            <w:tcW w:w="1240" w:type="dxa"/>
            <w:vAlign w:val="bottom"/>
            <w:tcBorders>
              <w:bottom w:val="single" w:sz="8" w:color="2C2C2C"/>
            </w:tcBorders>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966,117</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jc w:val="right"/>
              <w:ind w:right="660"/>
              <w:spacing w:after="0"/>
              <w:rPr>
                <w:sz w:val="20"/>
                <w:szCs w:val="20"/>
                <w:color w:val="auto"/>
              </w:rPr>
            </w:pPr>
            <w:r>
              <w:rPr>
                <w:rFonts w:ascii="Times New Roman" w:cs="Times New Roman" w:eastAsia="Times New Roman" w:hAnsi="Times New Roman"/>
                <w:sz w:val="17"/>
                <w:szCs w:val="17"/>
                <w:color w:val="0000FF"/>
              </w:rPr>
              <w:t>02/04/2025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2,000</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63.24</w:t>
            </w:r>
            <w:r>
              <w:rPr>
                <w:rFonts w:ascii="Times New Roman" w:cs="Times New Roman" w:eastAsia="Times New Roman" w:hAnsi="Times New Roman"/>
                <w:sz w:val="22"/>
                <w:szCs w:val="22"/>
                <w:color w:val="008000"/>
                <w:w w:val="95"/>
                <w:vertAlign w:val="superscript"/>
              </w:rPr>
              <w:t>(4)</w:t>
            </w:r>
          </w:p>
        </w:tc>
        <w:tc>
          <w:tcPr>
            <w:tcW w:w="1240" w:type="dxa"/>
            <w:vAlign w:val="bottom"/>
            <w:tcBorders>
              <w:bottom w:val="single" w:sz="8" w:color="2C2C2C"/>
            </w:tcBorders>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964,117</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jc w:val="right"/>
              <w:ind w:right="660"/>
              <w:spacing w:after="0"/>
              <w:rPr>
                <w:sz w:val="20"/>
                <w:szCs w:val="20"/>
                <w:color w:val="auto"/>
              </w:rPr>
            </w:pPr>
            <w:r>
              <w:rPr>
                <w:rFonts w:ascii="Times New Roman" w:cs="Times New Roman" w:eastAsia="Times New Roman" w:hAnsi="Times New Roman"/>
                <w:sz w:val="17"/>
                <w:szCs w:val="17"/>
                <w:color w:val="0000FF"/>
              </w:rPr>
              <w:t>02/04/2025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1,675</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64.37</w:t>
            </w:r>
            <w:r>
              <w:rPr>
                <w:rFonts w:ascii="Times New Roman" w:cs="Times New Roman" w:eastAsia="Times New Roman" w:hAnsi="Times New Roman"/>
                <w:sz w:val="22"/>
                <w:szCs w:val="22"/>
                <w:color w:val="008000"/>
                <w:w w:val="95"/>
                <w:vertAlign w:val="superscript"/>
              </w:rPr>
              <w:t>(5)</w:t>
            </w:r>
          </w:p>
        </w:tc>
        <w:tc>
          <w:tcPr>
            <w:tcW w:w="1240" w:type="dxa"/>
            <w:vAlign w:val="bottom"/>
            <w:tcBorders>
              <w:bottom w:val="single" w:sz="8" w:color="2C2C2C"/>
            </w:tcBorders>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962,442</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jc w:val="right"/>
              <w:ind w:right="660"/>
              <w:spacing w:after="0"/>
              <w:rPr>
                <w:sz w:val="20"/>
                <w:szCs w:val="20"/>
                <w:color w:val="auto"/>
              </w:rPr>
            </w:pPr>
            <w:r>
              <w:rPr>
                <w:rFonts w:ascii="Times New Roman" w:cs="Times New Roman" w:eastAsia="Times New Roman" w:hAnsi="Times New Roman"/>
                <w:sz w:val="17"/>
                <w:szCs w:val="17"/>
                <w:color w:val="0000FF"/>
              </w:rPr>
              <w:t>02/05/2025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(6)</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15,114</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67.57</w:t>
            </w:r>
            <w:r>
              <w:rPr>
                <w:rFonts w:ascii="Times New Roman" w:cs="Times New Roman" w:eastAsia="Times New Roman" w:hAnsi="Times New Roman"/>
                <w:sz w:val="22"/>
                <w:szCs w:val="22"/>
                <w:color w:val="008000"/>
                <w:w w:val="95"/>
                <w:vertAlign w:val="superscript"/>
              </w:rPr>
              <w:t>(7)</w:t>
            </w:r>
          </w:p>
        </w:tc>
        <w:tc>
          <w:tcPr>
            <w:tcW w:w="1240" w:type="dxa"/>
            <w:vAlign w:val="bottom"/>
            <w:tcBorders>
              <w:bottom w:val="single" w:sz="8" w:color="2C2C2C"/>
            </w:tcBorders>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947,328</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Ryan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Fukushima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131,893</w:t>
            </w:r>
          </w:p>
        </w:tc>
        <w:tc>
          <w:tcPr>
            <w:tcW w:w="320" w:type="dxa"/>
            <w:vAlign w:val="bottom"/>
          </w:tcPr>
          <w:p>
            <w:pPr>
              <w:spacing w:after="0"/>
              <w:rPr>
                <w:sz w:val="18"/>
                <w:szCs w:val="18"/>
                <w:color w:val="auto"/>
              </w:rPr>
            </w:pPr>
          </w:p>
        </w:tc>
        <w:tc>
          <w:tcPr>
            <w:tcW w:w="520" w:type="dxa"/>
            <w:vAlign w:val="bottom"/>
          </w:tcPr>
          <w:p>
            <w:pPr>
              <w:jc w:val="center"/>
              <w:ind w:right="306"/>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150,000</w:t>
            </w:r>
          </w:p>
        </w:tc>
        <w:tc>
          <w:tcPr>
            <w:tcW w:w="320" w:type="dxa"/>
            <w:vAlign w:val="bottom"/>
          </w:tcPr>
          <w:p>
            <w:pPr>
              <w:spacing w:after="0"/>
              <w:rPr>
                <w:sz w:val="23"/>
                <w:szCs w:val="23"/>
                <w:color w:val="auto"/>
              </w:rPr>
            </w:pPr>
          </w:p>
        </w:tc>
        <w:tc>
          <w:tcPr>
            <w:tcW w:w="520" w:type="dxa"/>
            <w:vAlign w:val="bottom"/>
          </w:tcPr>
          <w:p>
            <w:pPr>
              <w:jc w:val="center"/>
              <w:ind w:right="306"/>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Spouse</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40" w:type="dxa"/>
            <w:vAlign w:val="bottom"/>
            <w:tcBorders>
              <w:top w:val="single" w:sz="8" w:color="2C2C2C"/>
            </w:tcBorders>
            <w:gridSpan w:val="15"/>
          </w:tcPr>
          <w:p>
            <w:pPr>
              <w:jc w:val="right"/>
              <w:ind w:right="4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made pursuant to a Rule 10b5-1 trading plan adopted by the Reporting Person on June 14, 2024.</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$60.89 to $61.885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(3), (4), (5) and (7).</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$61.91 to $62.89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$62.92 to $63.85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$63.93 to $64.85 inclusive.</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to cover the statutory tax withholding obligations in connection with the vesting of the restricted stock units. This sale is mandated by the Issuer's election under its equity incentive plans to require the satisfaction of minimum statutory tax withholding obligations to be funded by a "sell to cover" transaction and does not represent a discretionary sale by the Reporting Person.</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$67.085 to $68.00 inclusive.</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4"/>
          <w:szCs w:val="34"/>
          <w:color w:val="0000FF"/>
          <w:vertAlign w:val="subscript"/>
        </w:rPr>
        <w:t>02/06/2025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4250"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2025-02-06T17:08:29Z</dcterms:created>
  <dcterms:modified xsi:type="dcterms:W3CDTF">2025-02-06T17:08:29Z</dcterms:modified>
</cp:coreProperties>
</file>